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bookmarkStart w:id="0" w:name="_GoBack"/>
      <w:bookmarkEnd w:id="0"/>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72"/>
          <w:szCs w:val="72"/>
        </w:rPr>
      </w:pPr>
      <w:r>
        <w:rPr>
          <w:rFonts w:hint="eastAsia" w:ascii="黑体" w:hAnsi="宋体" w:eastAsia="黑体"/>
          <w:color w:val="002060"/>
          <w:sz w:val="72"/>
          <w:szCs w:val="72"/>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无极县县直工委</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县直工委决算公开目录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县直工委</w:t>
      </w:r>
      <w:r>
        <w:rPr>
          <w:rFonts w:eastAsia="黑体"/>
          <w:sz w:val="32"/>
          <w:szCs w:val="32"/>
        </w:rPr>
        <w:t>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县直工委</w:t>
      </w:r>
      <w:r>
        <w:rPr>
          <w:rFonts w:eastAsia="黑体"/>
          <w:sz w:val="32"/>
          <w:szCs w:val="32"/>
        </w:rPr>
        <w:t>部门2017年度部门决算报表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县直工委</w:t>
      </w:r>
      <w:r>
        <w:rPr>
          <w:rFonts w:eastAsia="黑体"/>
          <w:sz w:val="32"/>
          <w:szCs w:val="32"/>
        </w:rPr>
        <w:t>部门2017年部门决算情况说明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一、部门职责</w:t>
      </w:r>
    </w:p>
    <w:p>
      <w:pPr>
        <w:ind w:firstLine="640"/>
        <w:rPr>
          <w:rFonts w:hint="eastAsia" w:ascii="仿宋" w:hAnsi="仿宋" w:eastAsia="仿宋" w:cs="仿宋"/>
          <w:sz w:val="32"/>
          <w:szCs w:val="32"/>
        </w:rPr>
      </w:pPr>
      <w:r>
        <w:rPr>
          <w:rFonts w:hint="eastAsia" w:ascii="仿宋" w:hAnsi="仿宋" w:eastAsia="仿宋" w:cs="仿宋"/>
          <w:sz w:val="32"/>
          <w:szCs w:val="32"/>
        </w:rPr>
        <w:t>认真履行领导职能，切实加强对县直机关党的工作的宏观规划和指导，统一领导县直单位的党建工作，负责制订县直党的建设规划，指导各级党组织搞好党的思想建设、组织建设和作风建设，做好对党员的管理教育工作。并对各机关党的建设以及所承担的各项工作，进行监督、指导和检查。</w:t>
      </w:r>
    </w:p>
    <w:p>
      <w:pPr>
        <w:ind w:firstLine="640"/>
        <w:rPr>
          <w:rFonts w:hint="eastAsia" w:ascii="仿宋" w:hAnsi="仿宋" w:eastAsia="仿宋" w:cs="仿宋"/>
          <w:sz w:val="32"/>
          <w:szCs w:val="32"/>
        </w:rPr>
      </w:pPr>
      <w:r>
        <w:rPr>
          <w:rFonts w:hint="eastAsia" w:ascii="仿宋" w:hAnsi="仿宋" w:eastAsia="仿宋" w:cs="仿宋"/>
          <w:sz w:val="32"/>
          <w:szCs w:val="32"/>
        </w:rPr>
        <w:t>思想建设。县直工委根据不同时期的党员、干部、职工的思想状况，紧紧围绕</w:t>
      </w:r>
      <w:r>
        <w:rPr>
          <w:rFonts w:hint="eastAsia" w:ascii="仿宋" w:hAnsi="仿宋" w:eastAsia="仿宋" w:cs="仿宋"/>
          <w:sz w:val="32"/>
          <w:szCs w:val="32"/>
          <w:lang w:eastAsia="zh-CN"/>
        </w:rPr>
        <w:t>《中国共产党章程》</w:t>
      </w:r>
      <w:r>
        <w:rPr>
          <w:rFonts w:hint="eastAsia" w:ascii="仿宋" w:hAnsi="仿宋" w:eastAsia="仿宋" w:cs="仿宋"/>
          <w:sz w:val="32"/>
          <w:szCs w:val="32"/>
        </w:rPr>
        <w:t>、《准则》，抓好党的基本路线教育、马克思主义基本理论教育、党的基本知识教育、党的优良传统教育和法制与纪律教育。加强经常的思想政治工作，提高党员干部队伍的素质。</w:t>
      </w:r>
    </w:p>
    <w:p>
      <w:pPr>
        <w:ind w:firstLine="640"/>
        <w:rPr>
          <w:rFonts w:hint="eastAsia" w:ascii="仿宋" w:hAnsi="仿宋" w:eastAsia="仿宋" w:cs="仿宋"/>
          <w:sz w:val="32"/>
          <w:szCs w:val="32"/>
        </w:rPr>
      </w:pPr>
      <w:r>
        <w:rPr>
          <w:rFonts w:hint="eastAsia" w:ascii="仿宋" w:hAnsi="仿宋" w:eastAsia="仿宋" w:cs="仿宋"/>
          <w:sz w:val="32"/>
          <w:szCs w:val="32"/>
        </w:rPr>
        <w:t>组织建设。一是抓好领导班子的建设，加强对各级党组织领导干部的考察了解。根据形势的需要和党内换届选举的规定，及时建立、健全、调整、充实基层党组织领导班子；协助对县委管理干部的考察了解，及时向县委反映各级领导干部的思想情况和工作表现。以资县委更好地做好干部的使用、任免工作。二是严把入党质量关。按照</w:t>
      </w:r>
      <w:r>
        <w:rPr>
          <w:rFonts w:hint="eastAsia" w:ascii="仿宋" w:hAnsi="仿宋" w:eastAsia="仿宋" w:cs="仿宋"/>
          <w:sz w:val="32"/>
          <w:szCs w:val="32"/>
          <w:lang w:eastAsia="zh-CN"/>
        </w:rPr>
        <w:t>《中国共产党章程》</w:t>
      </w:r>
      <w:r>
        <w:rPr>
          <w:rFonts w:hint="eastAsia" w:ascii="仿宋" w:hAnsi="仿宋" w:eastAsia="仿宋" w:cs="仿宋"/>
          <w:sz w:val="32"/>
          <w:szCs w:val="32"/>
        </w:rPr>
        <w:t>的规定和中组部有关文件，认真做好入党积极分子的培养教育和预备党员的审批及预备党员的管理教育、考察和转正工作，及时把那些符和党员条件的先进分子吸收到党内来，不断壮大党的队伍。三是抓好党内各项制度的建立、健全和落实，从制度上保证党的建设工作的健康发展和顺利进行。</w:t>
      </w:r>
    </w:p>
    <w:p>
      <w:pPr>
        <w:ind w:firstLine="640"/>
        <w:rPr>
          <w:rFonts w:hint="eastAsia" w:ascii="仿宋" w:hAnsi="仿宋" w:eastAsia="仿宋" w:cs="仿宋"/>
          <w:sz w:val="32"/>
          <w:szCs w:val="32"/>
        </w:rPr>
      </w:pPr>
      <w:r>
        <w:rPr>
          <w:rFonts w:hint="eastAsia" w:ascii="仿宋" w:hAnsi="仿宋" w:eastAsia="仿宋" w:cs="仿宋"/>
          <w:sz w:val="32"/>
          <w:szCs w:val="32"/>
        </w:rPr>
        <w:t>抓好党风党纪和</w:t>
      </w:r>
      <w:r>
        <w:rPr>
          <w:rFonts w:hint="eastAsia" w:ascii="仿宋" w:hAnsi="仿宋" w:eastAsia="仿宋" w:cs="仿宋"/>
          <w:sz w:val="32"/>
          <w:szCs w:val="32"/>
          <w:lang w:eastAsia="zh-CN"/>
        </w:rPr>
        <w:t>廉政建设</w:t>
      </w:r>
      <w:r>
        <w:rPr>
          <w:rFonts w:hint="eastAsia" w:ascii="仿宋" w:hAnsi="仿宋" w:eastAsia="仿宋" w:cs="仿宋"/>
          <w:sz w:val="32"/>
          <w:szCs w:val="32"/>
        </w:rPr>
        <w:t xml:space="preserve">。县直工委要着力抓好以下几点： </w:t>
      </w:r>
    </w:p>
    <w:p>
      <w:pPr>
        <w:ind w:firstLine="640"/>
        <w:rPr>
          <w:rFonts w:hint="eastAsia" w:ascii="仿宋" w:hAnsi="仿宋" w:eastAsia="仿宋" w:cs="仿宋"/>
          <w:sz w:val="32"/>
          <w:szCs w:val="32"/>
        </w:rPr>
      </w:pPr>
      <w:r>
        <w:rPr>
          <w:rFonts w:hint="eastAsia" w:ascii="仿宋" w:hAnsi="仿宋" w:eastAsia="仿宋" w:cs="仿宋"/>
          <w:sz w:val="32"/>
          <w:szCs w:val="32"/>
        </w:rPr>
        <w:t>一是加强党性、党风、党纪教育。遵循“预防为主，教育为主”“惩前毖后，治病救人”的方针，把教育贯穿于纪检工作的全过程，利用正反两方面的典型，对党员和党员干部进行党纪教育及警戒教育；二是发挥县直工委的只能作用，及时查处党内违纪案件；三是履行监督职能。从维护党纪党法，保证党的路线、方针、政策的贯彻执行，保证党组织和党员经受住执政、改革开放的考验，做好党内监督的各项工作；四是深入开展</w:t>
      </w:r>
      <w:r>
        <w:rPr>
          <w:rFonts w:hint="eastAsia" w:ascii="仿宋" w:hAnsi="仿宋" w:eastAsia="仿宋" w:cs="仿宋"/>
          <w:sz w:val="32"/>
          <w:szCs w:val="32"/>
          <w:lang w:eastAsia="zh-CN"/>
        </w:rPr>
        <w:t>反腐败斗争</w:t>
      </w:r>
      <w:r>
        <w:rPr>
          <w:rFonts w:hint="eastAsia" w:ascii="仿宋" w:hAnsi="仿宋" w:eastAsia="仿宋" w:cs="仿宋"/>
          <w:sz w:val="32"/>
          <w:szCs w:val="32"/>
        </w:rPr>
        <w:t>，狠刹行业不正之风，建立健全和完善各种制约机制，促进廉洁工作，进一步密切干群关系。</w:t>
      </w:r>
    </w:p>
    <w:p>
      <w:pPr>
        <w:pStyle w:val="3"/>
        <w:numPr>
          <w:ilvl w:val="0"/>
          <w:numId w:val="1"/>
        </w:numPr>
        <w:spacing w:before="0" w:after="0" w:line="560" w:lineRule="exact"/>
        <w:ind w:firstLine="643" w:firstLineChars="200"/>
        <w:rPr>
          <w:rFonts w:hint="eastAsia" w:ascii="黑体" w:hAnsi="Cambria" w:eastAsia="黑体" w:cs="黑体"/>
          <w:kern w:val="0"/>
        </w:rPr>
      </w:pPr>
      <w:r>
        <w:rPr>
          <w:rFonts w:hint="eastAsia" w:ascii="黑体" w:hAnsi="Cambria" w:eastAsia="黑体" w:cs="黑体"/>
          <w:kern w:val="0"/>
        </w:rPr>
        <w:t>部门决算单位构成</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2017 年度，纳入本部门决算汇编范围的独立核算单位</w:t>
      </w:r>
    </w:p>
    <w:p>
      <w:pPr>
        <w:numPr>
          <w:ilvl w:val="0"/>
          <w:numId w:val="0"/>
        </w:numPr>
      </w:pPr>
      <w:r>
        <w:rPr>
          <w:rFonts w:hint="eastAsia" w:ascii="仿宋_GB2312" w:eastAsia="仿宋_GB2312" w:cs="ArialUnicodeMS" w:hAnsiTheme="minorHAnsi"/>
          <w:kern w:val="0"/>
          <w:sz w:val="32"/>
          <w:szCs w:val="32"/>
        </w:rPr>
        <w:t>（以下简称“单位”）共 1个，分别是无极县机关事务管理局 ，单位基本性质为事业单位，预算管理级次为</w:t>
      </w:r>
      <w:r>
        <w:rPr>
          <w:rFonts w:hint="eastAsia" w:ascii="仿宋_GB2312" w:eastAsia="仿宋_GB2312" w:cs="ArialUnicodeMS" w:hAnsiTheme="minorHAnsi"/>
          <w:kern w:val="0"/>
          <w:sz w:val="32"/>
          <w:szCs w:val="32"/>
          <w:lang w:val="en-US" w:eastAsia="zh-CN"/>
        </w:rPr>
        <w:t>1</w:t>
      </w:r>
      <w:r>
        <w:rPr>
          <w:rFonts w:hint="eastAsia" w:ascii="仿宋_GB2312" w:eastAsia="仿宋_GB2312" w:cs="ArialUnicodeMS" w:hAnsiTheme="minorHAnsi"/>
          <w:kern w:val="0"/>
          <w:sz w:val="32"/>
          <w:szCs w:val="32"/>
        </w:rPr>
        <w:t>级预算单位，执行</w:t>
      </w:r>
      <w:r>
        <w:rPr>
          <w:rFonts w:hint="eastAsia" w:ascii="仿宋_GB2312" w:eastAsia="仿宋_GB2312" w:cs="ArialUnicodeMS" w:hAnsiTheme="minorHAnsi"/>
          <w:kern w:val="0"/>
          <w:sz w:val="32"/>
          <w:szCs w:val="32"/>
          <w:lang w:val="en-US" w:eastAsia="zh-CN"/>
        </w:rPr>
        <w:t>行政</w:t>
      </w:r>
      <w:r>
        <w:rPr>
          <w:rFonts w:hint="eastAsia" w:ascii="仿宋_GB2312" w:eastAsia="仿宋_GB2312" w:cs="ArialUnicodeMS" w:hAnsiTheme="minorHAnsi"/>
          <w:kern w:val="0"/>
          <w:sz w:val="32"/>
          <w:szCs w:val="32"/>
        </w:rPr>
        <w:t>单位会计制度，较上年无增减变化</w:t>
      </w:r>
      <w:r>
        <w:rPr>
          <w:rFonts w:hint="eastAsia" w:ascii="仿宋_GB2312" w:eastAsia="仿宋_GB2312" w:cs="ArialUnicodeMS" w:hAnsiTheme="minorHAnsi"/>
          <w:kern w:val="0"/>
          <w:sz w:val="32"/>
          <w:szCs w:val="32"/>
          <w:lang w:eastAsia="zh-CN"/>
        </w:rPr>
        <w:t>。</w:t>
      </w:r>
    </w:p>
    <w:tbl>
      <w:tblPr>
        <w:tblStyle w:val="10"/>
        <w:tblW w:w="86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75"/>
        <w:gridCol w:w="1762"/>
        <w:gridCol w:w="1800"/>
        <w:gridCol w:w="22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2875" w:type="dxa"/>
            <w:vAlign w:val="center"/>
          </w:tcPr>
          <w:p>
            <w:pPr>
              <w:tabs>
                <w:tab w:val="left" w:pos="1035"/>
                <w:tab w:val="center" w:pos="2173"/>
              </w:tabs>
              <w:spacing w:line="300" w:lineRule="exact"/>
              <w:jc w:val="center"/>
              <w:rPr>
                <w:rFonts w:hint="eastAsia" w:ascii="仿宋" w:hAnsi="仿宋" w:eastAsia="仿宋" w:cs="仿宋"/>
                <w:sz w:val="32"/>
                <w:szCs w:val="32"/>
              </w:rPr>
            </w:pPr>
            <w:r>
              <w:rPr>
                <w:rFonts w:hint="eastAsia" w:ascii="仿宋" w:hAnsi="仿宋" w:eastAsia="仿宋" w:cs="仿宋"/>
                <w:b/>
                <w:sz w:val="32"/>
                <w:szCs w:val="32"/>
              </w:rPr>
              <w:t>单位名称</w:t>
            </w:r>
          </w:p>
        </w:tc>
        <w:tc>
          <w:tcPr>
            <w:tcW w:w="1762" w:type="dxa"/>
            <w:vAlign w:val="center"/>
          </w:tcPr>
          <w:p>
            <w:pPr>
              <w:spacing w:line="300" w:lineRule="exact"/>
              <w:jc w:val="center"/>
              <w:rPr>
                <w:rFonts w:hint="eastAsia" w:ascii="仿宋" w:hAnsi="仿宋" w:eastAsia="仿宋" w:cs="仿宋"/>
                <w:b/>
                <w:sz w:val="32"/>
                <w:szCs w:val="32"/>
              </w:rPr>
            </w:pPr>
            <w:r>
              <w:rPr>
                <w:rFonts w:hint="eastAsia" w:ascii="仿宋" w:hAnsi="仿宋" w:eastAsia="仿宋" w:cs="仿宋"/>
                <w:b/>
                <w:sz w:val="32"/>
                <w:szCs w:val="32"/>
              </w:rPr>
              <w:t>单位性质</w:t>
            </w:r>
          </w:p>
        </w:tc>
        <w:tc>
          <w:tcPr>
            <w:tcW w:w="1800" w:type="dxa"/>
            <w:vAlign w:val="center"/>
          </w:tcPr>
          <w:p>
            <w:pPr>
              <w:spacing w:line="300" w:lineRule="exact"/>
              <w:jc w:val="center"/>
              <w:rPr>
                <w:rFonts w:hint="eastAsia" w:ascii="仿宋" w:hAnsi="仿宋" w:eastAsia="仿宋" w:cs="仿宋"/>
                <w:b/>
                <w:sz w:val="32"/>
                <w:szCs w:val="32"/>
              </w:rPr>
            </w:pPr>
            <w:r>
              <w:rPr>
                <w:rFonts w:hint="eastAsia" w:ascii="仿宋" w:hAnsi="仿宋" w:eastAsia="仿宋" w:cs="仿宋"/>
                <w:b/>
                <w:sz w:val="32"/>
                <w:szCs w:val="32"/>
              </w:rPr>
              <w:t>单位规格</w:t>
            </w:r>
          </w:p>
        </w:tc>
        <w:tc>
          <w:tcPr>
            <w:tcW w:w="2235" w:type="dxa"/>
            <w:vAlign w:val="center"/>
          </w:tcPr>
          <w:p>
            <w:pPr>
              <w:spacing w:line="300" w:lineRule="exact"/>
              <w:jc w:val="center"/>
              <w:rPr>
                <w:rFonts w:hint="eastAsia" w:ascii="仿宋" w:hAnsi="仿宋" w:eastAsia="仿宋" w:cs="仿宋"/>
                <w:b/>
                <w:sz w:val="32"/>
                <w:szCs w:val="32"/>
              </w:rPr>
            </w:pPr>
            <w:r>
              <w:rPr>
                <w:rFonts w:hint="eastAsia" w:ascii="仿宋" w:hAnsi="仿宋" w:eastAsia="仿宋" w:cs="仿宋"/>
                <w:b/>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2875"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无极县县直工委</w:t>
            </w:r>
          </w:p>
        </w:tc>
        <w:tc>
          <w:tcPr>
            <w:tcW w:w="1762"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行政</w:t>
            </w:r>
          </w:p>
        </w:tc>
        <w:tc>
          <w:tcPr>
            <w:tcW w:w="1800"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正科级</w:t>
            </w:r>
          </w:p>
        </w:tc>
        <w:tc>
          <w:tcPr>
            <w:tcW w:w="2235"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财政拨款</w:t>
            </w:r>
          </w:p>
        </w:tc>
      </w:tr>
    </w:tbl>
    <w:p>
      <w:pPr>
        <w:spacing w:line="560" w:lineRule="exact"/>
        <w:rPr>
          <w:rFonts w:ascii="仿宋_GB2312" w:hAnsi="Cambria" w:eastAsia="仿宋_GB2312" w:cs="ArialUnicodeMS"/>
          <w:kern w:val="0"/>
          <w:sz w:val="32"/>
          <w:szCs w:val="32"/>
        </w:rPr>
      </w:pPr>
    </w:p>
    <w:p>
      <w:pPr>
        <w:widowControl/>
        <w:spacing w:line="560" w:lineRule="exact"/>
        <w:jc w:val="center"/>
        <w:rPr>
          <w:rFonts w:ascii="黑体" w:hAnsi="Cambria" w:eastAsia="黑体" w:cs="MS-UIGothic,Bold"/>
          <w:bCs/>
          <w:kern w:val="0"/>
          <w:sz w:val="52"/>
          <w:szCs w:val="52"/>
        </w:rPr>
      </w:pPr>
    </w:p>
    <w:p>
      <w:pPr>
        <w:pStyle w:val="2"/>
        <w:spacing w:line="560" w:lineRule="exact"/>
        <w:jc w:val="center"/>
        <w:rPr>
          <w:rFonts w:ascii="宋体" w:hAnsi="宋体" w:cs="ArialUnicodeMS"/>
          <w:color w:val="000000"/>
          <w:kern w:val="0"/>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jc w:val="center"/>
        <w:rPr>
          <w:rFonts w:ascii="宋体" w:hAnsi="宋体" w:eastAsia="宋体" w:cs="黑体"/>
          <w:b/>
          <w:sz w:val="32"/>
          <w:szCs w:val="32"/>
        </w:rPr>
      </w:pPr>
      <w:r>
        <w:rPr>
          <w:rFonts w:hint="eastAsia" w:ascii="宋体" w:hAnsi="宋体" w:eastAsia="宋体" w:cs="黑体"/>
          <w:b/>
          <w:sz w:val="32"/>
          <w:szCs w:val="32"/>
        </w:rPr>
        <w:t>（详见附件）</w:t>
      </w:r>
    </w:p>
    <w:p>
      <w:pPr>
        <w:ind w:firstLine="643"/>
        <w:jc w:val="left"/>
        <w:rPr>
          <w:rFonts w:hint="eastAsia" w:ascii="仿宋" w:hAnsi="仿宋" w:eastAsia="仿宋" w:cs="仿宋"/>
          <w:b w:val="0"/>
          <w:bCs/>
          <w:sz w:val="32"/>
          <w:szCs w:val="32"/>
        </w:rPr>
      </w:pPr>
      <w:r>
        <w:rPr>
          <w:rFonts w:hint="eastAsia" w:ascii="仿宋" w:hAnsi="仿宋" w:eastAsia="仿宋" w:cs="仿宋"/>
          <w:b w:val="0"/>
          <w:bCs/>
          <w:sz w:val="32"/>
          <w:szCs w:val="32"/>
        </w:rPr>
        <w:t>一、收入支出决算总表</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二、收入决算表</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 xml:space="preserve">三、支出决算表 </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四、财政拨款收入支出决算总表</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五、一般公共预算财政拨款支出决算表</w:t>
      </w:r>
    </w:p>
    <w:p>
      <w:pPr>
        <w:ind w:firstLine="622"/>
        <w:rPr>
          <w:rFonts w:hint="eastAsia" w:ascii="仿宋" w:hAnsi="仿宋" w:eastAsia="仿宋" w:cs="仿宋"/>
          <w:b w:val="0"/>
          <w:bCs/>
          <w:sz w:val="32"/>
          <w:szCs w:val="32"/>
        </w:rPr>
      </w:pPr>
      <w:r>
        <w:rPr>
          <w:rFonts w:hint="eastAsia" w:ascii="仿宋" w:hAnsi="仿宋" w:eastAsia="仿宋" w:cs="仿宋"/>
          <w:b w:val="0"/>
          <w:bCs/>
          <w:sz w:val="32"/>
          <w:szCs w:val="32"/>
        </w:rPr>
        <w:t>六、一般公共预算财政拨款基本支出决算表</w:t>
      </w:r>
    </w:p>
    <w:p>
      <w:pPr>
        <w:ind w:firstLine="622"/>
        <w:rPr>
          <w:rFonts w:hint="eastAsia" w:ascii="仿宋" w:hAnsi="仿宋" w:eastAsia="仿宋" w:cs="仿宋"/>
          <w:b w:val="0"/>
          <w:bCs/>
          <w:sz w:val="32"/>
          <w:szCs w:val="32"/>
        </w:rPr>
      </w:pPr>
      <w:r>
        <w:rPr>
          <w:rFonts w:hint="eastAsia" w:ascii="仿宋" w:hAnsi="仿宋" w:eastAsia="仿宋" w:cs="仿宋"/>
          <w:b w:val="0"/>
          <w:bCs/>
          <w:sz w:val="32"/>
          <w:szCs w:val="32"/>
        </w:rPr>
        <w:t xml:space="preserve">七、政府性基金预算财政拨款收入支出决算表 </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八、国有资本经营预算财政拨款收入支出决算表</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九、“三公”经费及相关信息统计表</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十、政府采购情况表</w:t>
      </w:r>
    </w:p>
    <w:p>
      <w:pPr>
        <w:autoSpaceDE w:val="0"/>
        <w:autoSpaceDN w:val="0"/>
        <w:adjustRightInd w:val="0"/>
        <w:spacing w:line="560" w:lineRule="exact"/>
        <w:jc w:val="left"/>
        <w:rPr>
          <w:rFonts w:hint="eastAsia" w:ascii="仿宋" w:hAnsi="仿宋" w:eastAsia="仿宋" w:cs="仿宋"/>
          <w:b/>
          <w:color w:val="FF0000"/>
          <w:kern w:val="0"/>
          <w:sz w:val="44"/>
          <w:szCs w:val="44"/>
        </w:rPr>
      </w:pPr>
    </w:p>
    <w:p>
      <w:pPr>
        <w:pStyle w:val="2"/>
        <w:spacing w:line="560" w:lineRule="exact"/>
        <w:jc w:val="center"/>
        <w:rPr>
          <w:rFonts w:ascii="宋体" w:hAnsi="宋体" w:eastAsia="宋体" w:cs="ArialUnicodeMS"/>
          <w:color w:val="000000"/>
          <w:kern w:val="0"/>
        </w:rPr>
      </w:pPr>
      <w:r>
        <w:rPr>
          <w:rFonts w:hint="eastAsia" w:ascii="宋体" w:hAnsi="宋体" w:eastAsia="宋体" w:cs="ArialUnicodeMS"/>
          <w:color w:val="000000"/>
          <w:kern w:val="0"/>
        </w:rPr>
        <w:t>第三部分</w:t>
      </w:r>
      <w:r>
        <w:rPr>
          <w:rFonts w:ascii="宋体" w:hAnsi="宋体" w:eastAsia="宋体" w:cs="ArialUnicodeMS"/>
          <w:color w:val="000000"/>
          <w:kern w:val="0"/>
        </w:rPr>
        <w:t xml:space="preserve"> </w:t>
      </w:r>
      <w:r>
        <w:rPr>
          <w:rFonts w:hint="eastAsia" w:ascii="宋体" w:hAnsi="宋体" w:eastAsia="宋体" w:cs="ArialUnicodeMS"/>
          <w:color w:val="000000"/>
          <w:kern w:val="0"/>
        </w:rPr>
        <w:t>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ind w:firstLine="640"/>
        <w:rPr>
          <w:rFonts w:hint="eastAsia" w:ascii="仿宋" w:hAnsi="仿宋" w:eastAsia="仿宋" w:cs="仿宋"/>
          <w:sz w:val="32"/>
          <w:szCs w:val="32"/>
        </w:rPr>
      </w:pPr>
      <w:r>
        <w:rPr>
          <w:rFonts w:hint="eastAsia" w:ascii="仿宋" w:hAnsi="仿宋" w:eastAsia="仿宋" w:cs="仿宋"/>
          <w:sz w:val="32"/>
          <w:szCs w:val="32"/>
          <w:lang w:val="en-US" w:eastAsia="zh-CN"/>
        </w:rPr>
        <w:t>本部门</w:t>
      </w:r>
      <w:r>
        <w:rPr>
          <w:rFonts w:hint="eastAsia" w:ascii="仿宋" w:hAnsi="仿宋" w:eastAsia="仿宋" w:cs="仿宋"/>
          <w:sz w:val="32"/>
          <w:szCs w:val="32"/>
        </w:rPr>
        <w:t>2017年</w:t>
      </w:r>
      <w:r>
        <w:rPr>
          <w:rFonts w:hint="eastAsia" w:ascii="仿宋" w:hAnsi="仿宋" w:eastAsia="仿宋" w:cs="仿宋"/>
          <w:sz w:val="32"/>
          <w:szCs w:val="32"/>
          <w:lang w:val="en-US" w:eastAsia="zh-CN"/>
        </w:rPr>
        <w:t>年初结转和结余0万元，本年</w:t>
      </w:r>
      <w:r>
        <w:rPr>
          <w:rFonts w:hint="eastAsia" w:ascii="仿宋" w:hAnsi="仿宋" w:eastAsia="仿宋" w:cs="仿宋"/>
          <w:sz w:val="32"/>
          <w:szCs w:val="32"/>
        </w:rPr>
        <w:t>收入85.74万元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本年支出84.11万元、年末结转和结余1.63万元。与</w:t>
      </w:r>
      <w:r>
        <w:rPr>
          <w:rFonts w:hint="eastAsia" w:ascii="仿宋" w:hAnsi="仿宋" w:eastAsia="仿宋" w:cs="仿宋"/>
          <w:sz w:val="32"/>
          <w:szCs w:val="32"/>
        </w:rPr>
        <w:t>2016年</w:t>
      </w:r>
      <w:r>
        <w:rPr>
          <w:rFonts w:hint="eastAsia" w:ascii="仿宋" w:hAnsi="仿宋" w:eastAsia="仿宋" w:cs="仿宋"/>
          <w:sz w:val="32"/>
          <w:szCs w:val="32"/>
          <w:lang w:val="en-US" w:eastAsia="zh-CN"/>
        </w:rPr>
        <w:t>度决算相比，本年收入</w:t>
      </w:r>
      <w:r>
        <w:rPr>
          <w:rFonts w:hint="eastAsia" w:ascii="仿宋" w:hAnsi="仿宋" w:eastAsia="仿宋" w:cs="仿宋"/>
          <w:sz w:val="32"/>
          <w:szCs w:val="32"/>
        </w:rPr>
        <w:t>增加16.91万元，增长24%。主要原因是：人员工资调整变化。</w:t>
      </w:r>
      <w:r>
        <w:rPr>
          <w:rFonts w:hint="eastAsia" w:ascii="仿宋" w:hAnsi="仿宋" w:eastAsia="仿宋" w:cs="仿宋"/>
          <w:sz w:val="32"/>
          <w:szCs w:val="32"/>
          <w:lang w:val="en-US" w:eastAsia="zh-CN"/>
        </w:rPr>
        <w:t>本年</w:t>
      </w:r>
      <w:r>
        <w:rPr>
          <w:rFonts w:hint="eastAsia" w:ascii="仿宋" w:hAnsi="仿宋" w:eastAsia="仿宋" w:cs="仿宋"/>
          <w:sz w:val="32"/>
          <w:szCs w:val="32"/>
        </w:rPr>
        <w:t>支出增加13.28万元，增长18.75%。主要原因是：人员工资调整变化。</w:t>
      </w:r>
    </w:p>
    <w:p>
      <w:pPr>
        <w:pStyle w:val="3"/>
        <w:spacing w:before="0" w:after="0" w:line="560" w:lineRule="exact"/>
        <w:rPr>
          <w:rFonts w:ascii="黑体" w:eastAsia="黑体"/>
        </w:rPr>
      </w:pPr>
      <w:r>
        <w:rPr>
          <w:rFonts w:hint="eastAsia" w:ascii="黑体" w:eastAsia="黑体"/>
        </w:rPr>
        <w:t>二、收入决算情况说明</w:t>
      </w:r>
    </w:p>
    <w:p>
      <w:pPr>
        <w:widowControl w:val="0"/>
        <w:wordWrap/>
        <w:adjustRightInd/>
        <w:snapToGrid/>
        <w:spacing w:before="0" w:after="160" w:line="480" w:lineRule="auto"/>
        <w:ind w:left="0" w:leftChars="0" w:right="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本部门2017年部门决算收入85.74万元，其中：财政拨款收入85.74万元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占100%</w:t>
      </w:r>
      <w:r>
        <w:rPr>
          <w:rFonts w:hint="eastAsia" w:ascii="仿宋" w:hAnsi="仿宋" w:eastAsia="仿宋" w:cs="仿宋"/>
          <w:sz w:val="32"/>
          <w:szCs w:val="32"/>
        </w:rPr>
        <w:t>；上级补助收入0万元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占0%</w:t>
      </w:r>
      <w:r>
        <w:rPr>
          <w:rFonts w:hint="eastAsia" w:ascii="仿宋" w:hAnsi="仿宋" w:eastAsia="仿宋" w:cs="仿宋"/>
          <w:sz w:val="32"/>
          <w:szCs w:val="32"/>
        </w:rPr>
        <w:t>；事业收入0万元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占0%</w:t>
      </w:r>
      <w:r>
        <w:rPr>
          <w:rFonts w:hint="eastAsia" w:ascii="仿宋" w:hAnsi="仿宋" w:eastAsia="仿宋" w:cs="仿宋"/>
          <w:sz w:val="32"/>
          <w:szCs w:val="32"/>
        </w:rPr>
        <w:t>；其他收入0万元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占0%</w:t>
      </w:r>
      <w:r>
        <w:rPr>
          <w:rFonts w:hint="eastAsia" w:ascii="仿宋" w:hAnsi="仿宋" w:eastAsia="仿宋" w:cs="仿宋"/>
          <w:sz w:val="32"/>
          <w:szCs w:val="32"/>
        </w:rPr>
        <w:t>。如图所示：</w:t>
      </w:r>
    </w:p>
    <w:p>
      <w:pPr>
        <w:widowControl w:val="0"/>
        <w:wordWrap/>
        <w:adjustRightInd/>
        <w:snapToGrid/>
        <w:spacing w:before="0" w:after="160" w:line="480" w:lineRule="auto"/>
        <w:ind w:left="0" w:leftChars="0" w:right="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图1：收入决算结构饼状图</w:t>
      </w:r>
    </w:p>
    <w:p>
      <w:pPr>
        <w:widowControl w:val="0"/>
        <w:wordWrap/>
        <w:adjustRightInd/>
        <w:snapToGrid/>
        <w:spacing w:before="0" w:after="0" w:line="240" w:lineRule="auto"/>
        <w:ind w:left="0" w:leftChars="0" w:right="0" w:firstLine="0" w:firstLineChars="0"/>
        <w:jc w:val="left"/>
        <w:textAlignment w:val="auto"/>
        <w:outlineLvl w:val="9"/>
        <w:rPr>
          <w:rFonts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_x0000_i1025" o:spt="75" type="#_x0000_t75" style="height:201.2pt;width:442.1pt;" fillcolor="#FFFFFF" filled="f" o:preferrelative="t" stroked="f" coordsize="21600,21600">
            <v:path/>
            <v:fill on="f" color2="#FFFFFF" focussize="0,0"/>
            <v:stroke on="f"/>
            <v:imagedata r:id="rId6" gain="65536f" blacklevel="0f" gamma="0" o:title=""/>
            <o:lock v:ext="edit" position="f" selection="f" grouping="f" rotation="f" cropping="f" text="f" aspectratio="t"/>
            <w10:wrap type="none"/>
            <w10:anchorlock/>
          </v:shape>
        </w:pict>
      </w:r>
    </w:p>
    <w:p>
      <w:pPr>
        <w:pStyle w:val="3"/>
        <w:spacing w:before="0" w:after="0" w:line="560" w:lineRule="exact"/>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 w:hAnsi="仿宋" w:eastAsia="仿宋" w:cs="仿宋"/>
          <w:sz w:val="32"/>
          <w:szCs w:val="32"/>
        </w:rPr>
      </w:pPr>
      <w:r>
        <w:rPr>
          <w:rFonts w:hint="eastAsia" w:ascii="仿宋_GB2312" w:hAnsi="仿宋_GB2312" w:cs="仿宋_GB2312"/>
          <w:sz w:val="32"/>
          <w:szCs w:val="32"/>
        </w:rPr>
        <w:t>2</w:t>
      </w:r>
      <w:r>
        <w:rPr>
          <w:rFonts w:hint="eastAsia" w:ascii="仿宋" w:hAnsi="仿宋" w:eastAsia="仿宋" w:cs="仿宋"/>
          <w:sz w:val="32"/>
          <w:szCs w:val="32"/>
        </w:rPr>
        <w:t>017年部门决算支出84.11万元，其中：基本支出84.11万元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占100%</w:t>
      </w:r>
      <w:r>
        <w:rPr>
          <w:rFonts w:hint="eastAsia" w:ascii="仿宋" w:hAnsi="仿宋" w:eastAsia="仿宋" w:cs="仿宋"/>
          <w:sz w:val="32"/>
          <w:szCs w:val="32"/>
        </w:rPr>
        <w:t>；项目支出0万元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占0%</w:t>
      </w:r>
      <w:r>
        <w:rPr>
          <w:rFonts w:hint="eastAsia" w:ascii="仿宋" w:hAnsi="仿宋" w:eastAsia="仿宋" w:cs="仿宋"/>
          <w:sz w:val="32"/>
          <w:szCs w:val="32"/>
        </w:rPr>
        <w:t>。基本支出主要用于人员经费和日常公用经费。</w:t>
      </w:r>
      <w:r>
        <w:rPr>
          <w:rFonts w:hint="eastAsia" w:ascii="仿宋" w:hAnsi="仿宋" w:eastAsia="仿宋" w:cs="仿宋"/>
          <w:sz w:val="32"/>
          <w:szCs w:val="32"/>
          <w:lang w:val="en-US" w:eastAsia="zh-CN"/>
        </w:rPr>
        <w:t>如图所示</w:t>
      </w:r>
      <w:r>
        <w:rPr>
          <w:rFonts w:hint="eastAsia" w:ascii="仿宋" w:hAnsi="仿宋" w:eastAsia="仿宋" w:cs="仿宋"/>
          <w:sz w:val="32"/>
          <w:szCs w:val="32"/>
        </w:rPr>
        <w:t>：</w:t>
      </w:r>
    </w:p>
    <w:p>
      <w:pPr>
        <w:widowControl w:val="0"/>
        <w:wordWrap/>
        <w:adjustRightInd/>
        <w:snapToGrid/>
        <w:spacing w:before="0" w:after="160" w:line="480" w:lineRule="auto"/>
        <w:ind w:left="0" w:leftChars="0" w:right="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 xml:space="preserve">            图2：支出决算结构饼状图</w:t>
      </w:r>
    </w:p>
    <w:p>
      <w:pPr>
        <w:adjustRightInd w:val="0"/>
        <w:snapToGrid w:val="0"/>
        <w:spacing w:after="0" w:line="240" w:lineRule="auto"/>
        <w:rPr>
          <w:rFonts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_x0000_i1026" o:spt="75" type="#_x0000_t75" style="height:201.2pt;width:442.1pt;" fillcolor="#FFFFFF" filled="f" o:preferrelative="t" stroked="f" coordsize="21600,21600">
            <v:path/>
            <v:fill on="f" color2="#FFFFFF" focussize="0,0"/>
            <v:stroke on="f"/>
            <v:imagedata r:id="rId7" gain="65536f" blacklevel="0f" gamma="0" o:title=""/>
            <o:lock v:ext="edit" position="f" selection="f" grouping="f" rotation="f" cropping="f" text="f"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1.63万元、本年收入85.74万元；本年支出84.11万元、年末结转和结余1.63万元。与2016年度决算相比，一般公共预算财政拨款本年收入增加16.91万元，增长24%，主要是人员工资调整变化；本年支出增加13.28万元，增长18.75%，主要是人员工资调整变化。</w:t>
      </w:r>
    </w:p>
    <w:p>
      <w:p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其中，一般公共预算财政拨款年初结转和结余0万元、本年收入85.74万元；本年支出84.11万元、年末结转和结余1.63万元。与2016年度决算相比，一般公共预算财政拨款本年收入增加16.91万元，</w:t>
      </w:r>
      <w:r>
        <w:rPr>
          <w:rFonts w:hint="eastAsia" w:ascii="仿宋_GB2312" w:eastAsia="仿宋_GB2312" w:cs="DengXian-Regular"/>
          <w:sz w:val="32"/>
          <w:szCs w:val="32"/>
        </w:rPr>
        <w:t>增长24%，主要是人员工资调整变化；本年支出增加13.28万元，增长18.75%，主要是人员工资调整变化。</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本部门2017年度一般公共预算财政拨款本年收入较2017年初预算减少2.65万元，降低3%，主要人员工资调整变化；本年支出减少4.28万元，降低5%，主要是人员工资调整变化。</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本部门2017年度“三公”经费支出共计0万元，较年初预算无增减变化。主要是无三公经费；较2016年度决算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主要是无三公经费。具体情况如下：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本部门2017年度参加其他单位组织的因公出国（境）团组0个、共0人/无本单位组织的出国（境）团组。因公出国（境）费支出较年初预算无增减变化。主要是无出国项目；较2016年度决算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,主要是无出国项目。</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本部门2017年度公务用车购置及运行维护费较年初预算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,主要是无公车；较2016年度决算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,主要是无公车。</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w:t>
      </w:r>
      <w:r>
        <w:rPr>
          <w:rFonts w:hint="eastAsia" w:ascii="仿宋_GB2312" w:eastAsia="仿宋_GB2312" w:cs="DengXian-Regular"/>
          <w:sz w:val="32"/>
          <w:szCs w:val="32"/>
          <w:lang w:val="en-US" w:eastAsia="zh-CN"/>
        </w:rPr>
        <w:t>未</w:t>
      </w:r>
      <w:r>
        <w:rPr>
          <w:rFonts w:hint="eastAsia" w:ascii="仿宋_GB2312" w:eastAsia="仿宋_GB2312" w:cs="DengXian-Regular"/>
          <w:sz w:val="32"/>
          <w:szCs w:val="32"/>
        </w:rPr>
        <w:t>发生“公务用车购置”经费支出。公务用车购置费支出较年初预算无增减变化，主要是无公车；较2016年度决算，主要是无公车，未发生公务用车购置。</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本部门2017年度单位公务用车保有0量辆。公车运行维护费支出较年初预算无增减变化,主要是无公车；较2016年度决算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，主要是无公车。</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本部门2017年度公务接待共0批次、0人次。公务接待费支出较年初预算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,主要是无公务接待；较2016年度决算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,主要是无公务接待。</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cs="黑体"/>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numPr>
          <w:ilvl w:val="0"/>
          <w:numId w:val="2"/>
        </w:num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本单位无民生项目和重点支出项目。</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本部门2017年度机关运行经费支出9.28万元，比2016年度增加2.41万元，增长35%。主要原因是</w:t>
      </w:r>
      <w:r>
        <w:rPr>
          <w:rFonts w:hint="eastAsia" w:ascii="仿宋_GB2312" w:hAnsi="仿宋_GB2312" w:eastAsia="仿宋_GB2312" w:cs="仿宋_GB2312"/>
          <w:sz w:val="32"/>
          <w:szCs w:val="32"/>
        </w:rPr>
        <w:t>年初结转和结余及增加公车补</w:t>
      </w:r>
      <w:r>
        <w:rPr>
          <w:rFonts w:hint="eastAsia" w:ascii="仿宋_GB2312" w:eastAsia="仿宋_GB2312" w:cs="DengXian-Regular"/>
          <w:sz w:val="32"/>
          <w:szCs w:val="32"/>
        </w:rPr>
        <w:t>。</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本部门2017年度政府采购支出总额0万元，其中：政府采购货物支出0万元、政府采购工程支出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万元、政府采购服务支出0万元。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截至2017年12月31日，本部门共有车辆0辆，其中，市级领导干部用车0辆、一般公务用车0辆、一般执法执勤用车0辆、特种专业技术用车0辆、其他用车0辆，其他用车主要是无公务车；单位价值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spacing w:line="58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1、2017年度政府性基金预算财政拨款收入支出决算表为空、国有资本经营预算财政拨款收入支出决算表为空、三公经费及相关信息统计表为空、政府采购情况表为空。</w:t>
      </w:r>
      <w:r>
        <w:rPr>
          <w:rFonts w:hint="eastAsia" w:ascii="仿宋_GB2312" w:eastAsia="仿宋_GB2312" w:cs="DengXian-Regular"/>
          <w:sz w:val="32"/>
          <w:szCs w:val="32"/>
        </w:rPr>
        <w:t>故均以空表列示。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eastAsia="宋体" w:cs="SimSun,Bold"/>
        </w:rPr>
      </w:pPr>
      <w:r>
        <w:rPr>
          <w:rFonts w:hint="eastAsia" w:ascii="宋体" w:hAnsi="宋体" w:eastAsia="宋体" w:cs="SimSun,Bold"/>
        </w:rPr>
        <w:t>第四部分</w:t>
      </w:r>
      <w:r>
        <w:rPr>
          <w:rFonts w:hint="eastAsia" w:ascii="宋体" w:hAnsi="宋体" w:eastAsia="宋体" w:cs="SimSun,Bold"/>
          <w:bCs w:val="0"/>
        </w:rPr>
        <w:t xml:space="preserve"> </w:t>
      </w:r>
      <w:r>
        <w:rPr>
          <w:rFonts w:hint="eastAsia" w:ascii="宋体" w:hAnsi="宋体" w:eastAsia="宋体" w:cs="SimSun,Bold"/>
        </w:rPr>
        <w:t>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方正小标宋_GBK">
    <w:panose1 w:val="02000000000000000000"/>
    <w:charset w:val="86"/>
    <w:family w:val="auto"/>
    <w:pitch w:val="default"/>
    <w:sig w:usb0="A00002BF" w:usb1="38CF7CFA" w:usb2="00082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02B752"/>
    <w:multiLevelType w:val="singleLevel"/>
    <w:tmpl w:val="DD02B752"/>
    <w:lvl w:ilvl="0" w:tentative="0">
      <w:start w:val="2"/>
      <w:numFmt w:val="chineseCounting"/>
      <w:suff w:val="nothing"/>
      <w:lvlText w:val="%1、"/>
      <w:lvlJc w:val="left"/>
      <w:rPr>
        <w:rFonts w:hint="eastAsia"/>
      </w:rPr>
    </w:lvl>
  </w:abstractNum>
  <w:abstractNum w:abstractNumId="1">
    <w:nsid w:val="00000000"/>
    <w:multiLevelType w:val="singleLevel"/>
    <w:tmpl w:val="00000000"/>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34BB2195"/>
    <w:rsid w:val="38B26FB5"/>
    <w:rsid w:val="3D7303FC"/>
    <w:rsid w:val="506004E5"/>
    <w:rsid w:val="5EA72695"/>
    <w:rsid w:val="75A574D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qFormat/>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qFormat/>
    <w:uiPriority w:val="0"/>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14"/>
    <w:qFormat/>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eastAsia="宋体" w:cs="黑体"/>
      <w:b/>
      <w:bCs/>
      <w:sz w:val="28"/>
      <w:szCs w:val="28"/>
    </w:rPr>
  </w:style>
  <w:style w:type="character" w:default="1" w:styleId="11">
    <w:name w:val="Default Paragraph Font"/>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6">
    <w:name w:val="footer"/>
    <w:basedOn w:val="1"/>
    <w:link w:val="16"/>
    <w:qFormat/>
    <w:uiPriority w:val="0"/>
    <w:pPr>
      <w:tabs>
        <w:tab w:val="center" w:pos="4153"/>
        <w:tab w:val="right" w:pos="8306"/>
      </w:tabs>
      <w:snapToGrid w:val="0"/>
      <w:jc w:val="left"/>
    </w:pPr>
    <w:rPr>
      <w:sz w:val="18"/>
      <w:szCs w:val="18"/>
    </w:rPr>
  </w:style>
  <w:style w:type="paragraph" w:styleId="7">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8"/>
    <w:qFormat/>
    <w:uiPriority w:val="0"/>
    <w:pPr>
      <w:widowControl/>
      <w:spacing w:after="200" w:line="276" w:lineRule="auto"/>
      <w:jc w:val="left"/>
    </w:pPr>
    <w:rPr>
      <w:rFonts w:ascii="Calibri" w:hAnsi="Calibri" w:eastAsia="宋体" w:cs="黑体"/>
      <w:i/>
      <w:iCs/>
      <w:color w:val="F0A22E"/>
      <w:spacing w:val="15"/>
      <w:kern w:val="0"/>
      <w:sz w:val="24"/>
      <w:szCs w:val="24"/>
    </w:rPr>
  </w:style>
  <w:style w:type="paragraph" w:styleId="9">
    <w:name w:val="Title"/>
    <w:basedOn w:val="1"/>
    <w:next w:val="1"/>
    <w:link w:val="19"/>
    <w:qFormat/>
    <w:uiPriority w:val="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2">
    <w:name w:val="标题 1 Char"/>
    <w:basedOn w:val="11"/>
    <w:link w:val="2"/>
    <w:semiHidden/>
    <w:qFormat/>
    <w:uiPriority w:val="0"/>
    <w:rPr>
      <w:rFonts w:ascii="Times New Roman" w:hAnsi="Times New Roman" w:eastAsia="宋体" w:cs="Times New Roman"/>
      <w:b/>
      <w:bCs/>
      <w:kern w:val="44"/>
      <w:sz w:val="44"/>
      <w:szCs w:val="44"/>
    </w:rPr>
  </w:style>
  <w:style w:type="character" w:customStyle="1" w:styleId="13">
    <w:name w:val="标题 2 Char"/>
    <w:basedOn w:val="11"/>
    <w:link w:val="3"/>
    <w:semiHidden/>
    <w:qFormat/>
    <w:uiPriority w:val="0"/>
    <w:rPr>
      <w:rFonts w:ascii="Calibri" w:hAnsi="Calibri" w:eastAsia="宋体" w:cs="黑体"/>
      <w:b/>
      <w:bCs/>
      <w:sz w:val="32"/>
      <w:szCs w:val="32"/>
    </w:rPr>
  </w:style>
  <w:style w:type="character" w:customStyle="1" w:styleId="14">
    <w:name w:val="标题 3 Char"/>
    <w:basedOn w:val="11"/>
    <w:link w:val="4"/>
    <w:semiHidden/>
    <w:qFormat/>
    <w:uiPriority w:val="0"/>
    <w:rPr>
      <w:rFonts w:ascii="Times New Roman" w:hAnsi="Times New Roman" w:eastAsia="宋体" w:cs="Times New Roman"/>
      <w:b/>
      <w:bCs/>
      <w:sz w:val="32"/>
      <w:szCs w:val="32"/>
    </w:rPr>
  </w:style>
  <w:style w:type="character" w:customStyle="1" w:styleId="15">
    <w:name w:val="标题 4 Char"/>
    <w:basedOn w:val="11"/>
    <w:link w:val="5"/>
    <w:semiHidden/>
    <w:qFormat/>
    <w:uiPriority w:val="0"/>
    <w:rPr>
      <w:rFonts w:ascii="Calibri" w:hAnsi="Calibri" w:eastAsia="宋体" w:cs="黑体"/>
      <w:b/>
      <w:bCs/>
      <w:sz w:val="28"/>
      <w:szCs w:val="28"/>
    </w:rPr>
  </w:style>
  <w:style w:type="character" w:customStyle="1" w:styleId="16">
    <w:name w:val="页脚 Char"/>
    <w:basedOn w:val="11"/>
    <w:link w:val="6"/>
    <w:semiHidden/>
    <w:qFormat/>
    <w:uiPriority w:val="0"/>
    <w:rPr>
      <w:sz w:val="18"/>
      <w:szCs w:val="18"/>
    </w:rPr>
  </w:style>
  <w:style w:type="character" w:customStyle="1" w:styleId="17">
    <w:name w:val="页眉 Char"/>
    <w:basedOn w:val="11"/>
    <w:link w:val="7"/>
    <w:semiHidden/>
    <w:qFormat/>
    <w:uiPriority w:val="0"/>
    <w:rPr>
      <w:sz w:val="18"/>
      <w:szCs w:val="18"/>
    </w:rPr>
  </w:style>
  <w:style w:type="character" w:customStyle="1" w:styleId="18">
    <w:name w:val="副标题 Char"/>
    <w:basedOn w:val="11"/>
    <w:link w:val="8"/>
    <w:semiHidden/>
    <w:qFormat/>
    <w:uiPriority w:val="0"/>
    <w:rPr>
      <w:rFonts w:ascii="Calibri" w:hAnsi="Calibri" w:eastAsia="宋体" w:cs="黑体"/>
      <w:i/>
      <w:iCs/>
      <w:color w:val="F0A22E"/>
      <w:spacing w:val="15"/>
      <w:kern w:val="0"/>
      <w:sz w:val="24"/>
      <w:szCs w:val="24"/>
    </w:rPr>
  </w:style>
  <w:style w:type="character" w:customStyle="1" w:styleId="19">
    <w:name w:val="标题 Char"/>
    <w:basedOn w:val="11"/>
    <w:link w:val="9"/>
    <w:semiHidden/>
    <w:qFormat/>
    <w:uiPriority w:val="0"/>
    <w:rPr>
      <w:rFonts w:ascii="Calibri" w:hAnsi="Calibri" w:eastAsia="宋体" w:cs="黑体"/>
      <w:color w:val="392B23"/>
      <w:spacing w:val="5"/>
      <w:kern w:val="28"/>
      <w:sz w:val="52"/>
      <w:szCs w:val="52"/>
    </w:rPr>
  </w:style>
  <w:style w:type="paragraph" w:customStyle="1" w:styleId="20">
    <w:name w:val="批注框文本 Char Char"/>
    <w:basedOn w:val="1"/>
    <w:link w:val="22"/>
    <w:qFormat/>
    <w:uiPriority w:val="0"/>
    <w:rPr>
      <w:rFonts w:ascii="Times New Roman" w:hAnsi="Times New Roman" w:eastAsia="宋体" w:cs="Times New Roman"/>
      <w:sz w:val="18"/>
      <w:szCs w:val="18"/>
    </w:rPr>
  </w:style>
  <w:style w:type="paragraph" w:customStyle="1" w:styleId="21">
    <w:name w:val="无间隔1"/>
    <w:link w:val="23"/>
    <w:qFormat/>
    <w:uiPriority w:val="0"/>
    <w:pPr>
      <w:spacing w:after="160" w:line="480" w:lineRule="auto"/>
    </w:pPr>
    <w:rPr>
      <w:rFonts w:ascii="Times New Roman" w:hAnsi="Times New Roman" w:eastAsia="宋体" w:cs="Times New Roman"/>
      <w:kern w:val="0"/>
      <w:sz w:val="22"/>
      <w:lang w:val="en-US" w:eastAsia="zh-CN" w:bidi="ar-SA"/>
    </w:rPr>
  </w:style>
  <w:style w:type="character" w:customStyle="1" w:styleId="22">
    <w:name w:val="批注框文本 Char Char Char Char"/>
    <w:basedOn w:val="11"/>
    <w:link w:val="20"/>
    <w:semiHidden/>
    <w:qFormat/>
    <w:uiPriority w:val="0"/>
    <w:rPr>
      <w:rFonts w:ascii="Times New Roman" w:hAnsi="Times New Roman" w:eastAsia="宋体" w:cs="Times New Roman"/>
      <w:sz w:val="18"/>
      <w:szCs w:val="18"/>
    </w:rPr>
  </w:style>
  <w:style w:type="character" w:customStyle="1" w:styleId="23">
    <w:name w:val="无间隔 Char"/>
    <w:basedOn w:val="11"/>
    <w:link w:val="21"/>
    <w:semiHidden/>
    <w:qFormat/>
    <w:uiPriority w:val="0"/>
    <w:rPr>
      <w:kern w:val="0"/>
      <w:sz w:val="22"/>
    </w:rPr>
  </w:style>
  <w:style w:type="character" w:customStyle="1" w:styleId="24">
    <w:name w:val="Style1"/>
    <w:basedOn w:val="11"/>
    <w:qFormat/>
    <w:uiPriority w:val="0"/>
    <w:rPr>
      <w:rFonts w:ascii="Cambria" w:hAnsi="黑体" w:eastAsia="黑体" w:cs="黑体"/>
      <w:sz w:val="22"/>
      <w:szCs w:val="22"/>
      <w:lang w:eastAsia="zh-CN"/>
    </w:rPr>
  </w:style>
  <w:style w:type="character" w:customStyle="1" w:styleId="25">
    <w:name w:val="Style2"/>
    <w:basedOn w:val="11"/>
    <w:qFormat/>
    <w:uiPriority w:val="0"/>
    <w:rPr>
      <w:rFonts w:ascii="Cambria" w:hAnsi="黑体" w:eastAsia="黑体" w:cs="黑体"/>
      <w:sz w:val="22"/>
      <w:szCs w:val="22"/>
      <w:lang w:eastAsia="zh-CN"/>
    </w:rPr>
  </w:style>
  <w:style w:type="character" w:customStyle="1" w:styleId="26">
    <w:name w:val="Style3"/>
    <w:basedOn w:val="11"/>
    <w:qFormat/>
    <w:uiPriority w:val="0"/>
    <w:rPr>
      <w:rFonts w:ascii="Cambria" w:hAnsi="黑体" w:eastAsia="黑体" w:cs="黑体"/>
      <w:szCs w:val="22"/>
      <w:lang w:eastAsia="zh-CN"/>
    </w:rPr>
  </w:style>
  <w:style w:type="character" w:customStyle="1" w:styleId="27">
    <w:name w:val="Style4"/>
    <w:basedOn w:val="11"/>
    <w:qFormat/>
    <w:uiPriority w:val="0"/>
    <w:rPr>
      <w:rFonts w:ascii="Cambria" w:hAnsi="黑体" w:eastAsia="黑体" w:cs="黑体"/>
      <w:szCs w:val="22"/>
      <w:lang w:eastAsia="zh-CN"/>
    </w:rPr>
  </w:style>
  <w:style w:type="character" w:customStyle="1" w:styleId="28">
    <w:name w:val="Style5"/>
    <w:basedOn w:val="11"/>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14</Pages>
  <Words>709</Words>
  <Characters>4047</Characters>
  <Lines>33</Lines>
  <Paragraphs>9</Paragraphs>
  <TotalTime>0</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2019-02-02T03:03:00Z</dcterms:created>
  <dc:creator>User</dc:creator>
  <cp:lastModifiedBy>Administrator</cp:lastModifiedBy>
  <dcterms:modified xsi:type="dcterms:W3CDTF">2024-06-20T13:33:09Z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D447D680B8BA4FC5AEBEE5C5F83468BB</vt:lpwstr>
  </property>
</Properties>
</file>