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b/>
          <w:bCs/>
          <w:sz w:val="32"/>
          <w:szCs w:val="32"/>
          <w:lang w:val="en-US" w:eastAsia="zh-CN"/>
        </w:rPr>
      </w:pPr>
      <w:r>
        <w:rPr>
          <w:rFonts w:hint="eastAsia" w:ascii="宋体" w:hAnsi="宋体" w:eastAsia="宋体" w:cs="宋体"/>
          <w:sz w:val="24"/>
          <w:szCs w:val="24"/>
          <w:lang w:val="en-US" w:eastAsia="zh-CN"/>
        </w:rPr>
        <w:t xml:space="preserve">                                 </w:t>
      </w:r>
      <w:r>
        <w:rPr>
          <w:rFonts w:hint="eastAsia" w:ascii="仿宋_GB2312" w:hAnsi="仿宋_GB2312" w:eastAsia="仿宋_GB2312" w:cs="仿宋_GB2312"/>
          <w:sz w:val="32"/>
          <w:szCs w:val="32"/>
        </w:rPr>
        <w:t>无</w:t>
      </w:r>
      <w:r>
        <w:rPr>
          <w:rFonts w:hint="eastAsia" w:ascii="仿宋_GB2312" w:hAnsi="仿宋_GB2312" w:eastAsia="仿宋_GB2312" w:cs="仿宋_GB2312"/>
          <w:sz w:val="32"/>
          <w:szCs w:val="32"/>
          <w:lang w:val="en-US" w:eastAsia="zh-CN"/>
        </w:rPr>
        <w:t>行审委经开</w:t>
      </w:r>
      <w:r>
        <w:rPr>
          <w:rFonts w:hint="eastAsia" w:ascii="仿宋_GB2312" w:hAnsi="仿宋_GB2312" w:eastAsia="仿宋_GB2312" w:cs="仿宋_GB2312"/>
          <w:sz w:val="32"/>
          <w:szCs w:val="32"/>
        </w:rPr>
        <w:t>环批〔2023〕</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号</w:t>
      </w:r>
    </w:p>
    <w:p>
      <w:pPr>
        <w:jc w:val="center"/>
        <w:rPr>
          <w:rFonts w:hint="eastAsia" w:eastAsia="宋体" w:cs="宋体" w:asciiTheme="minorAscii" w:hAnsiTheme="minorAscii"/>
          <w:b/>
          <w:bCs/>
          <w:sz w:val="44"/>
          <w:szCs w:val="44"/>
          <w:lang w:val="en-US" w:eastAsia="zh-CN"/>
        </w:rPr>
      </w:pPr>
    </w:p>
    <w:p>
      <w:pPr>
        <w:jc w:val="center"/>
        <w:rPr>
          <w:rFonts w:hint="eastAsia" w:eastAsia="宋体" w:cs="宋体" w:asciiTheme="minorAscii" w:hAnsiTheme="minorAscii"/>
          <w:b/>
          <w:bCs/>
          <w:sz w:val="44"/>
          <w:szCs w:val="44"/>
          <w:lang w:val="en-US" w:eastAsia="zh-CN"/>
        </w:rPr>
      </w:pPr>
      <w:r>
        <w:rPr>
          <w:rFonts w:hint="eastAsia" w:eastAsia="宋体" w:cs="宋体" w:asciiTheme="minorAscii" w:hAnsiTheme="minorAscii"/>
          <w:b/>
          <w:bCs/>
          <w:sz w:val="44"/>
          <w:szCs w:val="44"/>
          <w:lang w:val="en-US" w:eastAsia="zh-CN"/>
        </w:rPr>
        <w:t>河北无极经济开发区管委会</w:t>
      </w:r>
    </w:p>
    <w:p>
      <w:pPr>
        <w:jc w:val="center"/>
        <w:rPr>
          <w:rFonts w:hint="default" w:eastAsia="宋体" w:cs="宋体" w:asciiTheme="minorAscii" w:hAnsiTheme="minorAscii"/>
          <w:b/>
          <w:bCs/>
          <w:sz w:val="44"/>
          <w:szCs w:val="44"/>
        </w:rPr>
      </w:pPr>
      <w:r>
        <w:rPr>
          <w:rFonts w:hint="default" w:eastAsia="宋体" w:cs="宋体" w:asciiTheme="minorAscii" w:hAnsiTheme="minorAscii"/>
          <w:b/>
          <w:bCs/>
          <w:sz w:val="44"/>
          <w:szCs w:val="44"/>
        </w:rPr>
        <w:t>关于无极县星源热力有限公司扩建天然气锅炉项目环境影响报告表的批复意见</w:t>
      </w:r>
    </w:p>
    <w:p>
      <w:pPr>
        <w:jc w:val="center"/>
        <w:rPr>
          <w:rFonts w:hint="default" w:eastAsia="宋体" w:cs="宋体" w:asciiTheme="minorAscii" w:hAnsiTheme="minorAscii"/>
          <w:b/>
          <w:bCs/>
          <w:sz w:val="44"/>
          <w:szCs w:val="44"/>
        </w:rPr>
      </w:pP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无极县星源热力有限公司</w:t>
      </w:r>
      <w:r>
        <w:rPr>
          <w:rFonts w:hint="eastAsia" w:ascii="仿宋_GB2312" w:hAnsi="仿宋_GB2312" w:eastAsia="仿宋_GB2312" w:cs="仿宋_GB2312"/>
          <w:sz w:val="32"/>
          <w:szCs w:val="32"/>
        </w:rPr>
        <w:t xml:space="preserve">： </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你单位所报《无极县星源热力有限公司扩建天然气锅炉项目环境影响报告表》（以下简称报告表）及有关材料收悉。</w:t>
      </w:r>
      <w:r>
        <w:rPr>
          <w:rFonts w:hint="eastAsia" w:ascii="仿宋_GB2312" w:hAnsi="仿宋_GB2312" w:eastAsia="仿宋_GB2312" w:cs="仿宋_GB2312"/>
          <w:sz w:val="32"/>
          <w:szCs w:val="32"/>
          <w:u w:val="none"/>
        </w:rPr>
        <w:t>经研究</w:t>
      </w:r>
      <w:r>
        <w:rPr>
          <w:rFonts w:hint="eastAsia" w:ascii="仿宋_GB2312" w:hAnsi="仿宋_GB2312" w:eastAsia="仿宋_GB2312" w:cs="仿宋_GB2312"/>
          <w:sz w:val="32"/>
          <w:szCs w:val="32"/>
        </w:rPr>
        <w:t>， 同意该项目按照环境影响报告表中所列内容进行建设，现批复如下：</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left="0" w:right="0" w:firstLine="560"/>
        <w:jc w:val="both"/>
        <w:textAlignment w:val="auto"/>
        <w:rPr>
          <w:rFonts w:hint="eastAsia" w:ascii="微软雅黑 Light" w:hAnsi="微软雅黑 Light" w:eastAsia="微软雅黑 Light" w:cs="微软雅黑 Light"/>
          <w:color w:val="000000" w:themeColor="text1"/>
          <w:kern w:val="2"/>
          <w:sz w:val="28"/>
          <w:szCs w:val="28"/>
          <w:lang w:val="en-US" w:eastAsia="zh-CN" w:bidi="ar-SA"/>
          <w14:textFill>
            <w14:solidFill>
              <w14:schemeClr w14:val="tx1"/>
            </w14:solidFill>
          </w14:textFill>
        </w:rPr>
      </w:pPr>
      <w:r>
        <w:rPr>
          <w:rFonts w:hint="eastAsia" w:ascii="黑体" w:hAnsi="黑体" w:eastAsia="黑体" w:cs="黑体"/>
          <w:b/>
          <w:bCs/>
          <w:sz w:val="32"/>
          <w:szCs w:val="32"/>
        </w:rPr>
        <w:t xml:space="preserve"> </w:t>
      </w:r>
      <w:r>
        <w:rPr>
          <w:rFonts w:hint="eastAsia" w:ascii="黑体" w:hAnsi="黑体" w:eastAsia="黑体" w:cs="黑体"/>
          <w:b/>
          <w:bCs/>
          <w:sz w:val="32"/>
          <w:szCs w:val="32"/>
          <w:lang w:val="en-US" w:eastAsia="zh-CN"/>
        </w:rPr>
        <w:t>一</w:t>
      </w:r>
      <w:r>
        <w:rPr>
          <w:rFonts w:hint="eastAsia" w:ascii="黑体" w:hAnsi="黑体" w:eastAsia="黑体" w:cs="黑体"/>
          <w:b/>
          <w:bCs/>
          <w:sz w:val="32"/>
          <w:szCs w:val="32"/>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本项目位于河北省石家庄市无极县大陈镇的河北无极经济开发区北区内。北区1站锅炉房的中心地理坐标为38°13'22.210"，114°58'28.080"，位于河北中胜化工集团有限公司厂区内。北区2站锅炉房的中心地理坐标为38°13'34.110"，114°58'42.240"，位于河北盖乐亭明胶有限公司厂区内。北区3站锅炉房的中心地理坐标为38°13'20.310"，114°59'27.460"，位于河北聚缘堂驴胶制品有限公司厂区内。项目总投资300万元，其中环保投资60万元，占总投资的20%。项目主要建设内容：该项目新增3个分布式供热站点，包括10蒸吨/小时天然气锅炉2台，15蒸吨/小时天然气锅炉1台及配套辅助设施及环保设施。项目建成后合计每小时生产蒸汽35蒸吨。</w:t>
      </w:r>
    </w:p>
    <w:p>
      <w:pPr>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40" w:lineRule="exact"/>
        <w:ind w:left="0" w:right="0" w:firstLine="560"/>
        <w:jc w:val="both"/>
        <w:textAlignment w:val="auto"/>
        <w:rPr>
          <w:rFonts w:hint="eastAsia" w:ascii="黑体" w:hAnsi="黑体" w:eastAsia="黑体" w:cs="黑体"/>
          <w:sz w:val="32"/>
          <w:szCs w:val="32"/>
          <w:lang w:val="en-US" w:eastAsia="zh-CN"/>
        </w:rPr>
      </w:pP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left="0" w:right="0" w:firstLine="560"/>
        <w:jc w:val="both"/>
        <w:textAlignment w:val="auto"/>
        <w:rPr>
          <w:rFonts w:hint="eastAsia" w:ascii="微软雅黑 Light" w:hAnsi="微软雅黑 Light" w:eastAsia="微软雅黑 Light" w:cs="微软雅黑 Light"/>
          <w:sz w:val="28"/>
          <w:szCs w:val="28"/>
          <w:lang w:val="en-US" w:eastAsia="zh-CN"/>
        </w:rPr>
      </w:pPr>
      <w:r>
        <w:rPr>
          <w:rFonts w:hint="eastAsia" w:ascii="黑体" w:hAnsi="黑体" w:eastAsia="黑体" w:cs="黑体"/>
          <w:b/>
          <w:bCs/>
          <w:sz w:val="32"/>
          <w:szCs w:val="32"/>
        </w:rPr>
        <w:t xml:space="preserve"> 二、</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建设单位要认真落实环境影响报告表规定的各项污染防治措施，确保各种污染物稳定达标排放。</w:t>
      </w:r>
      <w:r>
        <w:rPr>
          <w:rFonts w:hint="eastAsia" w:ascii="黑体" w:hAnsi="黑体" w:eastAsia="黑体" w:cs="黑体"/>
          <w:sz w:val="32"/>
          <w:szCs w:val="32"/>
        </w:rPr>
        <w:t xml:space="preserve">  </w:t>
      </w:r>
      <w:r>
        <w:rPr>
          <w:rFonts w:hint="eastAsia" w:ascii="黑体" w:hAnsi="黑体" w:eastAsia="黑体" w:cs="黑体"/>
          <w:sz w:val="32"/>
          <w:szCs w:val="32"/>
          <w:lang w:val="en-US" w:eastAsia="zh-CN"/>
        </w:rPr>
        <w:t xml:space="preserve"> </w:t>
      </w:r>
      <w:r>
        <w:rPr>
          <w:rFonts w:hint="eastAsia" w:ascii="微软雅黑 Light" w:hAnsi="微软雅黑 Light" w:eastAsia="微软雅黑 Light" w:cs="微软雅黑 Light"/>
          <w:sz w:val="28"/>
          <w:szCs w:val="28"/>
          <w:lang w:val="en-US" w:eastAsia="zh-CN"/>
        </w:rPr>
        <w:t xml:space="preserve"> </w:t>
      </w:r>
    </w:p>
    <w:p>
      <w:pPr>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40" w:lineRule="exact"/>
        <w:ind w:right="0" w:firstLine="321" w:firstLineChars="100"/>
        <w:jc w:val="both"/>
        <w:textAlignment w:val="auto"/>
        <w:rPr>
          <w:rFonts w:hint="eastAsia" w:ascii="楷体" w:hAnsi="楷体" w:eastAsia="楷体" w:cs="楷体"/>
          <w:b/>
          <w:bCs/>
          <w:sz w:val="32"/>
          <w:szCs w:val="32"/>
        </w:rPr>
      </w:pPr>
      <w:r>
        <w:rPr>
          <w:rFonts w:hint="eastAsia" w:ascii="楷体" w:hAnsi="楷体" w:eastAsia="楷体" w:cs="楷体"/>
          <w:b/>
          <w:bCs/>
          <w:sz w:val="32"/>
          <w:szCs w:val="32"/>
        </w:rPr>
        <w:t>（一）废水治理措施</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left="0" w:right="0" w:firstLine="561"/>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本项目各站点均采用锅外水处理—离子交换软化，排水主要为软化水制备系统排水，锅炉排水，其水质简单，经沉淀水箱+澄清水箱处理后，用于各站点所在厂区绿化和道路泼洒抑尘，不外排。</w:t>
      </w:r>
    </w:p>
    <w:p>
      <w:pPr>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40" w:lineRule="exact"/>
        <w:ind w:right="0" w:firstLine="321" w:firstLineChars="100"/>
        <w:jc w:val="both"/>
        <w:textAlignment w:val="auto"/>
        <w:rPr>
          <w:rFonts w:hint="eastAsia" w:ascii="楷体" w:hAnsi="楷体" w:eastAsia="楷体" w:cs="楷体"/>
          <w:b/>
          <w:bCs/>
          <w:sz w:val="32"/>
          <w:szCs w:val="32"/>
        </w:rPr>
      </w:pPr>
      <w:r>
        <w:rPr>
          <w:rFonts w:hint="eastAsia" w:ascii="楷体" w:hAnsi="楷体" w:eastAsia="楷体" w:cs="楷体"/>
          <w:b/>
          <w:bCs/>
          <w:sz w:val="32"/>
          <w:szCs w:val="32"/>
        </w:rPr>
        <w:t>（</w:t>
      </w:r>
      <w:r>
        <w:rPr>
          <w:rFonts w:hint="eastAsia" w:ascii="楷体" w:hAnsi="楷体" w:eastAsia="楷体" w:cs="楷体"/>
          <w:b/>
          <w:bCs/>
          <w:sz w:val="32"/>
          <w:szCs w:val="32"/>
          <w:lang w:val="en-US" w:eastAsia="zh-CN"/>
        </w:rPr>
        <w:t>二</w:t>
      </w:r>
      <w:r>
        <w:rPr>
          <w:rFonts w:hint="eastAsia" w:ascii="楷体" w:hAnsi="楷体" w:eastAsia="楷体" w:cs="楷体"/>
          <w:b/>
          <w:bCs/>
          <w:sz w:val="32"/>
          <w:szCs w:val="32"/>
        </w:rPr>
        <w:t>）废气治理措施</w:t>
      </w:r>
    </w:p>
    <w:p>
      <w:pPr>
        <w:pStyle w:val="6"/>
        <w:keepNext w:val="0"/>
        <w:keepLines w:val="0"/>
        <w:pageBreakBefore w:val="0"/>
        <w:kinsoku/>
        <w:wordWrap/>
        <w:overflowPunct/>
        <w:topLinePunct w:val="0"/>
        <w:autoSpaceDE/>
        <w:autoSpaceDN/>
        <w:bidi w:val="0"/>
        <w:adjustRightInd/>
        <w:spacing w:line="540" w:lineRule="exact"/>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①北区1站锅炉房，1台10蒸吨/小时天然气锅炉采用低氮燃烧技术后废气经1根8m高排气筒DA033排放。</w:t>
      </w:r>
    </w:p>
    <w:p>
      <w:pPr>
        <w:pStyle w:val="6"/>
        <w:keepNext w:val="0"/>
        <w:keepLines w:val="0"/>
        <w:pageBreakBefore w:val="0"/>
        <w:kinsoku/>
        <w:wordWrap/>
        <w:overflowPunct/>
        <w:topLinePunct w:val="0"/>
        <w:autoSpaceDE/>
        <w:autoSpaceDN/>
        <w:bidi w:val="0"/>
        <w:adjustRightInd/>
        <w:spacing w:line="540" w:lineRule="exact"/>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②北区2站锅炉房，1台15蒸吨/小时天然气锅炉采用低氮燃烧技术后废气经1根8m高排气筒DA034排放。</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pacing w:before="0" w:beforeAutospacing="0" w:after="0" w:afterAutospacing="0" w:line="540" w:lineRule="exact"/>
        <w:ind w:right="0" w:rightChars="0" w:firstLine="640" w:firstLineChars="20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③北区3站锅炉房，1台10蒸吨/小时天然气锅炉采用低氮燃烧技术后废气经1根8m高排气筒DA035排放。</w:t>
      </w:r>
    </w:p>
    <w:p>
      <w:pPr>
        <w:pStyle w:val="6"/>
        <w:keepNext w:val="0"/>
        <w:keepLines w:val="0"/>
        <w:pageBreakBefore w:val="0"/>
        <w:kinsoku/>
        <w:wordWrap/>
        <w:overflowPunct/>
        <w:topLinePunct w:val="0"/>
        <w:autoSpaceDE/>
        <w:autoSpaceDN/>
        <w:bidi w:val="0"/>
        <w:adjustRightInd/>
        <w:spacing w:line="540" w:lineRule="exact"/>
        <w:textAlignment w:val="auto"/>
        <w:rPr>
          <w:rFonts w:hint="eastAsia"/>
          <w:lang w:val="en-US" w:eastAsia="zh-CN"/>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本项目各锅炉烟气排放均执行《锅炉大气污染物排放标准》（DB13/5161-2020）表1大气污染物排放限值。</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321" w:firstLineChars="100"/>
        <w:jc w:val="both"/>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（三）噪声治理措施</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left="0" w:right="0" w:firstLine="560"/>
        <w:jc w:val="both"/>
        <w:textAlignment w:val="auto"/>
        <w:rPr>
          <w:rFonts w:hint="eastAsia" w:ascii="微软雅黑 Light" w:hAnsi="微软雅黑 Light" w:eastAsia="微软雅黑 Light" w:cs="微软雅黑 Light"/>
          <w:color w:val="000000" w:themeColor="text1"/>
          <w:kern w:val="2"/>
          <w:sz w:val="28"/>
          <w:szCs w:val="28"/>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选用低噪声设备、基础减振、站房隔声等措施。设备安装时施工噪声执行《建筑施工场界环境噪声排放标准》（GB12523-2011）排放限值，营运期厂界噪声执行《</w:t>
      </w:r>
      <w:bookmarkStart w:id="0" w:name="_GoBack"/>
      <w:bookmarkEnd w:id="0"/>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工业企业厂界环境噪声排放标准》（GB12348-2008）3类标准。</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right="0" w:firstLine="321" w:firstLineChars="100"/>
        <w:jc w:val="both"/>
        <w:textAlignment w:val="auto"/>
        <w:rPr>
          <w:rFonts w:hint="eastAsia" w:ascii="楷体" w:hAnsi="楷体" w:eastAsia="楷体" w:cs="楷体"/>
          <w:b/>
          <w:bCs/>
          <w:sz w:val="32"/>
          <w:szCs w:val="32"/>
          <w:lang w:val="en-US" w:eastAsia="zh-CN"/>
        </w:rPr>
      </w:pPr>
      <w:r>
        <w:rPr>
          <w:rFonts w:hint="eastAsia" w:ascii="楷体" w:hAnsi="楷体" w:eastAsia="楷体" w:cs="楷体"/>
          <w:b/>
          <w:bCs/>
          <w:sz w:val="32"/>
          <w:szCs w:val="32"/>
          <w:lang w:val="en-US" w:eastAsia="zh-CN"/>
        </w:rPr>
        <w:t>（四）固废治理措施</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left="0" w:right="0" w:firstLine="561"/>
        <w:jc w:val="both"/>
        <w:textAlignment w:val="auto"/>
        <w:rPr>
          <w:rFonts w:hint="default"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该项目固体废物主要为一般工业固体废物，废离子交换树脂不暂存由厂家更换，再生处理后再利用。沉淀水箱、澄清水箱产生的沉渣清理后不暂存，交由一般工业固体废物处置单位处理。</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left="0" w:right="0" w:firstLine="561"/>
        <w:jc w:val="both"/>
        <w:textAlignment w:val="auto"/>
        <w:rPr>
          <w:rFonts w:hint="eastAsia" w:ascii="微软雅黑 Light" w:hAnsi="微软雅黑 Light" w:eastAsia="微软雅黑 Light" w:cs="微软雅黑 Light"/>
          <w:sz w:val="28"/>
          <w:szCs w:val="28"/>
        </w:rPr>
      </w:pPr>
      <w:r>
        <w:rPr>
          <w:rFonts w:hint="eastAsia" w:ascii="黑体" w:hAnsi="黑体" w:eastAsia="黑体" w:cs="黑体"/>
          <w:b/>
          <w:bCs/>
          <w:sz w:val="32"/>
          <w:szCs w:val="32"/>
          <w:lang w:val="en-US" w:eastAsia="zh-CN"/>
        </w:rPr>
        <w:t>三、</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本项目环评文件经批准后，建设单位必须认真按照报告 表中所列建设内容、平面布局、建设规模、污染防治措施进行建设，不得擅自改变。如果建设项目的性质、规模、地点、采用的生产工艺或者防止污染、防止生态破坏的措施发生重大变动的，建设单位应当重新报批环评文件。</w:t>
      </w:r>
      <w:r>
        <w:rPr>
          <w:rFonts w:hint="eastAsia" w:ascii="微软雅黑 Light" w:hAnsi="微软雅黑 Light" w:eastAsia="微软雅黑 Light" w:cs="微软雅黑 Light"/>
          <w:sz w:val="28"/>
          <w:szCs w:val="28"/>
        </w:rPr>
        <w:t xml:space="preserve"> </w:t>
      </w:r>
    </w:p>
    <w:p>
      <w:pPr>
        <w:keepNext w:val="0"/>
        <w:keepLines w:val="0"/>
        <w:pageBreakBefore w:val="0"/>
        <w:widowControl/>
        <w:suppressLineNumbers w:val="0"/>
        <w:shd w:val="clear" w:fill="FFFFFF"/>
        <w:kinsoku/>
        <w:wordWrap/>
        <w:overflowPunct/>
        <w:topLinePunct w:val="0"/>
        <w:autoSpaceDE/>
        <w:autoSpaceDN/>
        <w:bidi w:val="0"/>
        <w:adjustRightInd/>
        <w:snapToGrid/>
        <w:spacing w:before="0" w:beforeAutospacing="0" w:after="0" w:afterAutospacing="0" w:line="540" w:lineRule="exact"/>
        <w:ind w:left="0" w:right="0" w:firstLine="561"/>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黑体" w:hAnsi="黑体" w:eastAsia="黑体" w:cs="黑体"/>
          <w:b/>
          <w:bCs/>
          <w:sz w:val="32"/>
          <w:szCs w:val="32"/>
          <w:lang w:val="en-US" w:eastAsia="zh-CN"/>
        </w:rPr>
        <w:t>四</w:t>
      </w:r>
      <w:r>
        <w:rPr>
          <w:rFonts w:hint="eastAsia" w:ascii="黑体" w:hAnsi="黑体" w:eastAsia="黑体" w:cs="黑体"/>
          <w:sz w:val="32"/>
          <w:szCs w:val="32"/>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项目建设应严格执行“三同时”管理制度，项目建成投产（投入使用）前，应当办理排污许可手续，并按照规定完成环境 保护验收。</w:t>
      </w:r>
    </w:p>
    <w:p>
      <w:pPr>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40" w:lineRule="exact"/>
        <w:ind w:left="0" w:right="0" w:firstLine="560"/>
        <w:jc w:val="both"/>
        <w:textAlignment w:val="auto"/>
        <w:rPr>
          <w:rFonts w:hint="eastAsia" w:ascii="黑体" w:hAnsi="黑体" w:eastAsia="黑体" w:cs="黑体"/>
          <w:sz w:val="32"/>
          <w:szCs w:val="32"/>
        </w:rPr>
      </w:pPr>
      <w:r>
        <w:rPr>
          <w:rFonts w:hint="eastAsia" w:ascii="黑体" w:hAnsi="黑体" w:eastAsia="黑体" w:cs="黑体"/>
          <w:b/>
          <w:bCs/>
          <w:sz w:val="32"/>
          <w:szCs w:val="32"/>
          <w:lang w:val="en-US" w:eastAsia="zh-CN"/>
        </w:rPr>
        <w:t>五</w:t>
      </w:r>
      <w:r>
        <w:rPr>
          <w:rFonts w:hint="eastAsia" w:ascii="黑体" w:hAnsi="黑体" w:eastAsia="黑体" w:cs="黑体"/>
          <w:sz w:val="32"/>
          <w:szCs w:val="32"/>
          <w:lang w:val="en-US" w:eastAsia="zh-CN"/>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该项目环境影响报告表及批复意见一并作为工程设计和 环境管理的依据</w:t>
      </w:r>
      <w:r>
        <w:rPr>
          <w:rFonts w:hint="eastAsia" w:ascii="黑体" w:hAnsi="黑体" w:eastAsia="黑体" w:cs="黑体"/>
          <w:sz w:val="32"/>
          <w:szCs w:val="32"/>
        </w:rPr>
        <w:t>。</w:t>
      </w:r>
    </w:p>
    <w:p>
      <w:pPr>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40" w:lineRule="exact"/>
        <w:ind w:left="0" w:right="0" w:firstLine="56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黑体" w:hAnsi="黑体" w:eastAsia="黑体" w:cs="黑体"/>
          <w:b/>
          <w:bCs/>
          <w:sz w:val="32"/>
          <w:szCs w:val="32"/>
          <w:lang w:val="en-US" w:eastAsia="zh-CN"/>
        </w:rPr>
        <w:t>六</w:t>
      </w:r>
      <w:r>
        <w:rPr>
          <w:rFonts w:hint="eastAsia" w:ascii="黑体" w:hAnsi="黑体" w:eastAsia="黑体" w:cs="黑体"/>
          <w:sz w:val="32"/>
          <w:szCs w:val="32"/>
          <w:lang w:val="en-US" w:eastAsia="zh-CN"/>
        </w:rPr>
        <w:t>、</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依据环保部《关于印发建设项目环境保护事中事后监督 管理办法(试行)的通知》(环发(2015)163 号)要求，该项目的日常 环境监督管理工作由属地生态环境主管部门负责。</w:t>
      </w:r>
    </w:p>
    <w:p>
      <w:pPr>
        <w:keepNext w:val="0"/>
        <w:keepLines w:val="0"/>
        <w:pageBreakBefore w:val="0"/>
        <w:widowControl/>
        <w:suppressLineNumbers w:val="0"/>
        <w:shd w:val="clear" w:fill="FFFFFF"/>
        <w:kinsoku/>
        <w:wordWrap/>
        <w:overflowPunct/>
        <w:topLinePunct w:val="0"/>
        <w:autoSpaceDE/>
        <w:autoSpaceDN/>
        <w:bidi w:val="0"/>
        <w:adjustRightInd/>
        <w:spacing w:before="0" w:beforeAutospacing="0" w:after="0" w:afterAutospacing="0" w:line="540" w:lineRule="exact"/>
        <w:ind w:left="0" w:right="0" w:firstLine="560"/>
        <w:jc w:val="both"/>
        <w:textAlignment w:val="auto"/>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pPr>
      <w:r>
        <w:rPr>
          <w:rFonts w:hint="eastAsia" w:ascii="黑体" w:hAnsi="黑体" w:eastAsia="黑体" w:cs="黑体"/>
          <w:sz w:val="32"/>
          <w:szCs w:val="32"/>
          <w:lang w:val="en-US" w:eastAsia="zh-CN"/>
        </w:rPr>
        <w:t>七、</w:t>
      </w:r>
      <w:r>
        <w:rPr>
          <w:rFonts w:hint="eastAsia" w:ascii="仿宋_GB2312" w:hAnsi="仿宋_GB2312" w:eastAsia="仿宋_GB2312" w:cs="仿宋_GB2312"/>
          <w:color w:val="000000" w:themeColor="text1"/>
          <w:kern w:val="2"/>
          <w:sz w:val="32"/>
          <w:szCs w:val="32"/>
          <w:lang w:val="en-US" w:eastAsia="zh-CN" w:bidi="ar-SA"/>
          <w14:textFill>
            <w14:solidFill>
              <w14:schemeClr w14:val="tx1"/>
            </w14:solidFill>
          </w14:textFill>
        </w:rPr>
        <w:t>请你单位接到批复后 3 个工作日内，将报告表及批复意见（原件）报送石家庄市生态环境局无极县分局。</w:t>
      </w:r>
    </w:p>
    <w:p>
      <w:pPr>
        <w:pStyle w:val="2"/>
        <w:rPr>
          <w:rFonts w:hint="eastAsia"/>
          <w:lang w:val="en-US" w:eastAsia="zh-CN"/>
        </w:rPr>
      </w:pPr>
    </w:p>
    <w:p>
      <w:pPr>
        <w:keepNext w:val="0"/>
        <w:keepLines w:val="0"/>
        <w:widowControl/>
        <w:numPr>
          <w:ilvl w:val="0"/>
          <w:numId w:val="0"/>
        </w:numPr>
        <w:suppressLineNumbers w:val="0"/>
        <w:shd w:val="clear" w:fill="FFFFFF"/>
        <w:tabs>
          <w:tab w:val="left" w:pos="4410"/>
          <w:tab w:val="left" w:pos="5250"/>
        </w:tabs>
        <w:spacing w:before="0" w:beforeAutospacing="0" w:after="0" w:afterAutospacing="0" w:line="600" w:lineRule="atLeast"/>
        <w:ind w:right="0" w:rightChars="0"/>
        <w:jc w:val="both"/>
        <w:rPr>
          <w:rFonts w:hint="eastAsia" w:ascii="微软雅黑 Light" w:hAnsi="微软雅黑 Light" w:eastAsia="微软雅黑 Light" w:cs="微软雅黑 Light"/>
          <w:sz w:val="28"/>
          <w:szCs w:val="28"/>
          <w:lang w:val="en-US" w:eastAsia="zh-CN"/>
        </w:rPr>
      </w:pPr>
      <w:r>
        <w:rPr>
          <w:rFonts w:hint="eastAsia"/>
          <w:lang w:val="en-US" w:eastAsia="zh-CN"/>
        </w:rPr>
        <w:t xml:space="preserve">    </w:t>
      </w:r>
      <w:r>
        <w:rPr>
          <w:rFonts w:hint="eastAsia" w:ascii="微软雅黑 Light" w:hAnsi="微软雅黑 Light" w:eastAsia="微软雅黑 Light" w:cs="微软雅黑 Light"/>
          <w:sz w:val="28"/>
          <w:szCs w:val="28"/>
          <w:lang w:val="en-US" w:eastAsia="zh-CN"/>
        </w:rPr>
        <w:drawing>
          <wp:inline distT="0" distB="0" distL="114300" distR="114300">
            <wp:extent cx="3225165" cy="1336040"/>
            <wp:effectExtent l="0" t="0" r="13335" b="16510"/>
            <wp:docPr id="2" name="图片 2" descr="d51698cf2b6f7d5a87e1b5de0ab4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51698cf2b6f7d5a87e1b5de0ab4119"/>
                    <pic:cNvPicPr>
                      <a:picLocks noChangeAspect="1"/>
                    </pic:cNvPicPr>
                  </pic:nvPicPr>
                  <pic:blipFill>
                    <a:blip r:embed="rId4"/>
                    <a:stretch>
                      <a:fillRect/>
                    </a:stretch>
                  </pic:blipFill>
                  <pic:spPr>
                    <a:xfrm>
                      <a:off x="0" y="0"/>
                      <a:ext cx="3225165" cy="1336040"/>
                    </a:xfrm>
                    <a:prstGeom prst="rect">
                      <a:avLst/>
                    </a:prstGeom>
                  </pic:spPr>
                </pic:pic>
              </a:graphicData>
            </a:graphic>
          </wp:inline>
        </w:drawing>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0" w:beforeAutospacing="0" w:after="0" w:afterAutospacing="0" w:line="560" w:lineRule="exact"/>
        <w:ind w:right="0" w:rightChars="0" w:firstLine="3920" w:firstLineChars="1400"/>
        <w:jc w:val="both"/>
        <w:textAlignment w:val="auto"/>
        <w:rPr>
          <w:rFonts w:hint="eastAsia" w:ascii="楷体" w:hAnsi="楷体" w:eastAsia="楷体" w:cs="楷体"/>
          <w:sz w:val="28"/>
          <w:szCs w:val="28"/>
          <w:lang w:val="en-US" w:eastAsia="zh-CN"/>
        </w:rPr>
      </w:pPr>
      <w:r>
        <w:rPr>
          <w:rFonts w:hint="eastAsia" w:ascii="微软雅黑 Light" w:hAnsi="微软雅黑 Light" w:eastAsia="微软雅黑 Light" w:cs="微软雅黑 Light"/>
          <w:sz w:val="28"/>
          <w:szCs w:val="28"/>
          <w:lang w:val="en-US" w:eastAsia="zh-CN"/>
        </w:rPr>
        <w:t xml:space="preserve"> </w:t>
      </w:r>
      <w:r>
        <w:rPr>
          <w:rFonts w:hint="eastAsia" w:ascii="楷体" w:hAnsi="楷体" w:eastAsia="楷体" w:cs="楷体"/>
          <w:sz w:val="28"/>
          <w:szCs w:val="28"/>
          <w:lang w:val="en-US" w:eastAsia="zh-CN"/>
        </w:rPr>
        <w:t xml:space="preserve"> </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0" w:beforeAutospacing="0" w:after="0" w:afterAutospacing="0" w:line="560" w:lineRule="exact"/>
        <w:ind w:right="0" w:rightChars="0" w:firstLine="3920" w:firstLineChars="1400"/>
        <w:jc w:val="right"/>
        <w:textAlignment w:val="auto"/>
        <w:rPr>
          <w:rFonts w:hint="eastAsia" w:ascii="楷体" w:hAnsi="楷体" w:eastAsia="楷体" w:cs="楷体"/>
          <w:sz w:val="28"/>
          <w:szCs w:val="28"/>
          <w:lang w:val="en-US" w:eastAsia="zh-CN"/>
        </w:rPr>
      </w:pPr>
      <w:r>
        <w:rPr>
          <w:rFonts w:hint="eastAsia" w:ascii="楷体" w:hAnsi="楷体" w:eastAsia="楷体" w:cs="楷体"/>
          <w:sz w:val="28"/>
          <w:szCs w:val="28"/>
          <w:lang w:val="en-US" w:eastAsia="zh-CN"/>
        </w:rPr>
        <w:t>河北无极经济开发区管理委员会</w:t>
      </w:r>
    </w:p>
    <w:p>
      <w:pPr>
        <w:keepNext w:val="0"/>
        <w:keepLines w:val="0"/>
        <w:pageBreakBefore w:val="0"/>
        <w:widowControl/>
        <w:numPr>
          <w:ilvl w:val="0"/>
          <w:numId w:val="0"/>
        </w:numPr>
        <w:suppressLineNumbers w:val="0"/>
        <w:shd w:val="clear" w:fill="FFFFFF"/>
        <w:kinsoku/>
        <w:wordWrap/>
        <w:overflowPunct/>
        <w:topLinePunct w:val="0"/>
        <w:autoSpaceDE/>
        <w:autoSpaceDN/>
        <w:bidi w:val="0"/>
        <w:adjustRightInd/>
        <w:snapToGrid/>
        <w:spacing w:before="0" w:beforeAutospacing="0" w:after="0" w:afterAutospacing="0" w:line="560" w:lineRule="exact"/>
        <w:ind w:right="0" w:rightChars="0" w:firstLine="5320" w:firstLineChars="1900"/>
        <w:jc w:val="both"/>
        <w:textAlignment w:val="auto"/>
        <w:rPr>
          <w:rFonts w:hint="eastAsia" w:ascii="微软雅黑 Light" w:hAnsi="微软雅黑 Light" w:eastAsia="微软雅黑 Light" w:cs="微软雅黑 Light"/>
          <w:sz w:val="28"/>
          <w:szCs w:val="28"/>
          <w:lang w:eastAsia="zh-CN"/>
        </w:rPr>
      </w:pPr>
      <w:r>
        <w:rPr>
          <w:rFonts w:hint="eastAsia" w:ascii="楷体" w:hAnsi="楷体" w:eastAsia="楷体" w:cs="楷体"/>
          <w:sz w:val="28"/>
          <w:szCs w:val="28"/>
          <w:lang w:val="en-US" w:eastAsia="zh-CN"/>
        </w:rPr>
        <w:t>2023年8月30日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微软雅黑 Light">
    <w:panose1 w:val="020B0502040204020203"/>
    <w:charset w:val="86"/>
    <w:family w:val="auto"/>
    <w:pitch w:val="default"/>
    <w:sig w:usb0="80000287" w:usb1="2ACF0010" w:usb2="00000016" w:usb3="00000000" w:csb0="0004001F"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NkMjA1NWQ0YjY0YjJhOTZjNDU4ZWVhMmE5MDQ1OTUifQ=="/>
  </w:docVars>
  <w:rsids>
    <w:rsidRoot w:val="00000000"/>
    <w:rsid w:val="0381685A"/>
    <w:rsid w:val="0A647B94"/>
    <w:rsid w:val="117D7C75"/>
    <w:rsid w:val="127A7363"/>
    <w:rsid w:val="128F4AEF"/>
    <w:rsid w:val="12993BC0"/>
    <w:rsid w:val="13031039"/>
    <w:rsid w:val="171D7719"/>
    <w:rsid w:val="18C82B09"/>
    <w:rsid w:val="19FF49EF"/>
    <w:rsid w:val="1A2F2491"/>
    <w:rsid w:val="208F215E"/>
    <w:rsid w:val="2B0C53CC"/>
    <w:rsid w:val="2F9F7270"/>
    <w:rsid w:val="32C15418"/>
    <w:rsid w:val="379E11AD"/>
    <w:rsid w:val="3B295F7D"/>
    <w:rsid w:val="3CB7686D"/>
    <w:rsid w:val="3FBE7F13"/>
    <w:rsid w:val="42D57A4D"/>
    <w:rsid w:val="46690BD8"/>
    <w:rsid w:val="4886168F"/>
    <w:rsid w:val="49AD5195"/>
    <w:rsid w:val="4E265601"/>
    <w:rsid w:val="52B616FE"/>
    <w:rsid w:val="53F51CFD"/>
    <w:rsid w:val="59142C25"/>
    <w:rsid w:val="5FD72BFF"/>
    <w:rsid w:val="6568465B"/>
    <w:rsid w:val="672A5D0A"/>
    <w:rsid w:val="6CD96208"/>
    <w:rsid w:val="702F613F"/>
    <w:rsid w:val="71702B15"/>
    <w:rsid w:val="719C4727"/>
    <w:rsid w:val="79BD160C"/>
    <w:rsid w:val="7A051EAB"/>
    <w:rsid w:val="7A261A6C"/>
    <w:rsid w:val="7AF910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4"/>
    <w:basedOn w:val="1"/>
    <w:next w:val="2"/>
    <w:unhideWhenUsed/>
    <w:qFormat/>
    <w:uiPriority w:val="0"/>
    <w:pPr>
      <w:keepNext/>
      <w:keepLines/>
      <w:spacing w:before="280" w:after="290" w:line="376" w:lineRule="auto"/>
      <w:outlineLvl w:val="3"/>
    </w:pPr>
    <w:rPr>
      <w:rFonts w:ascii="Cambria" w:hAnsi="Cambria"/>
      <w:b/>
      <w:bCs/>
      <w:sz w:val="28"/>
      <w:szCs w:val="28"/>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next w:val="3"/>
    <w:qFormat/>
    <w:uiPriority w:val="0"/>
    <w:pPr>
      <w:ind w:firstLine="420"/>
    </w:pPr>
  </w:style>
  <w:style w:type="paragraph" w:styleId="4">
    <w:name w:val="annotation text"/>
    <w:basedOn w:val="1"/>
    <w:uiPriority w:val="0"/>
    <w:pPr>
      <w:jc w:val="left"/>
    </w:pPr>
  </w:style>
  <w:style w:type="paragraph" w:styleId="5">
    <w:name w:val="Body Text Indent"/>
    <w:basedOn w:val="1"/>
    <w:next w:val="6"/>
    <w:qFormat/>
    <w:uiPriority w:val="0"/>
    <w:pPr>
      <w:snapToGrid w:val="0"/>
      <w:ind w:firstLine="498"/>
    </w:pPr>
    <w:rPr>
      <w:rFonts w:ascii="宋体"/>
      <w:sz w:val="24"/>
    </w:rPr>
  </w:style>
  <w:style w:type="paragraph" w:styleId="6">
    <w:name w:val="Body Text First Indent 2"/>
    <w:basedOn w:val="5"/>
    <w:next w:val="1"/>
    <w:qFormat/>
    <w:uiPriority w:val="0"/>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1348</Words>
  <Characters>1424</Characters>
  <Lines>0</Lines>
  <Paragraphs>0</Paragraphs>
  <TotalTime>11</TotalTime>
  <ScaleCrop>false</ScaleCrop>
  <LinksUpToDate>false</LinksUpToDate>
  <CharactersWithSpaces>1569</CharactersWithSpaces>
  <Application>WPS Office_12.1.0.15358_F1E327BC-269C-435d-A152-05C5408002CA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2023-08-02T02:27:00Z</dcterms:created>
  <dc:creator>Administrator</dc:creator>
  <cp:lastModifiedBy>YUZEXIONG_</cp:lastModifiedBy>
  <cp:lastPrinted>2023-08-30T07:28:02Z</cp:lastPrinted>
  <dcterms:modified xsi:type="dcterms:W3CDTF">2023-08-30T07:29:08Z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2052-12.1.0.15358</vt:lpwstr>
  </property>
  <property fmtid="{D5CDD505-2E9C-101B-9397-08002B2CF9AE}" pid="3" name="ICV">
    <vt:lpwstr>71E420D964AD46B99F505CC420CCF01D_12</vt:lpwstr>
  </property>
</Properties>
</file>