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b/>
          <w:bCs/>
          <w:sz w:val="44"/>
          <w:szCs w:val="44"/>
        </w:rPr>
      </w:pPr>
      <w:bookmarkStart w:id="0" w:name="_GoBack"/>
      <w:bookmarkEnd w:id="0"/>
    </w:p>
    <w:p>
      <w:pPr>
        <w:ind w:firstLine="4996" w:firstLineChars="1131"/>
        <w:rPr>
          <w:rFonts w:ascii="宋体"/>
          <w:b/>
          <w:bCs/>
          <w:sz w:val="44"/>
          <w:szCs w:val="44"/>
        </w:rPr>
      </w:pPr>
      <w:r>
        <w:rPr>
          <w:rFonts w:hint="eastAsia" w:ascii="宋体" w:hAnsi="宋体" w:cs="宋体"/>
          <w:b/>
          <w:bCs/>
          <w:sz w:val="44"/>
          <w:szCs w:val="44"/>
        </w:rPr>
        <w:t>无极县县直工委</w:t>
      </w:r>
      <w:r>
        <w:rPr>
          <w:rFonts w:ascii="宋体" w:hAnsi="宋体" w:cs="宋体"/>
          <w:b/>
          <w:bCs/>
          <w:sz w:val="44"/>
          <w:szCs w:val="44"/>
        </w:rPr>
        <w:t xml:space="preserve">    </w:t>
      </w:r>
    </w:p>
    <w:p>
      <w:pPr>
        <w:jc w:val="center"/>
        <w:rPr>
          <w:rFonts w:ascii="宋体"/>
          <w:b/>
          <w:bCs/>
          <w:sz w:val="44"/>
          <w:szCs w:val="44"/>
        </w:rPr>
      </w:pPr>
      <w:r>
        <w:rPr>
          <w:rFonts w:ascii="宋体" w:hAnsi="宋体" w:cs="宋体"/>
          <w:b/>
          <w:bCs/>
          <w:sz w:val="44"/>
          <w:szCs w:val="44"/>
        </w:rPr>
        <w:t>2017</w:t>
      </w:r>
      <w:r>
        <w:rPr>
          <w:rFonts w:hint="eastAsia" w:ascii="宋体" w:hAnsi="宋体" w:cs="宋体"/>
          <w:b/>
          <w:bCs/>
          <w:sz w:val="44"/>
          <w:szCs w:val="44"/>
        </w:rPr>
        <w:t>年部门预算信息公开说明目录</w:t>
      </w:r>
    </w:p>
    <w:p/>
    <w:p/>
    <w:p>
      <w:pPr>
        <w:ind w:firstLine="640" w:firstLineChars="200"/>
        <w:rPr>
          <w:rFonts w:ascii="宋体"/>
          <w:sz w:val="32"/>
          <w:szCs w:val="32"/>
        </w:rPr>
      </w:pPr>
      <w:r>
        <w:rPr>
          <w:rFonts w:hint="eastAsia" w:ascii="宋体" w:hAnsi="宋体" w:cs="宋体"/>
          <w:sz w:val="32"/>
          <w:szCs w:val="32"/>
        </w:rPr>
        <w:t>一、部门职责及机构设置情况</w:t>
      </w:r>
    </w:p>
    <w:p>
      <w:pPr>
        <w:ind w:firstLine="640" w:firstLineChars="200"/>
        <w:rPr>
          <w:rFonts w:ascii="宋体"/>
          <w:sz w:val="32"/>
          <w:szCs w:val="32"/>
        </w:rPr>
      </w:pPr>
      <w:r>
        <w:rPr>
          <w:rFonts w:hint="eastAsia" w:ascii="宋体" w:hAnsi="宋体" w:cs="宋体"/>
          <w:sz w:val="32"/>
          <w:szCs w:val="32"/>
        </w:rPr>
        <w:t>二、部门预算安排的总体情况</w:t>
      </w:r>
    </w:p>
    <w:p>
      <w:pPr>
        <w:ind w:firstLine="640" w:firstLineChars="200"/>
        <w:rPr>
          <w:rFonts w:ascii="宋体"/>
          <w:sz w:val="32"/>
          <w:szCs w:val="32"/>
        </w:rPr>
      </w:pPr>
      <w:r>
        <w:rPr>
          <w:rFonts w:hint="eastAsia" w:ascii="宋体" w:hAnsi="宋体" w:cs="宋体"/>
          <w:sz w:val="32"/>
          <w:szCs w:val="32"/>
        </w:rPr>
        <w:t>三、机关运行经费安排情况</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四、财政拨款“三公”经费预算情况及增减变化原因</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五、绩效预算信息</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六、政府采购预算情况</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七、国有资产信息</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八、名词解释</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九、其他需要说明的事项</w:t>
      </w:r>
    </w:p>
    <w:p/>
    <w:p>
      <w:pPr>
        <w:ind w:firstLine="640" w:firstLineChars="200"/>
        <w:rPr>
          <w:rFonts w:ascii="仿宋_GB2312" w:hAnsi="仿宋" w:eastAsia="仿宋_GB2312"/>
          <w:sz w:val="32"/>
          <w:szCs w:val="32"/>
        </w:rPr>
      </w:pPr>
      <w:r>
        <w:rPr>
          <w:rFonts w:hint="eastAsia" w:ascii="仿宋_GB2312" w:hAnsi="仿宋" w:eastAsia="仿宋_GB2312" w:cs="仿宋_GB2312"/>
          <w:sz w:val="32"/>
          <w:szCs w:val="32"/>
        </w:rPr>
        <w:t>按照《预算法》、《地方预决算公开操作规程》和《河北省省级预算公开办法》规定，现将无极县县直工委</w:t>
      </w:r>
      <w:r>
        <w:rPr>
          <w:rFonts w:ascii="仿宋_GB2312" w:hAnsi="仿宋" w:eastAsia="仿宋_GB2312" w:cs="仿宋_GB2312"/>
          <w:sz w:val="32"/>
          <w:szCs w:val="32"/>
        </w:rPr>
        <w:t>2017</w:t>
      </w:r>
      <w:r>
        <w:rPr>
          <w:rFonts w:hint="eastAsia" w:ascii="仿宋_GB2312" w:hAnsi="仿宋" w:eastAsia="仿宋_GB2312" w:cs="仿宋_GB2312"/>
          <w:sz w:val="32"/>
          <w:szCs w:val="32"/>
        </w:rPr>
        <w:t>年部门预算公开如下：</w:t>
      </w:r>
    </w:p>
    <w:p>
      <w:pPr>
        <w:ind w:left="800"/>
        <w:rPr>
          <w:rFonts w:ascii="黑体" w:hAnsi="黑体" w:eastAsia="黑体"/>
          <w:sz w:val="32"/>
          <w:szCs w:val="32"/>
        </w:rPr>
      </w:pPr>
      <w:r>
        <w:rPr>
          <w:rFonts w:hint="eastAsia" w:ascii="黑体" w:hAnsi="黑体" w:eastAsia="黑体" w:cs="黑体"/>
          <w:sz w:val="32"/>
          <w:szCs w:val="32"/>
        </w:rPr>
        <w:t>一、部门职责及机构设置情况</w:t>
      </w:r>
    </w:p>
    <w:p>
      <w:pPr>
        <w:ind w:firstLine="645"/>
        <w:rPr>
          <w:rFonts w:ascii="仿宋_GB2312" w:hAnsi="仿宋" w:eastAsia="仿宋_GB2312"/>
          <w:sz w:val="32"/>
          <w:szCs w:val="32"/>
        </w:rPr>
      </w:pPr>
      <w:r>
        <w:rPr>
          <w:rFonts w:hint="eastAsia" w:ascii="仿宋_GB2312" w:hAnsi="仿宋" w:eastAsia="仿宋_GB2312" w:cs="仿宋_GB2312"/>
          <w:sz w:val="32"/>
          <w:szCs w:val="32"/>
        </w:rPr>
        <w:t>（一）部门职责</w:t>
      </w:r>
    </w:p>
    <w:p>
      <w:pPr>
        <w:ind w:firstLine="640" w:firstLineChars="200"/>
        <w:rPr>
          <w:rFonts w:ascii="仿宋_GB2312" w:hAnsi="仿宋" w:eastAsia="仿宋_GB2312"/>
          <w:sz w:val="32"/>
          <w:szCs w:val="32"/>
        </w:rPr>
      </w:pPr>
      <w:r>
        <w:rPr>
          <w:rFonts w:hint="eastAsia" w:ascii="仿宋_GB2312" w:hAnsi="仿宋" w:eastAsia="仿宋_GB2312" w:cs="仿宋_GB2312"/>
          <w:sz w:val="32"/>
          <w:szCs w:val="32"/>
        </w:rPr>
        <w:t>认真履行领导职能，切实加强对县直机关党的工作的宏观规划和指导，统一领导县直单位的党建工作，负责制订县直党的建设规划，指导各级党组织搞好党的思想建设、组织建设和作风建设，做好对党员的管理教育工作。并对各机关党的建设以及所承担的各项工作，进行监督、指导和检查。</w:t>
      </w:r>
    </w:p>
    <w:p>
      <w:pPr>
        <w:ind w:firstLine="640" w:firstLineChars="200"/>
        <w:rPr>
          <w:rFonts w:ascii="仿宋_GB2312" w:hAnsi="仿宋" w:eastAsia="仿宋_GB2312"/>
          <w:sz w:val="32"/>
          <w:szCs w:val="32"/>
        </w:rPr>
      </w:pPr>
      <w:r>
        <w:rPr>
          <w:rFonts w:hint="eastAsia" w:ascii="仿宋_GB2312" w:hAnsi="仿宋" w:eastAsia="仿宋_GB2312" w:cs="仿宋_GB2312"/>
          <w:sz w:val="32"/>
          <w:szCs w:val="32"/>
        </w:rPr>
        <w:t>思想建设。县直工委根据不同时期的党员、干部、职工的思想状况，紧紧围绕</w:t>
      </w:r>
      <w:r>
        <w:rPr>
          <w:rFonts w:hint="eastAsia" w:ascii="仿宋_GB2312" w:hAnsi="仿宋" w:eastAsia="仿宋_GB2312" w:cs="仿宋_GB2312"/>
          <w:sz w:val="32"/>
          <w:szCs w:val="32"/>
          <w:lang w:eastAsia="zh-CN"/>
        </w:rPr>
        <w:t>《中国共产党章程》</w:t>
      </w:r>
      <w:r>
        <w:rPr>
          <w:rFonts w:hint="eastAsia" w:ascii="仿宋_GB2312" w:hAnsi="仿宋" w:eastAsia="仿宋_GB2312" w:cs="仿宋_GB2312"/>
          <w:sz w:val="32"/>
          <w:szCs w:val="32"/>
        </w:rPr>
        <w:t>、《准则》，抓好党的基本路线教育、马克思主义基本理论教育、党的基本知识教育、党的优良传统教育和法制与纪律教育。加强经常的思想政治工作，提高党员干部队伍的素质。</w:t>
      </w:r>
    </w:p>
    <w:p>
      <w:pPr>
        <w:ind w:firstLine="640" w:firstLineChars="200"/>
        <w:rPr>
          <w:rFonts w:ascii="仿宋_GB2312" w:hAnsi="仿宋" w:eastAsia="仿宋_GB2312"/>
          <w:sz w:val="32"/>
          <w:szCs w:val="32"/>
        </w:rPr>
      </w:pPr>
      <w:r>
        <w:rPr>
          <w:rFonts w:hint="eastAsia" w:ascii="仿宋_GB2312" w:hAnsi="仿宋" w:eastAsia="仿宋_GB2312" w:cs="仿宋_GB2312"/>
          <w:sz w:val="32"/>
          <w:szCs w:val="32"/>
        </w:rPr>
        <w:t>组织建设。一是抓好领导班子的建设，加强对各级党组织领导干部的考察了解。根据形势的需要和党内换届选举的规定，及时建立、健全、调整、充实基层党组织领导班子；协助对县委管理干部的考察了解，及时向县委反映各级领导干部的思想情况和工作表现。以资县委更好地做好干部的使用、任免工作。二是严把入党质量关。按照</w:t>
      </w:r>
      <w:r>
        <w:rPr>
          <w:rFonts w:hint="eastAsia" w:ascii="仿宋_GB2312" w:hAnsi="仿宋" w:eastAsia="仿宋_GB2312" w:cs="仿宋_GB2312"/>
          <w:sz w:val="32"/>
          <w:szCs w:val="32"/>
          <w:lang w:eastAsia="zh-CN"/>
        </w:rPr>
        <w:t>《中国共产党章程》</w:t>
      </w:r>
      <w:r>
        <w:rPr>
          <w:rFonts w:hint="eastAsia" w:ascii="仿宋_GB2312" w:hAnsi="仿宋" w:eastAsia="仿宋_GB2312" w:cs="仿宋_GB2312"/>
          <w:sz w:val="32"/>
          <w:szCs w:val="32"/>
        </w:rPr>
        <w:t>的规定和中组部有关文件，认真做好入党积极分子的培养教育和预备党员的审批及预备党员的管理教育、考察和转正工作，及时把那些符和党员条件的先进分子吸收到党内来，不断壮大党的队伍。三是抓好党内各项制度的建立、健全和落实，从制度上保证党的建设工作的健康发展和顺利进行。</w:t>
      </w:r>
    </w:p>
    <w:p>
      <w:pPr>
        <w:ind w:firstLine="640" w:firstLineChars="200"/>
        <w:rPr>
          <w:rFonts w:ascii="仿宋_GB2312" w:hAnsi="仿宋" w:eastAsia="仿宋_GB2312"/>
          <w:sz w:val="32"/>
          <w:szCs w:val="32"/>
        </w:rPr>
      </w:pPr>
      <w:r>
        <w:rPr>
          <w:rFonts w:hint="eastAsia" w:ascii="仿宋_GB2312" w:hAnsi="仿宋" w:eastAsia="仿宋_GB2312" w:cs="仿宋_GB2312"/>
          <w:sz w:val="32"/>
          <w:szCs w:val="32"/>
        </w:rPr>
        <w:t>抓好党风党纪和</w:t>
      </w:r>
      <w:r>
        <w:rPr>
          <w:rFonts w:hint="eastAsia" w:ascii="仿宋_GB2312" w:hAnsi="仿宋" w:eastAsia="仿宋_GB2312" w:cs="仿宋_GB2312"/>
          <w:sz w:val="32"/>
          <w:szCs w:val="32"/>
          <w:lang w:eastAsia="zh-CN"/>
        </w:rPr>
        <w:t>廉政建设</w:t>
      </w:r>
      <w:r>
        <w:rPr>
          <w:rFonts w:hint="eastAsia" w:ascii="仿宋_GB2312" w:hAnsi="仿宋" w:eastAsia="仿宋_GB2312" w:cs="仿宋_GB2312"/>
          <w:sz w:val="32"/>
          <w:szCs w:val="32"/>
        </w:rPr>
        <w:t>。县直工委要着力抓好以下几点：一是加强党性、党风、党纪教育。遵循“预防为主，教育为主”“惩前毖后，治病救人”的方针，把教育贯穿于纪检工作的全过程，利用正反两方面的典型，对党员和党员干部进行党纪教育及警戒教育；二是发挥县直工委的只能作用，及时查处党内违纪案件；三是履行监督职能。从维护党纪党法，保证党的路线、方针、政策的贯彻执行，保证党组织和党员经受住执政、改革开放的考验，做好党内监督的各项工作；四是深入开展</w:t>
      </w:r>
      <w:r>
        <w:rPr>
          <w:rFonts w:hint="eastAsia" w:ascii="仿宋_GB2312" w:hAnsi="仿宋" w:eastAsia="仿宋_GB2312" w:cs="仿宋_GB2312"/>
          <w:sz w:val="32"/>
          <w:szCs w:val="32"/>
          <w:lang w:eastAsia="zh-CN"/>
        </w:rPr>
        <w:t>反腐败斗争</w:t>
      </w:r>
      <w:r>
        <w:rPr>
          <w:rFonts w:hint="eastAsia" w:ascii="仿宋_GB2312" w:hAnsi="仿宋" w:eastAsia="仿宋_GB2312" w:cs="仿宋_GB2312"/>
          <w:sz w:val="32"/>
          <w:szCs w:val="32"/>
        </w:rPr>
        <w:t>，狠刹行业不正之风，建立健全和完善各种制约机制，促进廉洁工作，进一步密切干群关系。</w:t>
      </w:r>
    </w:p>
    <w:p>
      <w:pPr>
        <w:ind w:firstLine="645"/>
        <w:rPr>
          <w:rFonts w:ascii="仿宋_GB2312" w:hAnsi="仿宋" w:eastAsia="仿宋_GB2312"/>
          <w:sz w:val="32"/>
          <w:szCs w:val="32"/>
        </w:rPr>
      </w:pPr>
      <w:r>
        <w:rPr>
          <w:rFonts w:hint="eastAsia" w:ascii="仿宋_GB2312" w:hAnsi="仿宋" w:eastAsia="仿宋_GB2312" w:cs="仿宋_GB2312"/>
          <w:sz w:val="32"/>
          <w:szCs w:val="32"/>
        </w:rPr>
        <w:t>（二）机构设置</w:t>
      </w:r>
    </w:p>
    <w:p>
      <w:pPr>
        <w:jc w:val="center"/>
        <w:rPr>
          <w:rFonts w:ascii="仿宋" w:hAnsi="仿宋" w:eastAsia="仿宋" w:cs="仿宋"/>
          <w:sz w:val="32"/>
          <w:szCs w:val="32"/>
        </w:rPr>
      </w:pPr>
    </w:p>
    <w:p>
      <w:pPr>
        <w:jc w:val="center"/>
        <w:rPr>
          <w:rFonts w:ascii="仿宋" w:hAnsi="仿宋" w:eastAsia="仿宋" w:cs="仿宋"/>
          <w:sz w:val="32"/>
          <w:szCs w:val="32"/>
        </w:rPr>
      </w:pPr>
    </w:p>
    <w:p>
      <w:pPr>
        <w:jc w:val="center"/>
        <w:rPr>
          <w:rFonts w:ascii="仿宋" w:hAnsi="仿宋" w:eastAsia="仿宋"/>
          <w:sz w:val="32"/>
          <w:szCs w:val="32"/>
        </w:rPr>
      </w:pPr>
      <w:r>
        <w:rPr>
          <w:rFonts w:hint="eastAsia" w:ascii="仿宋" w:hAnsi="仿宋" w:eastAsia="仿宋" w:cs="仿宋"/>
          <w:sz w:val="32"/>
          <w:szCs w:val="32"/>
        </w:rPr>
        <w:t>部门机构设置情况</w:t>
      </w:r>
    </w:p>
    <w:tbl>
      <w:tblPr>
        <w:tblStyle w:val="4"/>
        <w:tblW w:w="102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68"/>
        <w:gridCol w:w="2220"/>
        <w:gridCol w:w="1965"/>
        <w:gridCol w:w="19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2" w:hRule="atLeast"/>
          <w:tblHeader/>
          <w:jc w:val="center"/>
        </w:trPr>
        <w:tc>
          <w:tcPr>
            <w:tcW w:w="4068" w:type="dxa"/>
            <w:vAlign w:val="center"/>
          </w:tcPr>
          <w:p>
            <w:pPr>
              <w:tabs>
                <w:tab w:val="left" w:pos="1035"/>
                <w:tab w:val="center" w:pos="2173"/>
              </w:tabs>
              <w:spacing w:line="300" w:lineRule="exact"/>
              <w:jc w:val="left"/>
            </w:pPr>
            <w:r>
              <w:rPr>
                <w:rFonts w:ascii="仿宋" w:hAnsi="仿宋" w:eastAsia="仿宋"/>
                <w:b/>
                <w:bCs/>
                <w:sz w:val="28"/>
                <w:szCs w:val="28"/>
              </w:rPr>
              <w:tab/>
            </w:r>
            <w:r>
              <w:rPr>
                <w:rFonts w:ascii="仿宋" w:hAnsi="仿宋" w:eastAsia="仿宋"/>
                <w:b/>
                <w:bCs/>
                <w:sz w:val="28"/>
                <w:szCs w:val="28"/>
              </w:rPr>
              <w:tab/>
            </w:r>
            <w:r>
              <w:rPr>
                <w:rFonts w:hint="eastAsia" w:ascii="仿宋" w:hAnsi="仿宋" w:eastAsia="仿宋" w:cs="仿宋"/>
                <w:b/>
                <w:bCs/>
                <w:sz w:val="28"/>
                <w:szCs w:val="28"/>
              </w:rPr>
              <w:t>单位名称</w:t>
            </w:r>
          </w:p>
        </w:tc>
        <w:tc>
          <w:tcPr>
            <w:tcW w:w="2220" w:type="dxa"/>
            <w:vAlign w:val="center"/>
          </w:tcPr>
          <w:p>
            <w:pPr>
              <w:spacing w:line="300" w:lineRule="exact"/>
              <w:jc w:val="center"/>
              <w:rPr>
                <w:rFonts w:ascii="仿宋" w:hAnsi="仿宋" w:eastAsia="仿宋"/>
                <w:b/>
                <w:bCs/>
                <w:sz w:val="28"/>
                <w:szCs w:val="28"/>
              </w:rPr>
            </w:pPr>
            <w:r>
              <w:rPr>
                <w:rFonts w:hint="eastAsia" w:ascii="仿宋" w:hAnsi="仿宋" w:eastAsia="仿宋" w:cs="仿宋"/>
                <w:b/>
                <w:bCs/>
                <w:sz w:val="28"/>
                <w:szCs w:val="28"/>
              </w:rPr>
              <w:t>单位性质</w:t>
            </w:r>
          </w:p>
        </w:tc>
        <w:tc>
          <w:tcPr>
            <w:tcW w:w="1965" w:type="dxa"/>
            <w:vAlign w:val="center"/>
          </w:tcPr>
          <w:p>
            <w:pPr>
              <w:spacing w:line="300" w:lineRule="exact"/>
              <w:jc w:val="center"/>
              <w:rPr>
                <w:rFonts w:ascii="仿宋" w:hAnsi="仿宋" w:eastAsia="仿宋"/>
                <w:b/>
                <w:bCs/>
                <w:sz w:val="28"/>
                <w:szCs w:val="28"/>
              </w:rPr>
            </w:pPr>
            <w:r>
              <w:rPr>
                <w:rFonts w:hint="eastAsia" w:ascii="仿宋" w:hAnsi="仿宋" w:eastAsia="仿宋" w:cs="仿宋"/>
                <w:b/>
                <w:bCs/>
                <w:sz w:val="28"/>
                <w:szCs w:val="28"/>
              </w:rPr>
              <w:t>单位规格</w:t>
            </w:r>
          </w:p>
        </w:tc>
        <w:tc>
          <w:tcPr>
            <w:tcW w:w="1956" w:type="dxa"/>
            <w:vAlign w:val="center"/>
          </w:tcPr>
          <w:p>
            <w:pPr>
              <w:spacing w:line="300" w:lineRule="exact"/>
              <w:jc w:val="center"/>
              <w:rPr>
                <w:rFonts w:ascii="仿宋" w:hAnsi="仿宋" w:eastAsia="仿宋"/>
                <w:b/>
                <w:bCs/>
                <w:sz w:val="28"/>
                <w:szCs w:val="28"/>
              </w:rPr>
            </w:pPr>
            <w:r>
              <w:rPr>
                <w:rFonts w:hint="eastAsia" w:ascii="仿宋" w:hAnsi="仿宋" w:eastAsia="仿宋" w:cs="仿宋"/>
                <w:b/>
                <w:bCs/>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0" w:hRule="atLeast"/>
          <w:jc w:val="center"/>
        </w:trPr>
        <w:tc>
          <w:tcPr>
            <w:tcW w:w="4068" w:type="dxa"/>
            <w:vAlign w:val="center"/>
          </w:tcPr>
          <w:p>
            <w:pPr>
              <w:spacing w:line="300" w:lineRule="exact"/>
              <w:jc w:val="left"/>
            </w:pPr>
            <w:r>
              <w:rPr>
                <w:rFonts w:hint="eastAsia" w:ascii="仿宋" w:hAnsi="仿宋" w:eastAsia="仿宋" w:cs="仿宋"/>
                <w:sz w:val="32"/>
                <w:szCs w:val="32"/>
              </w:rPr>
              <w:t>无极县县直工委</w:t>
            </w:r>
          </w:p>
        </w:tc>
        <w:tc>
          <w:tcPr>
            <w:tcW w:w="2220" w:type="dxa"/>
            <w:vAlign w:val="center"/>
          </w:tcPr>
          <w:p>
            <w:pPr>
              <w:spacing w:line="300" w:lineRule="exact"/>
              <w:jc w:val="center"/>
              <w:rPr>
                <w:rFonts w:ascii="仿宋" w:hAnsi="仿宋" w:eastAsia="仿宋"/>
                <w:sz w:val="32"/>
                <w:szCs w:val="32"/>
              </w:rPr>
            </w:pPr>
            <w:r>
              <w:rPr>
                <w:rFonts w:hint="eastAsia" w:ascii="仿宋" w:hAnsi="仿宋" w:eastAsia="仿宋" w:cs="仿宋"/>
                <w:sz w:val="32"/>
                <w:szCs w:val="32"/>
              </w:rPr>
              <w:t>行政</w:t>
            </w:r>
          </w:p>
        </w:tc>
        <w:tc>
          <w:tcPr>
            <w:tcW w:w="1965" w:type="dxa"/>
            <w:vAlign w:val="center"/>
          </w:tcPr>
          <w:p>
            <w:pPr>
              <w:spacing w:line="300" w:lineRule="exact"/>
              <w:jc w:val="center"/>
              <w:rPr>
                <w:rFonts w:ascii="仿宋" w:hAnsi="仿宋" w:eastAsia="仿宋"/>
                <w:sz w:val="32"/>
                <w:szCs w:val="32"/>
              </w:rPr>
            </w:pPr>
            <w:r>
              <w:rPr>
                <w:rFonts w:hint="eastAsia" w:ascii="仿宋" w:hAnsi="仿宋" w:eastAsia="仿宋" w:cs="仿宋"/>
                <w:sz w:val="32"/>
                <w:szCs w:val="32"/>
              </w:rPr>
              <w:t>正科级</w:t>
            </w:r>
          </w:p>
        </w:tc>
        <w:tc>
          <w:tcPr>
            <w:tcW w:w="1956" w:type="dxa"/>
            <w:vAlign w:val="center"/>
          </w:tcPr>
          <w:p>
            <w:pPr>
              <w:spacing w:line="300" w:lineRule="exact"/>
              <w:jc w:val="left"/>
              <w:rPr>
                <w:rFonts w:ascii="仿宋" w:hAnsi="仿宋" w:eastAsia="仿宋"/>
                <w:sz w:val="32"/>
                <w:szCs w:val="32"/>
              </w:rPr>
            </w:pPr>
            <w:r>
              <w:rPr>
                <w:rFonts w:hint="eastAsia" w:ascii="仿宋" w:hAnsi="仿宋" w:eastAsia="仿宋" w:cs="仿宋"/>
                <w:sz w:val="32"/>
                <w:szCs w:val="32"/>
              </w:rPr>
              <w:t>财政拨款</w:t>
            </w:r>
          </w:p>
        </w:tc>
      </w:tr>
    </w:tbl>
    <w:p>
      <w:pPr>
        <w:jc w:val="center"/>
        <w:rPr>
          <w:rFonts w:ascii="仿宋" w:hAnsi="仿宋" w:eastAsia="仿宋"/>
          <w:sz w:val="32"/>
          <w:szCs w:val="32"/>
        </w:rPr>
      </w:pPr>
    </w:p>
    <w:p>
      <w:pPr>
        <w:ind w:firstLine="640" w:firstLineChars="200"/>
        <w:rPr>
          <w:rFonts w:ascii="黑体" w:hAnsi="黑体" w:eastAsia="黑体"/>
          <w:sz w:val="32"/>
          <w:szCs w:val="32"/>
        </w:rPr>
      </w:pPr>
      <w:r>
        <w:rPr>
          <w:rFonts w:hint="eastAsia" w:ascii="黑体" w:hAnsi="黑体" w:eastAsia="黑体" w:cs="黑体"/>
          <w:sz w:val="32"/>
          <w:szCs w:val="32"/>
        </w:rPr>
        <w:t>二、部门预算安排的总体情况</w:t>
      </w:r>
    </w:p>
    <w:p>
      <w:pPr>
        <w:ind w:firstLine="640" w:firstLineChars="200"/>
        <w:rPr>
          <w:rFonts w:ascii="黑体" w:hAnsi="仿宋_GB2312" w:eastAsia="黑体"/>
          <w:sz w:val="30"/>
          <w:szCs w:val="30"/>
        </w:rPr>
      </w:pPr>
      <w:r>
        <w:rPr>
          <w:rFonts w:hint="eastAsia" w:ascii="仿宋" w:hAnsi="仿宋" w:eastAsia="仿宋" w:cs="仿宋"/>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黑体"/>
          <w:sz w:val="30"/>
          <w:szCs w:val="30"/>
        </w:rPr>
        <w:t>。</w:t>
      </w:r>
    </w:p>
    <w:p>
      <w:pPr>
        <w:ind w:firstLine="640" w:firstLineChars="200"/>
        <w:rPr>
          <w:rFonts w:ascii="仿宋_GB2312" w:hAnsi="仿宋" w:eastAsia="仿宋_GB2312"/>
          <w:sz w:val="32"/>
          <w:szCs w:val="32"/>
        </w:rPr>
      </w:pPr>
      <w:r>
        <w:rPr>
          <w:rFonts w:hint="eastAsia" w:ascii="仿宋_GB2312" w:hAnsi="仿宋" w:eastAsia="仿宋_GB2312" w:cs="仿宋_GB2312"/>
          <w:sz w:val="32"/>
          <w:szCs w:val="32"/>
        </w:rPr>
        <w:t>（一）收入说明</w:t>
      </w:r>
    </w:p>
    <w:p>
      <w:pPr>
        <w:ind w:firstLine="640" w:firstLineChars="200"/>
        <w:rPr>
          <w:rFonts w:ascii="仿宋_GB2312" w:hAnsi="仿宋" w:eastAsia="仿宋_GB2312"/>
          <w:sz w:val="32"/>
          <w:szCs w:val="32"/>
        </w:rPr>
      </w:pPr>
      <w:r>
        <w:rPr>
          <w:rFonts w:hint="eastAsia" w:ascii="仿宋_GB2312" w:hAnsi="仿宋" w:eastAsia="仿宋_GB2312" w:cs="仿宋_GB2312"/>
          <w:sz w:val="32"/>
          <w:szCs w:val="32"/>
        </w:rPr>
        <w:t>反映本部门当年全部收入，</w:t>
      </w:r>
      <w:r>
        <w:rPr>
          <w:rFonts w:ascii="仿宋_GB2312" w:hAnsi="仿宋" w:eastAsia="仿宋_GB2312" w:cs="仿宋_GB2312"/>
          <w:sz w:val="32"/>
          <w:szCs w:val="32"/>
        </w:rPr>
        <w:t>2017</w:t>
      </w:r>
      <w:r>
        <w:rPr>
          <w:rFonts w:hint="eastAsia" w:ascii="仿宋_GB2312" w:hAnsi="仿宋" w:eastAsia="仿宋_GB2312" w:cs="仿宋_GB2312"/>
          <w:sz w:val="32"/>
          <w:szCs w:val="32"/>
        </w:rPr>
        <w:t>年预算收入</w:t>
      </w:r>
      <w:r>
        <w:rPr>
          <w:rFonts w:ascii="仿宋_GB2312" w:hAnsi="仿宋" w:eastAsia="仿宋_GB2312" w:cs="仿宋_GB2312"/>
          <w:sz w:val="32"/>
          <w:szCs w:val="32"/>
        </w:rPr>
        <w:t>88.39</w:t>
      </w:r>
      <w:r>
        <w:rPr>
          <w:rFonts w:hint="eastAsia" w:ascii="仿宋_GB2312" w:hAnsi="仿宋" w:eastAsia="仿宋_GB2312" w:cs="仿宋_GB2312"/>
          <w:sz w:val="32"/>
          <w:szCs w:val="32"/>
        </w:rPr>
        <w:t>万元，其中，一般公共预算收入</w:t>
      </w:r>
      <w:r>
        <w:rPr>
          <w:rFonts w:ascii="仿宋_GB2312" w:hAnsi="仿宋" w:eastAsia="仿宋_GB2312" w:cs="仿宋_GB2312"/>
          <w:sz w:val="32"/>
          <w:szCs w:val="32"/>
        </w:rPr>
        <w:t>88.39</w:t>
      </w:r>
      <w:r>
        <w:rPr>
          <w:rFonts w:hint="eastAsia" w:ascii="仿宋_GB2312" w:hAnsi="仿宋" w:eastAsia="仿宋_GB2312" w:cs="仿宋_GB2312"/>
          <w:sz w:val="32"/>
          <w:szCs w:val="32"/>
        </w:rPr>
        <w:t>万元、政府性基金收入</w:t>
      </w:r>
      <w:r>
        <w:rPr>
          <w:rFonts w:ascii="仿宋_GB2312" w:hAnsi="仿宋" w:eastAsia="仿宋_GB2312" w:cs="仿宋_GB2312"/>
          <w:sz w:val="32"/>
          <w:szCs w:val="32"/>
        </w:rPr>
        <w:t>0</w:t>
      </w:r>
      <w:r>
        <w:rPr>
          <w:rFonts w:hint="eastAsia" w:ascii="仿宋_GB2312" w:hAnsi="仿宋" w:eastAsia="仿宋_GB2312" w:cs="仿宋_GB2312"/>
          <w:sz w:val="32"/>
          <w:szCs w:val="32"/>
        </w:rPr>
        <w:t>万元、财政专户核拨收入</w:t>
      </w:r>
      <w:r>
        <w:rPr>
          <w:rFonts w:ascii="仿宋_GB2312" w:hAnsi="仿宋" w:eastAsia="仿宋_GB2312" w:cs="仿宋_GB2312"/>
          <w:sz w:val="32"/>
          <w:szCs w:val="32"/>
        </w:rPr>
        <w:t>0</w:t>
      </w:r>
      <w:r>
        <w:rPr>
          <w:rFonts w:hint="eastAsia" w:ascii="仿宋_GB2312" w:hAnsi="仿宋" w:eastAsia="仿宋_GB2312" w:cs="仿宋_GB2312"/>
          <w:sz w:val="32"/>
          <w:szCs w:val="32"/>
        </w:rPr>
        <w:t>万元，其他来源收入</w:t>
      </w:r>
      <w:r>
        <w:rPr>
          <w:rFonts w:ascii="仿宋_GB2312" w:hAnsi="仿宋" w:eastAsia="仿宋_GB2312" w:cs="仿宋_GB2312"/>
          <w:sz w:val="32"/>
          <w:szCs w:val="32"/>
        </w:rPr>
        <w:t>0</w:t>
      </w:r>
      <w:r>
        <w:rPr>
          <w:rFonts w:hint="eastAsia" w:ascii="仿宋_GB2312" w:hAnsi="仿宋" w:eastAsia="仿宋_GB2312" w:cs="仿宋_GB2312"/>
          <w:sz w:val="32"/>
          <w:szCs w:val="32"/>
        </w:rPr>
        <w:t>万元。</w:t>
      </w:r>
    </w:p>
    <w:p>
      <w:pPr>
        <w:ind w:firstLine="640" w:firstLineChars="200"/>
        <w:rPr>
          <w:rFonts w:ascii="仿宋_GB2312" w:hAnsi="仿宋" w:eastAsia="仿宋_GB2312"/>
          <w:sz w:val="32"/>
          <w:szCs w:val="32"/>
        </w:rPr>
      </w:pPr>
      <w:r>
        <w:rPr>
          <w:rFonts w:hint="eastAsia" w:ascii="仿宋_GB2312" w:hAnsi="仿宋" w:eastAsia="仿宋_GB2312" w:cs="仿宋_GB2312"/>
          <w:sz w:val="32"/>
          <w:szCs w:val="32"/>
        </w:rPr>
        <w:t>（二）支出说明</w:t>
      </w:r>
    </w:p>
    <w:p>
      <w:pPr>
        <w:ind w:firstLine="640" w:firstLineChars="200"/>
        <w:rPr>
          <w:rFonts w:ascii="仿宋_GB2312" w:hAnsi="仿宋" w:eastAsia="仿宋_GB2312"/>
          <w:sz w:val="32"/>
          <w:szCs w:val="32"/>
        </w:rPr>
      </w:pPr>
      <w:r>
        <w:rPr>
          <w:rFonts w:ascii="仿宋_GB2312" w:hAnsi="仿宋" w:eastAsia="仿宋_GB2312" w:cs="仿宋_GB2312"/>
          <w:sz w:val="32"/>
          <w:szCs w:val="32"/>
        </w:rPr>
        <w:t>2017</w:t>
      </w:r>
      <w:r>
        <w:rPr>
          <w:rFonts w:hint="eastAsia" w:ascii="仿宋_GB2312" w:hAnsi="仿宋" w:eastAsia="仿宋_GB2312" w:cs="仿宋_GB2312"/>
          <w:sz w:val="32"/>
          <w:szCs w:val="32"/>
        </w:rPr>
        <w:t>年预算支出</w:t>
      </w:r>
      <w:r>
        <w:rPr>
          <w:rFonts w:ascii="仿宋_GB2312" w:hAnsi="仿宋" w:eastAsia="仿宋_GB2312" w:cs="仿宋_GB2312"/>
          <w:sz w:val="32"/>
          <w:szCs w:val="32"/>
        </w:rPr>
        <w:t>88.39</w:t>
      </w:r>
      <w:r>
        <w:rPr>
          <w:rFonts w:hint="eastAsia" w:ascii="仿宋_GB2312" w:hAnsi="仿宋" w:eastAsia="仿宋_GB2312" w:cs="仿宋_GB2312"/>
          <w:sz w:val="32"/>
          <w:szCs w:val="32"/>
        </w:rPr>
        <w:t>万元。其中，人员经费支出</w:t>
      </w:r>
      <w:r>
        <w:rPr>
          <w:rFonts w:ascii="仿宋_GB2312" w:hAnsi="仿宋" w:eastAsia="仿宋_GB2312" w:cs="仿宋_GB2312"/>
          <w:sz w:val="32"/>
          <w:szCs w:val="32"/>
        </w:rPr>
        <w:t>84.39</w:t>
      </w:r>
      <w:r>
        <w:rPr>
          <w:rFonts w:hint="eastAsia" w:ascii="仿宋_GB2312" w:hAnsi="仿宋" w:eastAsia="仿宋_GB2312" w:cs="仿宋_GB2312"/>
          <w:sz w:val="32"/>
          <w:szCs w:val="32"/>
        </w:rPr>
        <w:t>万元，正常公用经费</w:t>
      </w:r>
      <w:r>
        <w:rPr>
          <w:rFonts w:ascii="仿宋_GB2312" w:hAnsi="仿宋" w:eastAsia="仿宋_GB2312" w:cs="仿宋_GB2312"/>
          <w:sz w:val="32"/>
          <w:szCs w:val="32"/>
        </w:rPr>
        <w:t>4</w:t>
      </w:r>
      <w:r>
        <w:rPr>
          <w:rFonts w:hint="eastAsia" w:ascii="仿宋_GB2312" w:hAnsi="仿宋" w:eastAsia="仿宋_GB2312" w:cs="仿宋_GB2312"/>
          <w:sz w:val="32"/>
          <w:szCs w:val="32"/>
        </w:rPr>
        <w:t>万元，项目支出</w:t>
      </w:r>
      <w:r>
        <w:rPr>
          <w:rFonts w:ascii="仿宋_GB2312" w:hAnsi="仿宋" w:eastAsia="仿宋_GB2312" w:cs="仿宋_GB2312"/>
          <w:sz w:val="32"/>
          <w:szCs w:val="32"/>
        </w:rPr>
        <w:t>0</w:t>
      </w:r>
      <w:r>
        <w:rPr>
          <w:rFonts w:hint="eastAsia" w:ascii="仿宋_GB2312" w:hAnsi="仿宋" w:eastAsia="仿宋_GB2312" w:cs="仿宋_GB2312"/>
          <w:sz w:val="32"/>
          <w:szCs w:val="32"/>
        </w:rPr>
        <w:t>万元。</w:t>
      </w:r>
    </w:p>
    <w:p>
      <w:pPr>
        <w:ind w:firstLine="640" w:firstLineChars="200"/>
        <w:rPr>
          <w:rFonts w:ascii="仿宋_GB2312" w:hAnsi="仿宋" w:eastAsia="仿宋_GB2312"/>
          <w:sz w:val="32"/>
          <w:szCs w:val="32"/>
        </w:rPr>
      </w:pPr>
      <w:r>
        <w:rPr>
          <w:rFonts w:hint="eastAsia" w:ascii="仿宋_GB2312" w:hAnsi="仿宋" w:eastAsia="仿宋_GB2312" w:cs="仿宋_GB2312"/>
          <w:sz w:val="32"/>
          <w:szCs w:val="32"/>
        </w:rPr>
        <w:t>（三）比上年增减情况</w:t>
      </w:r>
    </w:p>
    <w:p>
      <w:pPr>
        <w:ind w:firstLine="640" w:firstLineChars="200"/>
        <w:rPr>
          <w:rFonts w:ascii="仿宋_GB2312" w:hAnsi="仿宋" w:eastAsia="仿宋_GB2312"/>
          <w:sz w:val="32"/>
          <w:szCs w:val="32"/>
        </w:rPr>
      </w:pPr>
      <w:r>
        <w:rPr>
          <w:rFonts w:hint="eastAsia" w:ascii="仿宋_GB2312" w:hAnsi="仿宋" w:eastAsia="仿宋_GB2312" w:cs="仿宋_GB2312"/>
          <w:sz w:val="32"/>
          <w:szCs w:val="32"/>
        </w:rPr>
        <w:t>无极县县直工委</w:t>
      </w:r>
      <w:r>
        <w:rPr>
          <w:rFonts w:ascii="仿宋_GB2312" w:hAnsi="仿宋" w:eastAsia="仿宋_GB2312" w:cs="仿宋_GB2312"/>
          <w:sz w:val="32"/>
          <w:szCs w:val="32"/>
        </w:rPr>
        <w:t>2017</w:t>
      </w:r>
      <w:r>
        <w:rPr>
          <w:rFonts w:hint="eastAsia" w:ascii="仿宋_GB2312" w:hAnsi="仿宋" w:eastAsia="仿宋_GB2312" w:cs="仿宋_GB2312"/>
          <w:sz w:val="32"/>
          <w:szCs w:val="32"/>
        </w:rPr>
        <w:t>年预算收入总计</w:t>
      </w:r>
      <w:r>
        <w:rPr>
          <w:rFonts w:ascii="仿宋_GB2312" w:hAnsi="仿宋" w:eastAsia="仿宋_GB2312" w:cs="仿宋_GB2312"/>
          <w:sz w:val="32"/>
          <w:szCs w:val="32"/>
        </w:rPr>
        <w:t>88.39</w:t>
      </w:r>
      <w:r>
        <w:rPr>
          <w:rFonts w:hint="eastAsia" w:ascii="仿宋_GB2312" w:hAnsi="仿宋" w:eastAsia="仿宋_GB2312" w:cs="仿宋_GB2312"/>
          <w:sz w:val="32"/>
          <w:szCs w:val="32"/>
        </w:rPr>
        <w:t>万元</w:t>
      </w:r>
      <w:r>
        <w:rPr>
          <w:rFonts w:ascii="仿宋_GB2312" w:hAnsi="仿宋" w:eastAsia="仿宋_GB2312" w:cs="仿宋_GB2312"/>
          <w:sz w:val="32"/>
          <w:szCs w:val="32"/>
        </w:rPr>
        <w:t>,</w:t>
      </w:r>
      <w:r>
        <w:rPr>
          <w:rFonts w:hint="eastAsia" w:ascii="仿宋_GB2312" w:hAnsi="仿宋" w:eastAsia="仿宋_GB2312" w:cs="仿宋_GB2312"/>
          <w:sz w:val="32"/>
          <w:szCs w:val="32"/>
        </w:rPr>
        <w:t>与</w:t>
      </w:r>
      <w:r>
        <w:rPr>
          <w:rFonts w:ascii="仿宋_GB2312" w:hAnsi="仿宋" w:eastAsia="仿宋_GB2312" w:cs="仿宋_GB2312"/>
          <w:sz w:val="32"/>
          <w:szCs w:val="32"/>
        </w:rPr>
        <w:t>2016</w:t>
      </w:r>
      <w:r>
        <w:rPr>
          <w:rFonts w:hint="eastAsia" w:ascii="仿宋_GB2312" w:hAnsi="仿宋" w:eastAsia="仿宋_GB2312" w:cs="仿宋_GB2312"/>
          <w:sz w:val="32"/>
          <w:szCs w:val="32"/>
        </w:rPr>
        <w:t>年相比增加</w:t>
      </w:r>
      <w:r>
        <w:rPr>
          <w:rFonts w:ascii="仿宋_GB2312" w:hAnsi="仿宋" w:eastAsia="仿宋_GB2312" w:cs="仿宋_GB2312"/>
          <w:sz w:val="32"/>
          <w:szCs w:val="32"/>
        </w:rPr>
        <w:t>16.64</w:t>
      </w:r>
      <w:r>
        <w:rPr>
          <w:rFonts w:hint="eastAsia" w:ascii="仿宋_GB2312" w:hAnsi="仿宋" w:eastAsia="仿宋_GB2312" w:cs="仿宋_GB2312"/>
          <w:sz w:val="32"/>
          <w:szCs w:val="32"/>
        </w:rPr>
        <w:t>万元</w:t>
      </w:r>
      <w:r>
        <w:rPr>
          <w:rFonts w:ascii="仿宋_GB2312" w:hAnsi="仿宋" w:eastAsia="仿宋_GB2312" w:cs="仿宋_GB2312"/>
          <w:sz w:val="32"/>
          <w:szCs w:val="32"/>
        </w:rPr>
        <w:t>,</w:t>
      </w:r>
      <w:r>
        <w:rPr>
          <w:rFonts w:hint="eastAsia" w:ascii="仿宋_GB2312" w:hAnsi="仿宋" w:eastAsia="仿宋_GB2312" w:cs="仿宋_GB2312"/>
          <w:sz w:val="32"/>
          <w:szCs w:val="32"/>
        </w:rPr>
        <w:t>增加原因为人员经费增加。</w:t>
      </w:r>
    </w:p>
    <w:p>
      <w:pPr>
        <w:ind w:firstLine="640" w:firstLineChars="200"/>
        <w:rPr>
          <w:rFonts w:ascii="黑体" w:hAnsi="黑体" w:eastAsia="黑体"/>
          <w:sz w:val="32"/>
          <w:szCs w:val="32"/>
        </w:rPr>
      </w:pPr>
      <w:r>
        <w:rPr>
          <w:rFonts w:hint="eastAsia" w:ascii="黑体" w:hAnsi="黑体" w:eastAsia="黑体" w:cs="黑体"/>
          <w:sz w:val="32"/>
          <w:szCs w:val="32"/>
        </w:rPr>
        <w:t>三、机关运行经费安排情况</w:t>
      </w:r>
    </w:p>
    <w:p>
      <w:pPr>
        <w:ind w:firstLine="640" w:firstLineChars="200"/>
        <w:rPr>
          <w:rFonts w:ascii="仿宋_GB2312" w:hAnsi="仿宋" w:eastAsia="仿宋_GB2312"/>
          <w:sz w:val="32"/>
          <w:szCs w:val="32"/>
        </w:rPr>
      </w:pPr>
      <w:r>
        <w:rPr>
          <w:rFonts w:ascii="仿宋_GB2312" w:hAnsi="仿宋" w:eastAsia="仿宋_GB2312" w:cs="仿宋_GB2312"/>
          <w:sz w:val="32"/>
          <w:szCs w:val="32"/>
        </w:rPr>
        <w:t>2017</w:t>
      </w:r>
      <w:r>
        <w:rPr>
          <w:rFonts w:hint="eastAsia" w:ascii="仿宋_GB2312" w:hAnsi="仿宋" w:eastAsia="仿宋_GB2312" w:cs="仿宋_GB2312"/>
          <w:sz w:val="32"/>
          <w:szCs w:val="32"/>
        </w:rPr>
        <w:t>年机关运行经费共计安排</w:t>
      </w:r>
      <w:r>
        <w:rPr>
          <w:rFonts w:ascii="仿宋_GB2312" w:hAnsi="仿宋" w:eastAsia="仿宋_GB2312" w:cs="仿宋_GB2312"/>
          <w:sz w:val="32"/>
          <w:szCs w:val="32"/>
        </w:rPr>
        <w:t>4</w:t>
      </w:r>
      <w:r>
        <w:rPr>
          <w:rFonts w:hint="eastAsia" w:ascii="仿宋_GB2312" w:hAnsi="仿宋" w:eastAsia="仿宋_GB2312" w:cs="仿宋_GB2312"/>
          <w:sz w:val="32"/>
          <w:szCs w:val="32"/>
        </w:rPr>
        <w:t>万元，主要用于我部门日常办公、日常维修等日常运行支出。</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四、财政拨款“三公”经费预算情况及增减变化原因</w:t>
      </w:r>
    </w:p>
    <w:p>
      <w:pPr>
        <w:ind w:firstLine="640" w:firstLineChars="200"/>
        <w:outlineLvl w:val="0"/>
        <w:rPr>
          <w:rFonts w:ascii="仿宋_GB2312" w:hAnsi="仿宋" w:eastAsia="仿宋_GB2312"/>
          <w:sz w:val="32"/>
          <w:szCs w:val="32"/>
        </w:rPr>
      </w:pPr>
      <w:r>
        <w:rPr>
          <w:rFonts w:ascii="仿宋_GB2312" w:hAnsi="仿宋" w:eastAsia="仿宋_GB2312" w:cs="仿宋_GB2312"/>
          <w:sz w:val="32"/>
          <w:szCs w:val="32"/>
        </w:rPr>
        <w:t>2017</w:t>
      </w:r>
      <w:r>
        <w:rPr>
          <w:rFonts w:hint="eastAsia" w:ascii="仿宋_GB2312" w:hAnsi="仿宋" w:eastAsia="仿宋_GB2312" w:cs="仿宋_GB2312"/>
          <w:sz w:val="32"/>
          <w:szCs w:val="32"/>
        </w:rPr>
        <w:t>年“三公”经费支出</w:t>
      </w:r>
      <w:r>
        <w:rPr>
          <w:rFonts w:ascii="仿宋_GB2312" w:hAnsi="仿宋" w:eastAsia="仿宋_GB2312" w:cs="仿宋_GB2312"/>
          <w:sz w:val="32"/>
          <w:szCs w:val="32"/>
        </w:rPr>
        <w:t>0</w:t>
      </w:r>
      <w:r>
        <w:rPr>
          <w:rFonts w:hint="eastAsia" w:ascii="仿宋_GB2312" w:hAnsi="仿宋" w:eastAsia="仿宋_GB2312" w:cs="仿宋_GB2312"/>
          <w:sz w:val="32"/>
          <w:szCs w:val="32"/>
        </w:rPr>
        <w:t>万元。其中，因公出国（境）费</w:t>
      </w:r>
      <w:r>
        <w:rPr>
          <w:rFonts w:ascii="仿宋_GB2312" w:hAnsi="仿宋" w:eastAsia="仿宋_GB2312" w:cs="仿宋_GB2312"/>
          <w:sz w:val="32"/>
          <w:szCs w:val="32"/>
        </w:rPr>
        <w:t>0</w:t>
      </w:r>
      <w:r>
        <w:rPr>
          <w:rFonts w:hint="eastAsia" w:ascii="仿宋_GB2312" w:hAnsi="仿宋" w:eastAsia="仿宋_GB2312" w:cs="仿宋_GB2312"/>
          <w:sz w:val="32"/>
          <w:szCs w:val="32"/>
        </w:rPr>
        <w:t>万元；公务用车购置</w:t>
      </w:r>
      <w:r>
        <w:rPr>
          <w:rFonts w:ascii="仿宋_GB2312" w:hAnsi="仿宋" w:eastAsia="仿宋_GB2312" w:cs="仿宋_GB2312"/>
          <w:sz w:val="32"/>
          <w:szCs w:val="32"/>
        </w:rPr>
        <w:t>0</w:t>
      </w:r>
      <w:r>
        <w:rPr>
          <w:rFonts w:hint="eastAsia" w:ascii="仿宋_GB2312" w:hAnsi="仿宋" w:eastAsia="仿宋_GB2312" w:cs="仿宋_GB2312"/>
          <w:sz w:val="32"/>
          <w:szCs w:val="32"/>
        </w:rPr>
        <w:t>万元，公务用车运行维护费</w:t>
      </w:r>
      <w:r>
        <w:rPr>
          <w:rFonts w:ascii="仿宋_GB2312" w:hAnsi="仿宋" w:eastAsia="仿宋_GB2312" w:cs="仿宋_GB2312"/>
          <w:sz w:val="32"/>
          <w:szCs w:val="32"/>
        </w:rPr>
        <w:t>0</w:t>
      </w:r>
      <w:r>
        <w:rPr>
          <w:rFonts w:hint="eastAsia" w:ascii="仿宋_GB2312" w:hAnsi="仿宋" w:eastAsia="仿宋_GB2312" w:cs="仿宋_GB2312"/>
          <w:sz w:val="32"/>
          <w:szCs w:val="32"/>
        </w:rPr>
        <w:t>万元；公务接待费</w:t>
      </w:r>
      <w:r>
        <w:rPr>
          <w:rFonts w:ascii="仿宋_GB2312" w:hAnsi="仿宋" w:eastAsia="仿宋_GB2312" w:cs="仿宋_GB2312"/>
          <w:sz w:val="32"/>
          <w:szCs w:val="32"/>
        </w:rPr>
        <w:t>0</w:t>
      </w:r>
      <w:r>
        <w:rPr>
          <w:rFonts w:hint="eastAsia" w:ascii="仿宋_GB2312" w:hAnsi="仿宋" w:eastAsia="仿宋_GB2312" w:cs="仿宋_GB2312"/>
          <w:sz w:val="32"/>
          <w:szCs w:val="32"/>
        </w:rPr>
        <w:t>万元。与上年持平</w:t>
      </w:r>
      <w:r>
        <w:rPr>
          <w:rFonts w:ascii="仿宋_GB2312" w:hAnsi="仿宋" w:eastAsia="仿宋_GB2312" w:cs="仿宋_GB2312"/>
          <w:sz w:val="32"/>
          <w:szCs w:val="32"/>
        </w:rPr>
        <w:t>,</w:t>
      </w:r>
      <w:r>
        <w:rPr>
          <w:rFonts w:hint="eastAsia" w:ascii="仿宋_GB2312" w:hAnsi="仿宋" w:eastAsia="仿宋_GB2312" w:cs="仿宋_GB2312"/>
          <w:sz w:val="32"/>
          <w:szCs w:val="32"/>
        </w:rPr>
        <w:t>无增减变化。</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五、绩效预算信息</w:t>
      </w:r>
    </w:p>
    <w:p>
      <w:pPr>
        <w:ind w:firstLine="645"/>
        <w:rPr>
          <w:rFonts w:ascii="仿宋_GB2312" w:hAnsi="仿宋" w:eastAsia="仿宋_GB2312"/>
          <w:sz w:val="32"/>
          <w:szCs w:val="32"/>
        </w:rPr>
      </w:pPr>
      <w:r>
        <w:rPr>
          <w:rFonts w:hint="eastAsia" w:ascii="仿宋_GB2312" w:hAnsi="仿宋" w:eastAsia="仿宋_GB2312" w:cs="仿宋_GB2312"/>
          <w:sz w:val="32"/>
          <w:szCs w:val="32"/>
        </w:rPr>
        <w:t>（一）总体绩效目标</w:t>
      </w:r>
    </w:p>
    <w:p>
      <w:pPr>
        <w:ind w:firstLine="560"/>
        <w:rPr>
          <w:rFonts w:ascii="仿宋_GB2312" w:hAnsi="仿宋" w:eastAsia="仿宋_GB2312"/>
          <w:sz w:val="32"/>
          <w:szCs w:val="32"/>
        </w:rPr>
      </w:pPr>
      <w:r>
        <w:rPr>
          <w:rFonts w:hint="eastAsia" w:ascii="仿宋_GB2312" w:hAnsi="仿宋" w:eastAsia="仿宋_GB2312" w:cs="仿宋_GB2312"/>
          <w:sz w:val="32"/>
          <w:szCs w:val="32"/>
        </w:rPr>
        <w:t>搞好入党积极分子培训、党务干部培训、加强党员教育、国防教育、落实党内民主监督，加强民兵训练和机关基层组织建设工作。发挥县直机关工委纪工委作用，严格党的纪律，实现我县党风带动民风的根本好转。</w:t>
      </w:r>
    </w:p>
    <w:p>
      <w:pPr>
        <w:ind w:firstLine="645"/>
        <w:rPr>
          <w:rFonts w:ascii="仿宋_GB2312" w:hAnsi="仿宋" w:eastAsia="仿宋_GB2312"/>
          <w:sz w:val="32"/>
          <w:szCs w:val="32"/>
        </w:rPr>
      </w:pPr>
      <w:r>
        <w:rPr>
          <w:rFonts w:hint="eastAsia" w:ascii="仿宋_GB2312" w:hAnsi="仿宋" w:eastAsia="仿宋_GB2312" w:cs="仿宋_GB2312"/>
          <w:sz w:val="32"/>
          <w:szCs w:val="32"/>
        </w:rPr>
        <w:t>（二）职责分类绩效目标</w:t>
      </w:r>
    </w:p>
    <w:p>
      <w:pPr>
        <w:ind w:firstLine="560"/>
        <w:rPr>
          <w:rFonts w:ascii="仿宋_GB2312" w:hAnsi="仿宋" w:eastAsia="仿宋_GB2312"/>
          <w:sz w:val="32"/>
          <w:szCs w:val="32"/>
        </w:rPr>
      </w:pPr>
      <w:r>
        <w:rPr>
          <w:rFonts w:ascii="仿宋_GB2312" w:hAnsi="仿宋" w:eastAsia="仿宋_GB2312" w:cs="仿宋_GB2312"/>
          <w:sz w:val="32"/>
          <w:szCs w:val="32"/>
        </w:rPr>
        <w:t>2017</w:t>
      </w:r>
      <w:r>
        <w:rPr>
          <w:rFonts w:hint="eastAsia" w:ascii="仿宋_GB2312" w:hAnsi="仿宋" w:eastAsia="仿宋_GB2312" w:cs="仿宋_GB2312"/>
          <w:sz w:val="32"/>
          <w:szCs w:val="32"/>
        </w:rPr>
        <w:t>年，紧紧围绕县委县政府中心工作，制定了机关党建职能绩效目标，机关工委对照目标任务，逐项跟踪督促落实，采取年终考评与平时督查相结合、现场考评与考评组测评组合方式，对各项的绩效目标任务完成情况进行了全面考评，考评中年度目标工作将与以往考评存在较大不同，更加注重过程控制和整体效果体现。进行等级设置，按照目标制定的评价体系，设置出“优、良、中、差”四个档次，力争达优。</w:t>
      </w:r>
    </w:p>
    <w:p>
      <w:pPr>
        <w:ind w:firstLine="645"/>
        <w:rPr>
          <w:rFonts w:ascii="仿宋_GB2312" w:hAnsi="仿宋" w:eastAsia="仿宋_GB2312"/>
          <w:sz w:val="32"/>
          <w:szCs w:val="32"/>
        </w:rPr>
      </w:pPr>
      <w:r>
        <w:rPr>
          <w:rFonts w:hint="eastAsia" w:ascii="仿宋_GB2312" w:hAnsi="仿宋" w:eastAsia="仿宋_GB2312" w:cs="仿宋_GB2312"/>
          <w:sz w:val="32"/>
          <w:szCs w:val="32"/>
        </w:rPr>
        <w:t>（三）部门职责</w:t>
      </w:r>
      <w:r>
        <w:rPr>
          <w:rFonts w:ascii="仿宋_GB2312" w:hAnsi="仿宋" w:eastAsia="仿宋_GB2312" w:cs="仿宋_GB2312"/>
          <w:sz w:val="32"/>
          <w:szCs w:val="32"/>
        </w:rPr>
        <w:t>-</w:t>
      </w:r>
      <w:r>
        <w:rPr>
          <w:rFonts w:hint="eastAsia" w:ascii="仿宋_GB2312" w:hAnsi="仿宋" w:eastAsia="仿宋_GB2312" w:cs="仿宋_GB2312"/>
          <w:sz w:val="32"/>
          <w:szCs w:val="32"/>
        </w:rPr>
        <w:t>工作活动绩效目标</w:t>
      </w:r>
    </w:p>
    <w:p>
      <w:pPr>
        <w:ind w:firstLine="645"/>
        <w:jc w:val="center"/>
        <w:rPr>
          <w:rFonts w:ascii="仿宋_GB2312" w:hAnsi="仿宋" w:eastAsia="仿宋_GB2312"/>
          <w:sz w:val="32"/>
          <w:szCs w:val="32"/>
        </w:rPr>
      </w:pPr>
      <w:r>
        <w:rPr>
          <w:rFonts w:hint="eastAsia" w:ascii="仿宋_GB2312" w:hAnsi="仿宋" w:eastAsia="仿宋_GB2312" w:cs="仿宋_GB2312"/>
          <w:sz w:val="32"/>
          <w:szCs w:val="32"/>
        </w:rPr>
        <w:t>部门职责</w:t>
      </w:r>
      <w:r>
        <w:rPr>
          <w:rFonts w:ascii="仿宋_GB2312" w:hAnsi="仿宋" w:eastAsia="仿宋_GB2312" w:cs="仿宋_GB2312"/>
          <w:sz w:val="32"/>
          <w:szCs w:val="32"/>
        </w:rPr>
        <w:t>-</w:t>
      </w:r>
      <w:r>
        <w:rPr>
          <w:rFonts w:hint="eastAsia" w:ascii="仿宋_GB2312" w:hAnsi="仿宋" w:eastAsia="仿宋_GB2312" w:cs="仿宋_GB2312"/>
          <w:sz w:val="32"/>
          <w:szCs w:val="32"/>
        </w:rPr>
        <w:t>工作活动绩效目标</w:t>
      </w:r>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szCs w:val="24"/>
              </w:rPr>
            </w:pPr>
            <w:r>
              <w:rPr>
                <w:rFonts w:ascii="方正小标宋_GBK" w:eastAsia="方正小标宋_GBK" w:cs="方正小标宋_GBK"/>
                <w:sz w:val="24"/>
                <w:szCs w:val="24"/>
              </w:rPr>
              <w:t>286</w:t>
            </w:r>
            <w:r>
              <w:rPr>
                <w:rFonts w:hint="eastAsia" w:ascii="方正小标宋_GBK" w:eastAsia="方正小标宋_GBK" w:cs="方正小标宋_GBK"/>
                <w:sz w:val="24"/>
                <w:szCs w:val="24"/>
              </w:rPr>
              <w:t>县直工委</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szCs w:val="24"/>
              </w:rPr>
            </w:pPr>
            <w:r>
              <w:rPr>
                <w:rFonts w:hint="eastAsia" w:ascii="方正书宋_GBK" w:eastAsia="方正书宋_GBK" w:cs="方正书宋_GBK"/>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职责活动</w:t>
            </w:r>
          </w:p>
        </w:tc>
        <w:tc>
          <w:tcPr>
            <w:tcW w:w="1276"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年度预算数</w:t>
            </w:r>
          </w:p>
        </w:tc>
        <w:tc>
          <w:tcPr>
            <w:tcW w:w="2976"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内容描述</w:t>
            </w:r>
          </w:p>
        </w:tc>
        <w:tc>
          <w:tcPr>
            <w:tcW w:w="2976"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绩效目标</w:t>
            </w:r>
          </w:p>
        </w:tc>
        <w:tc>
          <w:tcPr>
            <w:tcW w:w="1417"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绩效指标</w:t>
            </w:r>
          </w:p>
        </w:tc>
        <w:tc>
          <w:tcPr>
            <w:tcW w:w="2948" w:type="dxa"/>
            <w:gridSpan w:val="4"/>
            <w:vAlign w:val="center"/>
          </w:tcPr>
          <w:p>
            <w:pPr>
              <w:spacing w:line="300" w:lineRule="exact"/>
              <w:jc w:val="center"/>
              <w:rPr>
                <w:rFonts w:ascii="方正书宋_GBK" w:eastAsia="方正书宋_GBK"/>
                <w:b/>
                <w:bCs/>
              </w:rPr>
            </w:pPr>
            <w:r>
              <w:rPr>
                <w:rFonts w:hint="eastAsia" w:ascii="方正书宋_GBK" w:eastAsia="方正书宋_GBK" w:cs="方正书宋_GBK"/>
                <w:b/>
                <w:bCs/>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优</w:t>
            </w:r>
          </w:p>
        </w:tc>
        <w:tc>
          <w:tcPr>
            <w:tcW w:w="737"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良</w:t>
            </w:r>
          </w:p>
        </w:tc>
        <w:tc>
          <w:tcPr>
            <w:tcW w:w="737"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中</w:t>
            </w:r>
          </w:p>
        </w:tc>
        <w:tc>
          <w:tcPr>
            <w:tcW w:w="737"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一、县直机关党的建设</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加强县直机关党的思想政治建设、组织建设、作风建设、制度建设和反腐倡廉建设，做好县直机关其他党建工作。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政治觉悟和思想道德素质明显提高；党组织战斗堡垒作用和党员先锋模范作用进一步增强；其他党建工作得到有效落实。</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bCs/>
              </w:rPr>
            </w:pPr>
            <w:r>
              <w:rPr>
                <w:rFonts w:hint="eastAsia" w:ascii="方正书宋_GBK" w:eastAsia="方正书宋_GBK" w:cs="方正书宋_GBK"/>
                <w:b/>
                <w:bCs/>
              </w:rPr>
              <w:t>　　思想政治建设</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指导县直机关各级党组织用马克思主义中国化的最新理论成果，教育县直党员干部树立正确的世界观、人生观和价值观；指导县直加强学习型党组织建设和中心组理论学习。负责县直精神文明建设及普法工作。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利用各种有效载体开展宣传教育活动</w:t>
            </w:r>
            <w:r>
              <w:rPr>
                <w:rFonts w:ascii="方正书宋_GBK" w:eastAsia="方正书宋_GBK" w:cs="方正书宋_GBK"/>
              </w:rPr>
              <w:t>,</w:t>
            </w:r>
            <w:r>
              <w:rPr>
                <w:rFonts w:hint="eastAsia" w:ascii="方正书宋_GBK" w:eastAsia="方正书宋_GBK" w:cs="方正书宋_GBK"/>
              </w:rPr>
              <w:t>效果明显</w:t>
            </w:r>
            <w:r>
              <w:rPr>
                <w:rFonts w:ascii="方正书宋_GBK" w:eastAsia="方正书宋_GBK" w:cs="方正书宋_GBK"/>
              </w:rPr>
              <w:t>;</w:t>
            </w:r>
            <w:r>
              <w:rPr>
                <w:rFonts w:hint="eastAsia" w:ascii="方正书宋_GBK" w:eastAsia="方正书宋_GBK" w:cs="方正书宋_GBK"/>
              </w:rPr>
              <w:t>学习制度得到普遍落实，各项活动普遍参加</w:t>
            </w:r>
            <w:r>
              <w:rPr>
                <w:rFonts w:ascii="方正书宋_GBK" w:eastAsia="方正书宋_GBK" w:cs="方正书宋_GBK"/>
              </w:rPr>
              <w:t>;</w:t>
            </w:r>
            <w:r>
              <w:rPr>
                <w:rFonts w:hint="eastAsia" w:ascii="方正书宋_GBK" w:eastAsia="方正书宋_GBK" w:cs="方正书宋_GBK"/>
              </w:rPr>
              <w:t>精神文明创建活动参与广泛，公民道德素质、各项活动满意率明显提高。</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领导干部参与率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干部职工参与率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党员干部教育覆盖率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思想教育活动完成率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bCs/>
              </w:rPr>
            </w:pPr>
            <w:r>
              <w:rPr>
                <w:rFonts w:hint="eastAsia" w:ascii="方正书宋_GBK" w:eastAsia="方正书宋_GBK" w:cs="方正书宋_GBK"/>
                <w:b/>
                <w:bCs/>
              </w:rPr>
              <w:t>　　组织建设</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指导县直机关认真落实</w:t>
            </w:r>
            <w:r>
              <w:rPr>
                <w:rFonts w:hint="eastAsia" w:ascii="方正书宋_GBK" w:eastAsia="方正书宋_GBK" w:cs="方正书宋_GBK"/>
                <w:lang w:eastAsia="zh-CN"/>
              </w:rPr>
              <w:t>《中国共产党章程》</w:t>
            </w:r>
            <w:r>
              <w:rPr>
                <w:rFonts w:hint="eastAsia" w:ascii="方正书宋_GBK" w:eastAsia="方正书宋_GBK" w:cs="方正书宋_GBK"/>
              </w:rPr>
              <w:t>，加强基层党组织建设，严格组织生活制度，丰富党建活动内容，做好党员发展、教育、管理、服务和党务干部的教育培训工作，充分发挥党组织的战斗堡垒作用和党员的先锋模范作用。</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党组织、党员作用突出。</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党务干部党务工作考核优秀率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70%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基层党组织建设工作完成率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bCs/>
              </w:rPr>
            </w:pPr>
            <w:r>
              <w:rPr>
                <w:rFonts w:hint="eastAsia" w:ascii="方正书宋_GBK" w:eastAsia="方正书宋_GBK" w:cs="方正书宋_GBK"/>
                <w:b/>
                <w:bCs/>
              </w:rPr>
              <w:t>　　县直机关党风廉政建设</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开展县直各部门机关党委的纪律检查工作，审议县直普通党员干部违反党纪问题，审批县直普通党员干部违反党纪处理决定</w:t>
            </w:r>
            <w:r>
              <w:rPr>
                <w:rFonts w:ascii="方正书宋_GBK" w:eastAsia="方正书宋_GBK" w:cs="方正书宋_GBK"/>
              </w:rPr>
              <w:t>;</w:t>
            </w:r>
            <w:r>
              <w:rPr>
                <w:rFonts w:hint="eastAsia" w:ascii="方正书宋_GBK" w:eastAsia="方正书宋_GBK" w:cs="方正书宋_GBK"/>
              </w:rPr>
              <w:t>核查县直普通党员干部的违纪问题，负责县直机关行政监察职能绩效目标考核等工作。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违纪案件明显减少，作风进一步好转。</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党员干部违纪核查工作完成率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党风廉政建设宣传工作完成率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二、县直机关统战、群团和县直人民武装工作</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指导县直机关动员组织党外人士、群众团体积极开展活动，做好全民国防教育和人民武装工作，发挥各自职能作用，服务中心工作。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统战、群团工作得到落实，作用发挥明显，受到公众好评；组织健全，工作落实，县直干部职工国防观念和县直民兵战斗力进一步增强。</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　　统战工作</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指导县直机关各部门统战工作；组织各界人士积极发挥参政议政、民主监督作用，为县域政治、经济、社会发展献计献策。</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统战工作受到公众好评。</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县直机关各部门统战工作的指导任务完成率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85%</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bCs/>
              </w:rPr>
            </w:pPr>
            <w:r>
              <w:rPr>
                <w:rFonts w:hint="eastAsia" w:ascii="方正书宋_GBK" w:eastAsia="方正书宋_GBK" w:cs="方正书宋_GBK"/>
                <w:b/>
                <w:bCs/>
              </w:rPr>
              <w:t>　　群团工作</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指导县直机关共青团组织和妇联组织加强队伍建设，积极开展活动，做好换届工作，充分发挥青年和妇女在经济社会发展及机关党建工作中的作用。</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开展活动公众满意度高。</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换届工作完成率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85%</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县直机关共青团组织和妇联组织队伍建设的指导工作完成率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85%</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　　国防教育和专武干部队伍、民兵组织建设</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教育引导县直干部职工学习国防知识，增强国防观念，支持国防建设，加强专武干部、国防教育宣传员培训和民兵组织建设，提高工作能力和民兵组织战斗力。</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组织健全，工作落实。</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国防教育计划落实率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三、工委事务管理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完成好县直机关党委、纪委日常业务工作，机关党建网络建设、调研交流工作以及县直机关文化活动开展、反邪教和老龄工作。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各项工作全部落实</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　　综合业务管理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做好县直机关党委和纪委负责人任免、考核、培训工作；活跃县直机关文化生活，建好机关党建工作信息平台，加强全县机关党建工作调研交流，做好县直反邪教、维稳和老龄协调工作。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各项工作全部落实。</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综合业务工作完成率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&lt;90%</w:t>
            </w:r>
          </w:p>
        </w:tc>
      </w:tr>
    </w:tbl>
    <w:p>
      <w:pPr>
        <w:ind w:firstLine="645"/>
        <w:jc w:val="center"/>
        <w:rPr>
          <w:rFonts w:ascii="仿宋" w:hAnsi="仿宋" w:eastAsia="仿宋"/>
          <w:sz w:val="32"/>
          <w:szCs w:val="32"/>
        </w:rPr>
      </w:pP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六、政府采购预算情况</w:t>
      </w:r>
    </w:p>
    <w:p>
      <w:pPr>
        <w:ind w:firstLine="688" w:firstLineChars="215"/>
        <w:rPr>
          <w:rFonts w:ascii="仿宋_GB2312" w:hAnsi="仿宋" w:eastAsia="仿宋_GB2312"/>
          <w:sz w:val="32"/>
          <w:szCs w:val="32"/>
        </w:rPr>
      </w:pPr>
      <w:r>
        <w:rPr>
          <w:rFonts w:ascii="仿宋_GB2312" w:hAnsi="仿宋" w:eastAsia="仿宋_GB2312" w:cs="仿宋_GB2312"/>
          <w:sz w:val="32"/>
          <w:szCs w:val="32"/>
        </w:rPr>
        <w:t>2017</w:t>
      </w:r>
      <w:r>
        <w:rPr>
          <w:rFonts w:hint="eastAsia" w:ascii="仿宋_GB2312" w:hAnsi="仿宋" w:eastAsia="仿宋_GB2312" w:cs="仿宋_GB2312"/>
          <w:sz w:val="32"/>
          <w:szCs w:val="32"/>
        </w:rPr>
        <w:t>年我部门安排政府采购预算</w:t>
      </w:r>
      <w:r>
        <w:rPr>
          <w:rFonts w:ascii="仿宋_GB2312" w:hAnsi="仿宋" w:eastAsia="仿宋_GB2312" w:cs="仿宋_GB2312"/>
          <w:sz w:val="32"/>
          <w:szCs w:val="32"/>
        </w:rPr>
        <w:t>0</w:t>
      </w:r>
      <w:r>
        <w:rPr>
          <w:rFonts w:hint="eastAsia" w:ascii="仿宋_GB2312" w:hAnsi="仿宋" w:eastAsia="仿宋_GB2312" w:cs="仿宋_GB2312"/>
          <w:sz w:val="32"/>
          <w:szCs w:val="32"/>
        </w:rPr>
        <w:t>万元。</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七、国有资产信息</w:t>
      </w:r>
    </w:p>
    <w:p>
      <w:pPr>
        <w:ind w:firstLine="688" w:firstLineChars="215"/>
        <w:rPr>
          <w:rFonts w:ascii="仿宋_GB2312" w:hAnsi="仿宋_GB2312" w:eastAsia="仿宋_GB2312" w:cs="仿宋_GB2312"/>
          <w:sz w:val="32"/>
          <w:szCs w:val="32"/>
        </w:rPr>
      </w:pPr>
      <w:r>
        <w:rPr>
          <w:rFonts w:hint="eastAsia" w:ascii="仿宋_GB2312" w:hAnsi="仿宋_GB2312" w:eastAsia="仿宋_GB2312" w:cs="仿宋_GB2312"/>
          <w:sz w:val="32"/>
          <w:szCs w:val="32"/>
        </w:rPr>
        <w:t>无极县县直工委上年末固定资产金额为 3.4万元（详见下表）。本年度拟购置固定资产金额为0万元。</w:t>
      </w:r>
    </w:p>
    <w:p>
      <w:pPr>
        <w:pStyle w:val="7"/>
        <w:ind w:firstLine="640" w:firstLineChars="200"/>
        <w:rPr>
          <w:rFonts w:ascii="仿宋_GB2312" w:hAnsi="仿宋" w:eastAsia="仿宋_GB2312" w:cs="Times New Roman"/>
          <w:kern w:val="2"/>
          <w:sz w:val="32"/>
          <w:szCs w:val="32"/>
          <w:lang w:eastAsia="zh-CN"/>
        </w:rPr>
      </w:pPr>
    </w:p>
    <w:p>
      <w:pPr>
        <w:ind w:firstLine="640"/>
        <w:rPr>
          <w:rFonts w:ascii="仿宋_GB2312" w:hAnsi="黑体" w:eastAsia="仿宋_GB2312"/>
          <w:color w:val="FF0000"/>
          <w:sz w:val="32"/>
          <w:szCs w:val="32"/>
        </w:rPr>
      </w:pPr>
    </w:p>
    <w:tbl>
      <w:tblPr>
        <w:tblStyle w:val="4"/>
        <w:tblW w:w="11025" w:type="dxa"/>
        <w:tblInd w:w="1472" w:type="dxa"/>
        <w:tblLayout w:type="fixed"/>
        <w:tblCellMar>
          <w:top w:w="0" w:type="dxa"/>
          <w:left w:w="108" w:type="dxa"/>
          <w:bottom w:w="0" w:type="dxa"/>
          <w:right w:w="108" w:type="dxa"/>
        </w:tblCellMar>
      </w:tblPr>
      <w:tblGrid>
        <w:gridCol w:w="3885"/>
        <w:gridCol w:w="1680"/>
        <w:gridCol w:w="5460"/>
      </w:tblGrid>
      <w:tr>
        <w:tblPrEx>
          <w:tblCellMar>
            <w:top w:w="0" w:type="dxa"/>
            <w:left w:w="108" w:type="dxa"/>
            <w:bottom w:w="0" w:type="dxa"/>
            <w:right w:w="108" w:type="dxa"/>
          </w:tblCellMar>
        </w:tblPrEx>
        <w:trPr>
          <w:trHeight w:val="705" w:hRule="atLeast"/>
        </w:trPr>
        <w:tc>
          <w:tcPr>
            <w:tcW w:w="11025" w:type="dxa"/>
            <w:gridSpan w:val="3"/>
            <w:tcBorders>
              <w:top w:val="nil"/>
              <w:left w:val="nil"/>
              <w:bottom w:val="nil"/>
              <w:right w:val="nil"/>
            </w:tcBorders>
            <w:vAlign w:val="center"/>
          </w:tcPr>
          <w:p>
            <w:pPr>
              <w:widowControl/>
              <w:jc w:val="center"/>
              <w:rPr>
                <w:rFonts w:ascii="宋体"/>
                <w:b/>
                <w:bCs/>
                <w:kern w:val="0"/>
                <w:sz w:val="32"/>
                <w:szCs w:val="32"/>
              </w:rPr>
            </w:pPr>
            <w:r>
              <w:rPr>
                <w:rFonts w:hint="eastAsia" w:ascii="宋体" w:hAnsi="宋体" w:cs="宋体"/>
                <w:b/>
                <w:bCs/>
                <w:kern w:val="0"/>
                <w:sz w:val="32"/>
                <w:szCs w:val="32"/>
              </w:rPr>
              <w:t>无极县县直工委固定资产占用情况表</w:t>
            </w:r>
          </w:p>
        </w:tc>
      </w:tr>
      <w:tr>
        <w:tblPrEx>
          <w:tblCellMar>
            <w:top w:w="0" w:type="dxa"/>
            <w:left w:w="108" w:type="dxa"/>
            <w:bottom w:w="0" w:type="dxa"/>
            <w:right w:w="108" w:type="dxa"/>
          </w:tblCellMar>
        </w:tblPrEx>
        <w:trPr>
          <w:trHeight w:val="510" w:hRule="atLeast"/>
        </w:trPr>
        <w:tc>
          <w:tcPr>
            <w:tcW w:w="5565" w:type="dxa"/>
            <w:gridSpan w:val="2"/>
            <w:tcBorders>
              <w:top w:val="nil"/>
              <w:left w:val="nil"/>
              <w:bottom w:val="nil"/>
              <w:right w:val="nil"/>
            </w:tcBorders>
            <w:vAlign w:val="center"/>
          </w:tcPr>
          <w:p>
            <w:pPr>
              <w:widowControl/>
              <w:jc w:val="left"/>
              <w:rPr>
                <w:rFonts w:ascii="宋体"/>
                <w:kern w:val="0"/>
                <w:sz w:val="22"/>
                <w:szCs w:val="22"/>
              </w:rPr>
            </w:pPr>
            <w:r>
              <w:rPr>
                <w:rFonts w:hint="eastAsia" w:ascii="宋体" w:hAnsi="宋体" w:cs="宋体"/>
                <w:kern w:val="0"/>
                <w:sz w:val="22"/>
                <w:szCs w:val="22"/>
              </w:rPr>
              <w:t>编制部门：</w:t>
            </w:r>
            <w:r>
              <w:rPr>
                <w:rFonts w:hint="eastAsia" w:cs="宋体"/>
              </w:rPr>
              <w:t>无极县县直工委</w:t>
            </w:r>
          </w:p>
        </w:tc>
        <w:tc>
          <w:tcPr>
            <w:tcW w:w="5460" w:type="dxa"/>
            <w:tcBorders>
              <w:top w:val="nil"/>
              <w:left w:val="nil"/>
              <w:bottom w:val="nil"/>
              <w:right w:val="nil"/>
            </w:tcBorders>
            <w:vAlign w:val="center"/>
          </w:tcPr>
          <w:p>
            <w:pPr>
              <w:widowControl/>
              <w:ind w:firstLine="1760" w:firstLineChars="800"/>
              <w:jc w:val="left"/>
              <w:rPr>
                <w:rFonts w:ascii="宋体"/>
                <w:kern w:val="0"/>
                <w:sz w:val="22"/>
                <w:szCs w:val="22"/>
              </w:rPr>
            </w:pPr>
            <w:r>
              <w:rPr>
                <w:rFonts w:hint="eastAsia" w:ascii="宋体" w:hAnsi="宋体" w:cs="宋体"/>
                <w:kern w:val="0"/>
                <w:sz w:val="22"/>
                <w:szCs w:val="22"/>
              </w:rPr>
              <w:t>截止时间：</w:t>
            </w:r>
            <w:r>
              <w:rPr>
                <w:rFonts w:ascii="宋体" w:hAnsi="宋体" w:cs="宋体"/>
                <w:kern w:val="0"/>
                <w:sz w:val="22"/>
                <w:szCs w:val="22"/>
              </w:rPr>
              <w:t>2016</w:t>
            </w:r>
            <w:r>
              <w:rPr>
                <w:rFonts w:hint="eastAsia" w:ascii="宋体" w:hAnsi="宋体" w:cs="宋体"/>
                <w:kern w:val="0"/>
                <w:sz w:val="22"/>
                <w:szCs w:val="22"/>
              </w:rPr>
              <w:t>年</w:t>
            </w:r>
            <w:r>
              <w:rPr>
                <w:rFonts w:ascii="宋体" w:hAnsi="宋体" w:cs="宋体"/>
                <w:kern w:val="0"/>
                <w:sz w:val="22"/>
                <w:szCs w:val="22"/>
              </w:rPr>
              <w:t>12</w:t>
            </w:r>
            <w:r>
              <w:rPr>
                <w:rFonts w:hint="eastAsia" w:ascii="宋体" w:hAnsi="宋体" w:cs="宋体"/>
                <w:kern w:val="0"/>
                <w:sz w:val="22"/>
                <w:szCs w:val="22"/>
              </w:rPr>
              <w:t>月</w:t>
            </w:r>
            <w:r>
              <w:rPr>
                <w:rFonts w:ascii="宋体" w:hAnsi="宋体" w:cs="宋体"/>
                <w:kern w:val="0"/>
                <w:sz w:val="22"/>
                <w:szCs w:val="22"/>
              </w:rPr>
              <w:t>31</w:t>
            </w:r>
            <w:r>
              <w:rPr>
                <w:rFonts w:hint="eastAsia" w:ascii="宋体" w:hAnsi="宋体" w:cs="宋体"/>
                <w:kern w:val="0"/>
                <w:sz w:val="22"/>
                <w:szCs w:val="22"/>
              </w:rPr>
              <w:t>日</w:t>
            </w:r>
            <w:r>
              <w:rPr>
                <w:rFonts w:ascii="宋体" w:hAnsi="宋体" w:cs="宋体"/>
                <w:kern w:val="0"/>
                <w:sz w:val="22"/>
                <w:szCs w:val="22"/>
              </w:rPr>
              <w:t xml:space="preserve">  </w:t>
            </w:r>
          </w:p>
        </w:tc>
      </w:tr>
      <w:tr>
        <w:tblPrEx>
          <w:tblCellMar>
            <w:top w:w="0" w:type="dxa"/>
            <w:left w:w="108" w:type="dxa"/>
            <w:bottom w:w="0" w:type="dxa"/>
            <w:right w:w="108" w:type="dxa"/>
          </w:tblCellMar>
        </w:tblPrEx>
        <w:trPr>
          <w:trHeight w:val="645" w:hRule="atLeast"/>
        </w:trPr>
        <w:tc>
          <w:tcPr>
            <w:tcW w:w="388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b/>
                <w:bCs/>
                <w:kern w:val="0"/>
                <w:sz w:val="22"/>
                <w:szCs w:val="22"/>
              </w:rPr>
            </w:pPr>
            <w:r>
              <w:rPr>
                <w:rFonts w:hint="eastAsia" w:ascii="宋体" w:hAnsi="宋体" w:cs="宋体"/>
                <w:b/>
                <w:bCs/>
                <w:kern w:val="0"/>
                <w:sz w:val="22"/>
                <w:szCs w:val="22"/>
              </w:rPr>
              <w:t>项</w:t>
            </w:r>
            <w:r>
              <w:rPr>
                <w:rFonts w:ascii="宋体" w:hAnsi="宋体" w:cs="宋体"/>
                <w:b/>
                <w:bCs/>
                <w:kern w:val="0"/>
                <w:sz w:val="22"/>
                <w:szCs w:val="22"/>
              </w:rPr>
              <w:t xml:space="preserve">   </w:t>
            </w:r>
            <w:r>
              <w:rPr>
                <w:rFonts w:hint="eastAsia" w:ascii="宋体" w:hAnsi="宋体" w:cs="宋体"/>
                <w:b/>
                <w:bCs/>
                <w:kern w:val="0"/>
                <w:sz w:val="22"/>
                <w:szCs w:val="22"/>
              </w:rPr>
              <w:t>目</w:t>
            </w:r>
          </w:p>
        </w:tc>
        <w:tc>
          <w:tcPr>
            <w:tcW w:w="1680" w:type="dxa"/>
            <w:tcBorders>
              <w:top w:val="single" w:color="auto" w:sz="4" w:space="0"/>
              <w:left w:val="nil"/>
              <w:bottom w:val="single" w:color="auto" w:sz="4" w:space="0"/>
              <w:right w:val="single" w:color="auto" w:sz="4" w:space="0"/>
            </w:tcBorders>
            <w:vAlign w:val="center"/>
          </w:tcPr>
          <w:p>
            <w:pPr>
              <w:widowControl/>
              <w:jc w:val="center"/>
              <w:rPr>
                <w:rFonts w:ascii="宋体"/>
                <w:b/>
                <w:bCs/>
                <w:kern w:val="0"/>
                <w:sz w:val="22"/>
                <w:szCs w:val="22"/>
              </w:rPr>
            </w:pPr>
            <w:r>
              <w:rPr>
                <w:rFonts w:hint="eastAsia" w:ascii="宋体" w:hAnsi="宋体" w:cs="宋体"/>
                <w:b/>
                <w:bCs/>
                <w:kern w:val="0"/>
                <w:sz w:val="22"/>
                <w:szCs w:val="22"/>
              </w:rPr>
              <w:t>数量</w:t>
            </w:r>
          </w:p>
        </w:tc>
        <w:tc>
          <w:tcPr>
            <w:tcW w:w="5460" w:type="dxa"/>
            <w:tcBorders>
              <w:top w:val="single" w:color="auto" w:sz="4" w:space="0"/>
              <w:left w:val="nil"/>
              <w:bottom w:val="single" w:color="auto" w:sz="4" w:space="0"/>
              <w:right w:val="single" w:color="auto" w:sz="4" w:space="0"/>
            </w:tcBorders>
            <w:vAlign w:val="center"/>
          </w:tcPr>
          <w:p>
            <w:pPr>
              <w:widowControl/>
              <w:jc w:val="center"/>
              <w:rPr>
                <w:rFonts w:ascii="宋体"/>
                <w:b/>
                <w:bCs/>
                <w:kern w:val="0"/>
                <w:sz w:val="22"/>
                <w:szCs w:val="22"/>
              </w:rPr>
            </w:pPr>
            <w:r>
              <w:rPr>
                <w:rFonts w:hint="eastAsia" w:ascii="宋体" w:hAnsi="宋体" w:cs="宋体"/>
                <w:b/>
                <w:bCs/>
                <w:kern w:val="0"/>
                <w:sz w:val="22"/>
                <w:szCs w:val="22"/>
              </w:rPr>
              <w:t>价值（金额单位：万元）</w:t>
            </w:r>
          </w:p>
        </w:tc>
      </w:tr>
      <w:tr>
        <w:tblPrEx>
          <w:tblCellMar>
            <w:top w:w="0" w:type="dxa"/>
            <w:left w:w="108" w:type="dxa"/>
            <w:bottom w:w="0" w:type="dxa"/>
            <w:right w:w="108" w:type="dxa"/>
          </w:tblCellMar>
        </w:tblPrEx>
        <w:trPr>
          <w:trHeight w:val="645" w:hRule="atLeast"/>
        </w:trPr>
        <w:tc>
          <w:tcPr>
            <w:tcW w:w="3885" w:type="dxa"/>
            <w:tcBorders>
              <w:top w:val="nil"/>
              <w:left w:val="single" w:color="auto" w:sz="4" w:space="0"/>
              <w:bottom w:val="single" w:color="auto" w:sz="4" w:space="0"/>
              <w:right w:val="single" w:color="auto" w:sz="4" w:space="0"/>
            </w:tcBorders>
            <w:vAlign w:val="center"/>
          </w:tcPr>
          <w:p>
            <w:pPr>
              <w:widowControl/>
              <w:jc w:val="center"/>
              <w:rPr>
                <w:rFonts w:ascii="宋体"/>
                <w:kern w:val="0"/>
                <w:sz w:val="22"/>
                <w:szCs w:val="22"/>
              </w:rPr>
            </w:pPr>
            <w:r>
              <w:rPr>
                <w:rFonts w:hint="eastAsia" w:ascii="宋体" w:hAnsi="宋体" w:cs="宋体"/>
                <w:kern w:val="0"/>
                <w:sz w:val="22"/>
                <w:szCs w:val="22"/>
              </w:rPr>
              <w:t>资产总额</w:t>
            </w:r>
          </w:p>
        </w:tc>
        <w:tc>
          <w:tcPr>
            <w:tcW w:w="1680"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hAnsi="宋体" w:cs="宋体"/>
                <w:kern w:val="0"/>
                <w:sz w:val="22"/>
                <w:szCs w:val="22"/>
              </w:rPr>
              <w:t>——</w:t>
            </w:r>
          </w:p>
        </w:tc>
        <w:tc>
          <w:tcPr>
            <w:tcW w:w="5460" w:type="dxa"/>
            <w:tcBorders>
              <w:top w:val="nil"/>
              <w:left w:val="nil"/>
              <w:bottom w:val="single" w:color="auto" w:sz="4" w:space="0"/>
              <w:right w:val="single" w:color="auto" w:sz="4" w:space="0"/>
            </w:tcBorders>
            <w:vAlign w:val="center"/>
          </w:tcPr>
          <w:p>
            <w:pPr>
              <w:widowControl/>
              <w:jc w:val="center"/>
              <w:rPr>
                <w:rFonts w:ascii="宋体" w:cs="宋体"/>
                <w:kern w:val="0"/>
                <w:sz w:val="22"/>
                <w:szCs w:val="22"/>
              </w:rPr>
            </w:pPr>
            <w:r>
              <w:rPr>
                <w:rFonts w:ascii="宋体" w:cs="宋体"/>
                <w:kern w:val="0"/>
                <w:sz w:val="22"/>
                <w:szCs w:val="22"/>
              </w:rPr>
              <w:t>3.4</w:t>
            </w:r>
          </w:p>
        </w:tc>
      </w:tr>
      <w:tr>
        <w:tblPrEx>
          <w:tblCellMar>
            <w:top w:w="0" w:type="dxa"/>
            <w:left w:w="108" w:type="dxa"/>
            <w:bottom w:w="0" w:type="dxa"/>
            <w:right w:w="108" w:type="dxa"/>
          </w:tblCellMar>
        </w:tblPrEx>
        <w:trPr>
          <w:trHeight w:val="645" w:hRule="atLeast"/>
        </w:trPr>
        <w:tc>
          <w:tcPr>
            <w:tcW w:w="3885"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1</w:t>
            </w:r>
            <w:r>
              <w:rPr>
                <w:rFonts w:hint="eastAsia" w:ascii="宋体" w:hAnsi="宋体" w:cs="宋体"/>
                <w:kern w:val="0"/>
                <w:sz w:val="22"/>
                <w:szCs w:val="22"/>
              </w:rPr>
              <w:t>、房屋（平方米）</w:t>
            </w:r>
          </w:p>
        </w:tc>
        <w:tc>
          <w:tcPr>
            <w:tcW w:w="1680" w:type="dxa"/>
            <w:tcBorders>
              <w:top w:val="nil"/>
              <w:left w:val="nil"/>
              <w:bottom w:val="single" w:color="auto" w:sz="4" w:space="0"/>
              <w:right w:val="single" w:color="auto" w:sz="4" w:space="0"/>
            </w:tcBorders>
            <w:vAlign w:val="center"/>
          </w:tcPr>
          <w:p>
            <w:pPr>
              <w:widowControl/>
              <w:jc w:val="center"/>
              <w:rPr>
                <w:rFonts w:ascii="宋体"/>
                <w:kern w:val="0"/>
                <w:sz w:val="22"/>
                <w:szCs w:val="22"/>
              </w:rPr>
            </w:pPr>
          </w:p>
        </w:tc>
        <w:tc>
          <w:tcPr>
            <w:tcW w:w="5460" w:type="dxa"/>
            <w:tcBorders>
              <w:top w:val="nil"/>
              <w:left w:val="nil"/>
              <w:bottom w:val="single" w:color="auto" w:sz="4" w:space="0"/>
              <w:right w:val="single" w:color="auto" w:sz="4" w:space="0"/>
            </w:tcBorders>
            <w:vAlign w:val="center"/>
          </w:tcPr>
          <w:p>
            <w:pPr>
              <w:widowControl/>
              <w:jc w:val="center"/>
              <w:rPr>
                <w:rFonts w:ascii="宋体"/>
                <w:kern w:val="0"/>
                <w:sz w:val="22"/>
                <w:szCs w:val="22"/>
              </w:rPr>
            </w:pPr>
          </w:p>
        </w:tc>
      </w:tr>
      <w:tr>
        <w:tblPrEx>
          <w:tblCellMar>
            <w:top w:w="0" w:type="dxa"/>
            <w:left w:w="108" w:type="dxa"/>
            <w:bottom w:w="0" w:type="dxa"/>
            <w:right w:w="108" w:type="dxa"/>
          </w:tblCellMar>
        </w:tblPrEx>
        <w:trPr>
          <w:trHeight w:val="645" w:hRule="atLeast"/>
        </w:trPr>
        <w:tc>
          <w:tcPr>
            <w:tcW w:w="3885"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 xml:space="preserve">  </w:t>
            </w:r>
            <w:r>
              <w:rPr>
                <w:rFonts w:hint="eastAsia" w:ascii="宋体" w:hAnsi="宋体" w:cs="宋体"/>
                <w:kern w:val="0"/>
                <w:sz w:val="22"/>
                <w:szCs w:val="22"/>
              </w:rPr>
              <w:t>其中：办公用房（平方米）</w:t>
            </w:r>
          </w:p>
        </w:tc>
        <w:tc>
          <w:tcPr>
            <w:tcW w:w="1680" w:type="dxa"/>
            <w:tcBorders>
              <w:top w:val="nil"/>
              <w:left w:val="nil"/>
              <w:bottom w:val="single" w:color="auto" w:sz="4" w:space="0"/>
              <w:right w:val="single" w:color="auto" w:sz="4" w:space="0"/>
            </w:tcBorders>
            <w:vAlign w:val="center"/>
          </w:tcPr>
          <w:p>
            <w:pPr>
              <w:widowControl/>
              <w:jc w:val="center"/>
              <w:rPr>
                <w:rFonts w:ascii="宋体"/>
                <w:kern w:val="0"/>
                <w:sz w:val="22"/>
                <w:szCs w:val="22"/>
              </w:rPr>
            </w:pPr>
          </w:p>
        </w:tc>
        <w:tc>
          <w:tcPr>
            <w:tcW w:w="5460" w:type="dxa"/>
            <w:tcBorders>
              <w:top w:val="nil"/>
              <w:left w:val="nil"/>
              <w:bottom w:val="single" w:color="auto" w:sz="4" w:space="0"/>
              <w:right w:val="single" w:color="auto" w:sz="4" w:space="0"/>
            </w:tcBorders>
            <w:vAlign w:val="center"/>
          </w:tcPr>
          <w:p>
            <w:pPr>
              <w:widowControl/>
              <w:jc w:val="center"/>
              <w:rPr>
                <w:rFonts w:ascii="宋体"/>
                <w:kern w:val="0"/>
                <w:sz w:val="22"/>
                <w:szCs w:val="22"/>
              </w:rPr>
            </w:pPr>
          </w:p>
        </w:tc>
      </w:tr>
      <w:tr>
        <w:tblPrEx>
          <w:tblCellMar>
            <w:top w:w="0" w:type="dxa"/>
            <w:left w:w="108" w:type="dxa"/>
            <w:bottom w:w="0" w:type="dxa"/>
            <w:right w:w="108" w:type="dxa"/>
          </w:tblCellMar>
        </w:tblPrEx>
        <w:trPr>
          <w:trHeight w:val="645" w:hRule="atLeast"/>
        </w:trPr>
        <w:tc>
          <w:tcPr>
            <w:tcW w:w="3885"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2</w:t>
            </w:r>
            <w:r>
              <w:rPr>
                <w:rFonts w:hint="eastAsia" w:ascii="宋体" w:hAnsi="宋体" w:cs="宋体"/>
                <w:kern w:val="0"/>
                <w:sz w:val="22"/>
                <w:szCs w:val="22"/>
              </w:rPr>
              <w:t>、车辆（台、辆）</w:t>
            </w:r>
          </w:p>
        </w:tc>
        <w:tc>
          <w:tcPr>
            <w:tcW w:w="1680" w:type="dxa"/>
            <w:tcBorders>
              <w:top w:val="nil"/>
              <w:left w:val="nil"/>
              <w:bottom w:val="single" w:color="auto" w:sz="4" w:space="0"/>
              <w:right w:val="single" w:color="auto" w:sz="4" w:space="0"/>
            </w:tcBorders>
            <w:vAlign w:val="center"/>
          </w:tcPr>
          <w:p>
            <w:pPr>
              <w:widowControl/>
              <w:jc w:val="center"/>
              <w:rPr>
                <w:rFonts w:ascii="宋体"/>
                <w:kern w:val="0"/>
                <w:sz w:val="22"/>
                <w:szCs w:val="22"/>
              </w:rPr>
            </w:pPr>
          </w:p>
        </w:tc>
        <w:tc>
          <w:tcPr>
            <w:tcW w:w="5460" w:type="dxa"/>
            <w:tcBorders>
              <w:top w:val="nil"/>
              <w:left w:val="nil"/>
              <w:bottom w:val="single" w:color="auto" w:sz="4" w:space="0"/>
              <w:right w:val="single" w:color="auto" w:sz="4" w:space="0"/>
            </w:tcBorders>
            <w:vAlign w:val="center"/>
          </w:tcPr>
          <w:p>
            <w:pPr>
              <w:widowControl/>
              <w:jc w:val="center"/>
              <w:rPr>
                <w:rFonts w:ascii="宋体"/>
                <w:kern w:val="0"/>
                <w:sz w:val="22"/>
                <w:szCs w:val="22"/>
              </w:rPr>
            </w:pPr>
          </w:p>
        </w:tc>
      </w:tr>
      <w:tr>
        <w:tblPrEx>
          <w:tblCellMar>
            <w:top w:w="0" w:type="dxa"/>
            <w:left w:w="108" w:type="dxa"/>
            <w:bottom w:w="0" w:type="dxa"/>
            <w:right w:w="108" w:type="dxa"/>
          </w:tblCellMar>
        </w:tblPrEx>
        <w:trPr>
          <w:trHeight w:val="645" w:hRule="atLeast"/>
        </w:trPr>
        <w:tc>
          <w:tcPr>
            <w:tcW w:w="3885"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3</w:t>
            </w:r>
            <w:r>
              <w:rPr>
                <w:rFonts w:hint="eastAsia" w:ascii="宋体" w:hAnsi="宋体" w:cs="宋体"/>
                <w:kern w:val="0"/>
                <w:sz w:val="22"/>
                <w:szCs w:val="22"/>
              </w:rPr>
              <w:t>、单价在</w:t>
            </w:r>
            <w:r>
              <w:rPr>
                <w:rFonts w:ascii="宋体" w:hAnsi="宋体" w:cs="宋体"/>
                <w:kern w:val="0"/>
                <w:sz w:val="22"/>
                <w:szCs w:val="22"/>
              </w:rPr>
              <w:t>20</w:t>
            </w:r>
            <w:r>
              <w:rPr>
                <w:rFonts w:hint="eastAsia" w:ascii="宋体" w:hAnsi="宋体" w:cs="宋体"/>
                <w:kern w:val="0"/>
                <w:sz w:val="22"/>
                <w:szCs w:val="22"/>
              </w:rPr>
              <w:t>万元以上设备</w:t>
            </w:r>
          </w:p>
        </w:tc>
        <w:tc>
          <w:tcPr>
            <w:tcW w:w="1680"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hAnsi="宋体" w:cs="宋体"/>
                <w:kern w:val="0"/>
                <w:sz w:val="22"/>
                <w:szCs w:val="22"/>
              </w:rPr>
              <w:t>——</w:t>
            </w:r>
          </w:p>
        </w:tc>
        <w:tc>
          <w:tcPr>
            <w:tcW w:w="5460" w:type="dxa"/>
            <w:tcBorders>
              <w:top w:val="nil"/>
              <w:left w:val="nil"/>
              <w:bottom w:val="single" w:color="auto" w:sz="4" w:space="0"/>
              <w:right w:val="single" w:color="auto" w:sz="4" w:space="0"/>
            </w:tcBorders>
            <w:vAlign w:val="center"/>
          </w:tcPr>
          <w:p>
            <w:pPr>
              <w:widowControl/>
              <w:jc w:val="center"/>
              <w:rPr>
                <w:rFonts w:ascii="宋体"/>
                <w:kern w:val="0"/>
                <w:sz w:val="22"/>
                <w:szCs w:val="22"/>
              </w:rPr>
            </w:pPr>
          </w:p>
        </w:tc>
      </w:tr>
      <w:tr>
        <w:tblPrEx>
          <w:tblCellMar>
            <w:top w:w="0" w:type="dxa"/>
            <w:left w:w="108" w:type="dxa"/>
            <w:bottom w:w="0" w:type="dxa"/>
            <w:right w:w="108" w:type="dxa"/>
          </w:tblCellMar>
        </w:tblPrEx>
        <w:trPr>
          <w:trHeight w:val="645" w:hRule="atLeast"/>
        </w:trPr>
        <w:tc>
          <w:tcPr>
            <w:tcW w:w="3885"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4</w:t>
            </w:r>
            <w:r>
              <w:rPr>
                <w:rFonts w:hint="eastAsia" w:ascii="宋体" w:hAnsi="宋体" w:cs="宋体"/>
                <w:kern w:val="0"/>
                <w:sz w:val="22"/>
                <w:szCs w:val="22"/>
              </w:rPr>
              <w:t>、其他固定资产</w:t>
            </w:r>
          </w:p>
        </w:tc>
        <w:tc>
          <w:tcPr>
            <w:tcW w:w="1680"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hAnsi="宋体" w:cs="宋体"/>
                <w:kern w:val="0"/>
                <w:sz w:val="22"/>
                <w:szCs w:val="22"/>
              </w:rPr>
              <w:t>——</w:t>
            </w:r>
          </w:p>
        </w:tc>
        <w:tc>
          <w:tcPr>
            <w:tcW w:w="5460" w:type="dxa"/>
            <w:tcBorders>
              <w:top w:val="nil"/>
              <w:left w:val="nil"/>
              <w:bottom w:val="single" w:color="auto" w:sz="4" w:space="0"/>
              <w:right w:val="single" w:color="auto" w:sz="4" w:space="0"/>
            </w:tcBorders>
            <w:vAlign w:val="center"/>
          </w:tcPr>
          <w:p>
            <w:pPr>
              <w:widowControl/>
              <w:jc w:val="center"/>
              <w:rPr>
                <w:rFonts w:ascii="宋体" w:cs="宋体"/>
                <w:kern w:val="0"/>
                <w:sz w:val="22"/>
                <w:szCs w:val="22"/>
              </w:rPr>
            </w:pPr>
            <w:r>
              <w:rPr>
                <w:rFonts w:ascii="宋体" w:cs="宋体"/>
                <w:kern w:val="0"/>
                <w:sz w:val="22"/>
                <w:szCs w:val="22"/>
              </w:rPr>
              <w:t>3.4</w:t>
            </w:r>
          </w:p>
        </w:tc>
      </w:tr>
    </w:tbl>
    <w:p/>
    <w:p>
      <w:pPr>
        <w:autoSpaceDE w:val="0"/>
        <w:autoSpaceDN w:val="0"/>
        <w:adjustRightInd w:val="0"/>
        <w:ind w:firstLine="640" w:firstLineChars="200"/>
        <w:jc w:val="left"/>
        <w:rPr>
          <w:rFonts w:ascii="黑体" w:hAnsi="黑体" w:eastAsia="黑体"/>
          <w:sz w:val="32"/>
          <w:szCs w:val="32"/>
        </w:rPr>
      </w:pPr>
    </w:p>
    <w:p>
      <w:pPr>
        <w:autoSpaceDE w:val="0"/>
        <w:autoSpaceDN w:val="0"/>
        <w:adjustRightInd w:val="0"/>
        <w:spacing w:line="560" w:lineRule="exact"/>
        <w:ind w:firstLine="640" w:firstLineChars="200"/>
        <w:jc w:val="left"/>
        <w:rPr>
          <w:rFonts w:ascii="黑体" w:hAnsi="黑体" w:eastAsia="黑体"/>
          <w:sz w:val="32"/>
          <w:szCs w:val="32"/>
        </w:rPr>
      </w:pPr>
      <w:r>
        <w:rPr>
          <w:rFonts w:hint="eastAsia" w:ascii="黑体" w:hAnsi="黑体" w:eastAsia="黑体" w:cs="黑体"/>
          <w:sz w:val="32"/>
          <w:szCs w:val="32"/>
        </w:rPr>
        <w:t>八、名词解释</w:t>
      </w:r>
    </w:p>
    <w:p>
      <w:pPr>
        <w:spacing w:line="560" w:lineRule="exact"/>
        <w:ind w:firstLine="720"/>
        <w:rPr>
          <w:rFonts w:ascii="仿宋" w:hAnsi="仿宋" w:eastAsia="仿宋"/>
          <w:b/>
          <w:bCs/>
          <w:sz w:val="32"/>
          <w:szCs w:val="32"/>
        </w:rPr>
      </w:pPr>
      <w:r>
        <w:rPr>
          <w:rFonts w:ascii="仿宋" w:hAnsi="仿宋" w:eastAsia="仿宋" w:cs="仿宋"/>
          <w:b/>
          <w:bCs/>
          <w:sz w:val="32"/>
          <w:szCs w:val="32"/>
        </w:rPr>
        <w:t>1.</w:t>
      </w:r>
      <w:r>
        <w:rPr>
          <w:rFonts w:hint="eastAsia" w:ascii="仿宋" w:hAnsi="仿宋" w:eastAsia="仿宋" w:cs="仿宋"/>
          <w:b/>
          <w:bCs/>
          <w:sz w:val="32"/>
          <w:szCs w:val="32"/>
        </w:rPr>
        <w:t>财政拨款收入</w:t>
      </w:r>
    </w:p>
    <w:p>
      <w:pPr>
        <w:pStyle w:val="7"/>
        <w:spacing w:line="560" w:lineRule="exact"/>
        <w:ind w:firstLine="640" w:firstLineChars="200"/>
        <w:rPr>
          <w:rFonts w:ascii="仿宋_GB2312" w:hAnsi="仿宋" w:eastAsia="仿宋_GB2312" w:cs="Times New Roman"/>
          <w:kern w:val="2"/>
          <w:sz w:val="32"/>
          <w:szCs w:val="32"/>
          <w:lang w:eastAsia="zh-CN"/>
        </w:rPr>
      </w:pPr>
      <w:r>
        <w:rPr>
          <w:rFonts w:hint="eastAsia" w:ascii="仿宋_GB2312" w:hAnsi="仿宋" w:eastAsia="仿宋_GB2312" w:cs="仿宋_GB2312"/>
          <w:kern w:val="2"/>
          <w:sz w:val="32"/>
          <w:szCs w:val="32"/>
          <w:lang w:eastAsia="zh-CN"/>
        </w:rPr>
        <w:t>财政拨款收入是指财政部门按照批复的预算核拨给单位的财政预算资金。</w:t>
      </w:r>
    </w:p>
    <w:p>
      <w:pPr>
        <w:spacing w:line="560" w:lineRule="exact"/>
        <w:ind w:firstLine="720"/>
        <w:rPr>
          <w:rFonts w:ascii="仿宋_GB2312" w:hAnsi="仿宋" w:eastAsia="仿宋_GB2312"/>
          <w:sz w:val="32"/>
          <w:szCs w:val="32"/>
        </w:rPr>
      </w:pPr>
      <w:r>
        <w:rPr>
          <w:rFonts w:ascii="仿宋_GB2312" w:hAnsi="仿宋" w:eastAsia="仿宋_GB2312" w:cs="仿宋_GB2312"/>
          <w:sz w:val="32"/>
          <w:szCs w:val="32"/>
        </w:rPr>
        <w:t>2.</w:t>
      </w:r>
      <w:r>
        <w:rPr>
          <w:rFonts w:hint="eastAsia" w:ascii="仿宋_GB2312" w:hAnsi="仿宋" w:eastAsia="仿宋_GB2312" w:cs="仿宋_GB2312"/>
          <w:sz w:val="32"/>
          <w:szCs w:val="32"/>
        </w:rPr>
        <w:t>基本支出、项目支出</w:t>
      </w:r>
    </w:p>
    <w:p>
      <w:pPr>
        <w:spacing w:line="560" w:lineRule="exact"/>
        <w:ind w:firstLine="720"/>
        <w:rPr>
          <w:rFonts w:ascii="仿宋_GB2312" w:hAnsi="仿宋" w:eastAsia="仿宋_GB2312"/>
          <w:sz w:val="32"/>
          <w:szCs w:val="32"/>
        </w:rPr>
      </w:pPr>
      <w:r>
        <w:rPr>
          <w:rFonts w:hint="eastAsia" w:ascii="仿宋_GB2312" w:hAnsi="仿宋" w:eastAsia="仿宋_GB2312" w:cs="仿宋_GB2312"/>
          <w:sz w:val="32"/>
          <w:szCs w:val="32"/>
        </w:rPr>
        <w:t>基本支出是指预算单位为保障机构正常运转和完成日常工作而发生的各项支出，包括人员经费和日常公用经费。</w:t>
      </w:r>
    </w:p>
    <w:p>
      <w:pPr>
        <w:spacing w:line="560" w:lineRule="exact"/>
        <w:ind w:firstLine="720"/>
        <w:rPr>
          <w:rFonts w:ascii="仿宋_GB2312" w:hAnsi="仿宋" w:eastAsia="仿宋_GB2312"/>
          <w:sz w:val="32"/>
          <w:szCs w:val="32"/>
        </w:rPr>
      </w:pPr>
      <w:r>
        <w:rPr>
          <w:rFonts w:hint="eastAsia" w:ascii="仿宋_GB2312" w:hAnsi="仿宋" w:eastAsia="仿宋_GB2312" w:cs="仿宋_GB2312"/>
          <w:sz w:val="32"/>
          <w:szCs w:val="32"/>
        </w:rPr>
        <w:t>项目支出是指在基本支出之外完成特定行政任务和事业发展目标所发生的支出。</w:t>
      </w:r>
    </w:p>
    <w:p>
      <w:pPr>
        <w:spacing w:line="560" w:lineRule="exact"/>
        <w:ind w:firstLine="720"/>
        <w:rPr>
          <w:rFonts w:ascii="仿宋" w:hAnsi="仿宋" w:eastAsia="仿宋"/>
          <w:b/>
          <w:bCs/>
          <w:sz w:val="32"/>
          <w:szCs w:val="32"/>
        </w:rPr>
      </w:pPr>
      <w:r>
        <w:rPr>
          <w:rFonts w:ascii="仿宋" w:hAnsi="仿宋" w:eastAsia="仿宋" w:cs="仿宋"/>
          <w:b/>
          <w:bCs/>
          <w:sz w:val="32"/>
          <w:szCs w:val="32"/>
        </w:rPr>
        <w:t>3.</w:t>
      </w:r>
      <w:r>
        <w:rPr>
          <w:rFonts w:hint="eastAsia" w:ascii="仿宋" w:hAnsi="仿宋" w:eastAsia="仿宋" w:cs="仿宋"/>
          <w:b/>
          <w:bCs/>
          <w:sz w:val="32"/>
          <w:szCs w:val="32"/>
        </w:rPr>
        <w:t>一般公共服务支出</w:t>
      </w:r>
    </w:p>
    <w:p>
      <w:pPr>
        <w:spacing w:line="560" w:lineRule="exact"/>
        <w:ind w:firstLine="720"/>
        <w:rPr>
          <w:rFonts w:ascii="仿宋_GB2312" w:hAnsi="仿宋" w:eastAsia="仿宋_GB2312"/>
          <w:sz w:val="32"/>
          <w:szCs w:val="32"/>
        </w:rPr>
      </w:pPr>
      <w:r>
        <w:rPr>
          <w:rFonts w:hint="eastAsia" w:ascii="仿宋_GB2312" w:hAnsi="仿宋" w:eastAsia="仿宋_GB2312" w:cs="仿宋_GB2312"/>
          <w:sz w:val="32"/>
          <w:szCs w:val="32"/>
        </w:rPr>
        <w:t>一般公共服务支出是指反映预算单位一般公共服务的支出。</w:t>
      </w:r>
    </w:p>
    <w:p>
      <w:pPr>
        <w:spacing w:line="560" w:lineRule="exact"/>
        <w:ind w:firstLine="720"/>
        <w:rPr>
          <w:rFonts w:ascii="仿宋" w:hAnsi="仿宋" w:eastAsia="仿宋"/>
          <w:b/>
          <w:bCs/>
          <w:sz w:val="32"/>
          <w:szCs w:val="32"/>
        </w:rPr>
      </w:pPr>
      <w:r>
        <w:rPr>
          <w:rFonts w:ascii="仿宋" w:hAnsi="仿宋" w:eastAsia="仿宋" w:cs="仿宋"/>
          <w:b/>
          <w:bCs/>
          <w:sz w:val="32"/>
          <w:szCs w:val="32"/>
        </w:rPr>
        <w:t>4.</w:t>
      </w:r>
      <w:r>
        <w:rPr>
          <w:rFonts w:hint="eastAsia" w:ascii="仿宋" w:hAnsi="仿宋" w:eastAsia="仿宋" w:cs="仿宋"/>
          <w:b/>
          <w:bCs/>
          <w:sz w:val="32"/>
          <w:szCs w:val="32"/>
        </w:rPr>
        <w:t>文化体育与传媒支出</w:t>
      </w:r>
    </w:p>
    <w:p>
      <w:pPr>
        <w:spacing w:line="560" w:lineRule="exact"/>
        <w:ind w:firstLine="720"/>
        <w:rPr>
          <w:rFonts w:ascii="仿宋_GB2312" w:hAnsi="仿宋" w:eastAsia="仿宋_GB2312"/>
          <w:sz w:val="32"/>
          <w:szCs w:val="32"/>
        </w:rPr>
      </w:pPr>
      <w:r>
        <w:rPr>
          <w:rFonts w:hint="eastAsia" w:ascii="仿宋_GB2312" w:hAnsi="仿宋" w:eastAsia="仿宋_GB2312" w:cs="仿宋_GB2312"/>
          <w:sz w:val="32"/>
          <w:szCs w:val="32"/>
        </w:rPr>
        <w:t>文化体育与传媒支出是指反映预算单位在文化、文物、体育、广播影视、新闻出版等方面的支出。</w:t>
      </w:r>
    </w:p>
    <w:p>
      <w:pPr>
        <w:spacing w:line="560" w:lineRule="exact"/>
        <w:ind w:firstLine="720"/>
        <w:rPr>
          <w:rFonts w:ascii="仿宋" w:hAnsi="仿宋" w:eastAsia="仿宋"/>
          <w:b/>
          <w:bCs/>
          <w:sz w:val="32"/>
          <w:szCs w:val="32"/>
        </w:rPr>
      </w:pPr>
      <w:r>
        <w:rPr>
          <w:rFonts w:ascii="仿宋" w:hAnsi="仿宋" w:eastAsia="仿宋" w:cs="仿宋"/>
          <w:b/>
          <w:bCs/>
          <w:sz w:val="32"/>
          <w:szCs w:val="32"/>
        </w:rPr>
        <w:t>5.</w:t>
      </w:r>
      <w:r>
        <w:rPr>
          <w:rFonts w:hint="eastAsia" w:ascii="仿宋" w:hAnsi="仿宋" w:eastAsia="仿宋" w:cs="仿宋"/>
          <w:b/>
          <w:bCs/>
          <w:sz w:val="32"/>
          <w:szCs w:val="32"/>
        </w:rPr>
        <w:t>社会保障和就业支出</w:t>
      </w:r>
    </w:p>
    <w:p>
      <w:pPr>
        <w:spacing w:line="560" w:lineRule="exact"/>
        <w:ind w:firstLine="720"/>
        <w:rPr>
          <w:rFonts w:ascii="仿宋_GB2312" w:hAnsi="仿宋" w:eastAsia="仿宋_GB2312"/>
          <w:sz w:val="32"/>
          <w:szCs w:val="32"/>
        </w:rPr>
      </w:pPr>
      <w:r>
        <w:rPr>
          <w:rFonts w:hint="eastAsia" w:ascii="仿宋_GB2312" w:hAnsi="仿宋" w:eastAsia="仿宋_GB2312" w:cs="仿宋_GB2312"/>
          <w:sz w:val="32"/>
          <w:szCs w:val="32"/>
        </w:rPr>
        <w:t>社会保障和就业支出是指预算单位在社会保障和就业方面的支出。</w:t>
      </w:r>
    </w:p>
    <w:p>
      <w:pPr>
        <w:spacing w:line="560" w:lineRule="exact"/>
        <w:ind w:firstLine="720"/>
        <w:rPr>
          <w:rFonts w:ascii="仿宋" w:hAnsi="仿宋" w:eastAsia="仿宋"/>
          <w:b/>
          <w:bCs/>
          <w:sz w:val="32"/>
          <w:szCs w:val="32"/>
        </w:rPr>
      </w:pPr>
      <w:r>
        <w:rPr>
          <w:rFonts w:ascii="仿宋" w:hAnsi="仿宋" w:eastAsia="仿宋" w:cs="仿宋"/>
          <w:b/>
          <w:bCs/>
          <w:sz w:val="32"/>
          <w:szCs w:val="32"/>
        </w:rPr>
        <w:t>6.</w:t>
      </w:r>
      <w:r>
        <w:rPr>
          <w:rFonts w:hint="eastAsia" w:ascii="仿宋" w:hAnsi="仿宋" w:eastAsia="仿宋" w:cs="仿宋"/>
          <w:b/>
          <w:bCs/>
          <w:sz w:val="32"/>
          <w:szCs w:val="32"/>
        </w:rPr>
        <w:t>机关运行经费</w:t>
      </w:r>
    </w:p>
    <w:p>
      <w:pPr>
        <w:spacing w:line="560" w:lineRule="exact"/>
        <w:ind w:firstLine="720"/>
        <w:rPr>
          <w:rFonts w:ascii="仿宋_GB2312" w:hAnsi="仿宋" w:eastAsia="仿宋_GB2312"/>
          <w:sz w:val="32"/>
          <w:szCs w:val="32"/>
        </w:rPr>
      </w:pPr>
      <w:r>
        <w:rPr>
          <w:rFonts w:hint="eastAsia" w:ascii="仿宋_GB2312" w:hAnsi="仿宋" w:eastAsia="仿宋_GB2312" w:cs="仿宋_GB2312"/>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spacing w:line="560" w:lineRule="exact"/>
        <w:ind w:firstLine="720"/>
        <w:rPr>
          <w:rFonts w:ascii="仿宋" w:hAnsi="仿宋" w:eastAsia="仿宋"/>
          <w:b/>
          <w:bCs/>
          <w:sz w:val="32"/>
          <w:szCs w:val="32"/>
        </w:rPr>
      </w:pPr>
      <w:r>
        <w:rPr>
          <w:rFonts w:ascii="仿宋" w:hAnsi="仿宋" w:eastAsia="仿宋" w:cs="仿宋"/>
          <w:b/>
          <w:bCs/>
          <w:sz w:val="32"/>
          <w:szCs w:val="32"/>
        </w:rPr>
        <w:t>7.</w:t>
      </w:r>
      <w:r>
        <w:rPr>
          <w:rFonts w:hint="eastAsia" w:ascii="仿宋" w:hAnsi="仿宋" w:eastAsia="仿宋" w:cs="仿宋"/>
          <w:b/>
          <w:bCs/>
          <w:sz w:val="32"/>
          <w:szCs w:val="32"/>
        </w:rPr>
        <w:t>“三公”经费</w:t>
      </w:r>
    </w:p>
    <w:p>
      <w:pPr>
        <w:spacing w:line="560" w:lineRule="exact"/>
        <w:ind w:firstLine="720"/>
        <w:rPr>
          <w:rFonts w:ascii="仿宋_GB2312" w:hAnsi="仿宋" w:eastAsia="仿宋_GB2312"/>
          <w:sz w:val="32"/>
          <w:szCs w:val="32"/>
        </w:rPr>
      </w:pPr>
      <w:r>
        <w:rPr>
          <w:rFonts w:hint="eastAsia" w:ascii="仿宋_GB2312" w:hAnsi="仿宋" w:eastAsia="仿宋_GB2312" w:cs="仿宋_GB2312"/>
          <w:sz w:val="32"/>
          <w:szCs w:val="32"/>
        </w:rPr>
        <w:t>“三公”经费是指因公出国（境）费、公务用车购置及运行维护费和公务接待费。</w:t>
      </w:r>
    </w:p>
    <w:p>
      <w:pPr>
        <w:spacing w:line="560" w:lineRule="exact"/>
        <w:ind w:firstLine="720"/>
        <w:rPr>
          <w:rFonts w:ascii="仿宋_GB2312" w:hAnsi="仿宋" w:eastAsia="仿宋_GB2312"/>
          <w:sz w:val="32"/>
          <w:szCs w:val="32"/>
        </w:rPr>
      </w:pPr>
      <w:r>
        <w:rPr>
          <w:rFonts w:hint="eastAsia" w:ascii="仿宋_GB2312" w:hAnsi="仿宋" w:eastAsia="仿宋_GB2312" w:cs="仿宋_GB2312"/>
          <w:sz w:val="32"/>
          <w:szCs w:val="32"/>
        </w:rPr>
        <w:t>因公出国（境）费是指单位公务出国（境）的国际旅费、国外城市间交通费、住宿费、伙食费、培训费、公杂费等支出。</w:t>
      </w:r>
    </w:p>
    <w:p>
      <w:pPr>
        <w:spacing w:line="560" w:lineRule="exact"/>
        <w:ind w:firstLine="720"/>
        <w:rPr>
          <w:rFonts w:ascii="仿宋_GB2312" w:hAnsi="仿宋" w:eastAsia="仿宋_GB2312"/>
          <w:sz w:val="32"/>
          <w:szCs w:val="32"/>
        </w:rPr>
      </w:pPr>
      <w:r>
        <w:rPr>
          <w:rFonts w:hint="eastAsia" w:ascii="仿宋_GB2312" w:hAnsi="仿宋" w:eastAsia="仿宋_GB2312" w:cs="仿宋_GB2312"/>
          <w:sz w:val="32"/>
          <w:szCs w:val="32"/>
        </w:rPr>
        <w:t>公务用车购置及运行维护费是指单位购置公务用车及公务用车租用费、燃料费、维修费、路桥费、保险费等支出。</w:t>
      </w:r>
    </w:p>
    <w:p>
      <w:pPr>
        <w:spacing w:line="560" w:lineRule="exact"/>
        <w:ind w:firstLine="720"/>
        <w:rPr>
          <w:rFonts w:ascii="仿宋_GB2312" w:hAnsi="仿宋" w:eastAsia="仿宋_GB2312"/>
          <w:sz w:val="32"/>
          <w:szCs w:val="32"/>
        </w:rPr>
      </w:pPr>
      <w:r>
        <w:rPr>
          <w:rFonts w:hint="eastAsia" w:ascii="仿宋_GB2312" w:hAnsi="仿宋" w:eastAsia="仿宋_GB2312" w:cs="仿宋_GB2312"/>
          <w:sz w:val="32"/>
          <w:szCs w:val="32"/>
        </w:rPr>
        <w:t>公务接待费是指单位按规定开支的各类公务接待（含外宾接待）费用。</w:t>
      </w:r>
    </w:p>
    <w:p>
      <w:pPr>
        <w:autoSpaceDE w:val="0"/>
        <w:autoSpaceDN w:val="0"/>
        <w:adjustRightInd w:val="0"/>
        <w:spacing w:line="560" w:lineRule="exact"/>
        <w:ind w:firstLine="640" w:firstLineChars="200"/>
        <w:jc w:val="left"/>
        <w:rPr>
          <w:rFonts w:ascii="黑体" w:hAnsi="黑体" w:eastAsia="黑体"/>
          <w:sz w:val="32"/>
          <w:szCs w:val="32"/>
        </w:rPr>
      </w:pPr>
      <w:r>
        <w:rPr>
          <w:rFonts w:hint="eastAsia" w:ascii="黑体" w:hAnsi="黑体" w:eastAsia="黑体" w:cs="黑体"/>
          <w:sz w:val="32"/>
          <w:szCs w:val="32"/>
        </w:rPr>
        <w:t>九、其他需要说明的事项</w:t>
      </w:r>
    </w:p>
    <w:p>
      <w:pPr>
        <w:spacing w:line="560" w:lineRule="exact"/>
        <w:ind w:firstLine="688" w:firstLineChars="215"/>
        <w:rPr>
          <w:rFonts w:ascii="仿宋_GB2312" w:hAnsi="仿宋" w:eastAsia="仿宋_GB2312"/>
          <w:sz w:val="32"/>
          <w:szCs w:val="32"/>
        </w:rPr>
      </w:pPr>
      <w:r>
        <w:rPr>
          <w:rFonts w:hint="eastAsia" w:ascii="仿宋_GB2312" w:hAnsi="仿宋" w:eastAsia="仿宋_GB2312" w:cs="仿宋_GB2312"/>
          <w:sz w:val="32"/>
          <w:szCs w:val="32"/>
        </w:rPr>
        <w:t>无。</w:t>
      </w:r>
    </w:p>
    <w:sectPr>
      <w:headerReference r:id="rId5" w:type="first"/>
      <w:footerReference r:id="rId8" w:type="first"/>
      <w:headerReference r:id="rId3" w:type="default"/>
      <w:footerReference r:id="rId6" w:type="default"/>
      <w:headerReference r:id="rId4" w:type="even"/>
      <w:footerReference r:id="rId7" w:type="even"/>
      <w:pgSz w:w="16838" w:h="11906" w:orient="landscape"/>
      <w:pgMar w:top="1701" w:right="1440" w:bottom="1701"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8086A"/>
    <w:rsid w:val="0008086A"/>
    <w:rsid w:val="001606A4"/>
    <w:rsid w:val="00261A09"/>
    <w:rsid w:val="004F5BC4"/>
    <w:rsid w:val="00A85765"/>
    <w:rsid w:val="0F40539C"/>
    <w:rsid w:val="44136622"/>
    <w:rsid w:val="564F4A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5">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9"/>
    <w:qFormat/>
    <w:uiPriority w:val="0"/>
    <w:pPr>
      <w:tabs>
        <w:tab w:val="center" w:pos="4153"/>
        <w:tab w:val="right" w:pos="8306"/>
      </w:tabs>
      <w:snapToGrid w:val="0"/>
      <w:jc w:val="left"/>
    </w:pPr>
    <w:rPr>
      <w:sz w:val="18"/>
      <w:szCs w:val="18"/>
    </w:rPr>
  </w:style>
  <w:style w:type="paragraph" w:styleId="3">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paragraph" w:customStyle="1" w:styleId="6">
    <w:name w:val="列出段落1"/>
    <w:basedOn w:val="1"/>
    <w:uiPriority w:val="0"/>
    <w:pPr>
      <w:ind w:firstLine="420" w:firstLineChars="200"/>
    </w:pPr>
  </w:style>
  <w:style w:type="paragraph" w:customStyle="1" w:styleId="7">
    <w:name w:val="[Normal]"/>
    <w:qFormat/>
    <w:uiPriority w:val="0"/>
    <w:rPr>
      <w:rFonts w:ascii="宋体" w:hAnsi="Times New Roman" w:eastAsia="宋体" w:cs="宋体"/>
      <w:sz w:val="24"/>
      <w:szCs w:val="24"/>
      <w:lang w:val="en-US" w:eastAsia="en-US" w:bidi="ar-SA"/>
    </w:rPr>
  </w:style>
  <w:style w:type="character" w:customStyle="1" w:styleId="8">
    <w:name w:val="页眉 Char"/>
    <w:link w:val="3"/>
    <w:semiHidden/>
    <w:uiPriority w:val="0"/>
    <w:rPr>
      <w:rFonts w:ascii="Times New Roman" w:hAnsi="Times New Roman" w:eastAsia="宋体" w:cs="Times New Roman"/>
      <w:sz w:val="18"/>
      <w:szCs w:val="18"/>
    </w:rPr>
  </w:style>
  <w:style w:type="character" w:customStyle="1" w:styleId="9">
    <w:name w:val="页脚 Char"/>
    <w:link w:val="2"/>
    <w:semiHidden/>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12</Pages>
  <Words>659</Words>
  <Characters>3762</Characters>
  <Lines>31</Lines>
  <Paragraphs>8</Paragraphs>
  <TotalTime>1</TotalTime>
  <ScaleCrop>false</ScaleCrop>
  <LinksUpToDate>false</LinksUpToDate>
  <CharactersWithSpaces>4413</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2017-08-23T09:18:00Z</dcterms:created>
  <dc:creator>微软用户</dc:creator>
  <cp:lastModifiedBy>Administrator</cp:lastModifiedBy>
  <dcterms:modified xsi:type="dcterms:W3CDTF">2024-06-20T13:35:16Z</dcterms:modified>
  <dc:title>无极县县直工委    </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3E347DC39DD24331BC3C7ABA8853BD95</vt:lpwstr>
  </property>
</Properties>
</file>