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bookmarkStart w:id="1" w:name="_GoBack"/>
      <w:bookmarkEnd w:id="1"/>
    </w:p>
    <w:p>
      <w:pPr>
        <w:jc w:val="center"/>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一、无极县高头回族乡人民政府本级收支预算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ind w:firstLine="3080" w:firstLineChars="700"/>
        <w:jc w:val="both"/>
        <w:outlineLvl w:val="3"/>
      </w:pPr>
      <w:bookmarkStart w:id="0" w:name="_Toc_4_4_0000000019"/>
      <w:r>
        <w:rPr>
          <w:rFonts w:ascii="方正小标宋_GBK" w:hAnsi="方正小标宋_GBK" w:eastAsia="方正小标宋_GBK" w:cs="方正小标宋_GBK"/>
          <w:color w:val="000000"/>
          <w:sz w:val="44"/>
        </w:rPr>
        <w:t>一、无极县高头回族乡人民政府本级收支预算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1080.00</w:t>
            </w:r>
          </w:p>
        </w:tc>
        <w:tc>
          <w:tcPr>
            <w:tcW w:w="4535" w:type="dxa"/>
            <w:vAlign w:val="center"/>
          </w:tcPr>
          <w:p>
            <w:pPr>
              <w:pStyle w:val="12"/>
            </w:pPr>
            <w:r>
              <w:t>一、一般公共服务支出</w:t>
            </w:r>
          </w:p>
        </w:tc>
        <w:tc>
          <w:tcPr>
            <w:tcW w:w="2126" w:type="dxa"/>
            <w:vAlign w:val="center"/>
          </w:tcPr>
          <w:p>
            <w:pPr>
              <w:pStyle w:val="11"/>
            </w:pPr>
            <w:r>
              <w:t>1080.00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1080.00</w:t>
            </w:r>
          </w:p>
        </w:tc>
        <w:tc>
          <w:tcPr>
            <w:tcW w:w="4535" w:type="dxa"/>
            <w:vAlign w:val="center"/>
          </w:tcPr>
          <w:p>
            <w:pPr>
              <w:pStyle w:val="14"/>
            </w:pPr>
            <w:r>
              <w:t>本年支出合计</w:t>
            </w:r>
          </w:p>
        </w:tc>
        <w:tc>
          <w:tcPr>
            <w:tcW w:w="2126" w:type="dxa"/>
            <w:vAlign w:val="center"/>
          </w:tcPr>
          <w:p>
            <w:pPr>
              <w:pStyle w:val="15"/>
            </w:pPr>
            <w:r>
              <w:t>1080.00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1080.00</w:t>
            </w:r>
          </w:p>
        </w:tc>
        <w:tc>
          <w:tcPr>
            <w:tcW w:w="4535" w:type="dxa"/>
            <w:vAlign w:val="center"/>
          </w:tcPr>
          <w:p>
            <w:pPr>
              <w:pStyle w:val="14"/>
            </w:pPr>
            <w:r>
              <w:t>支出总计</w:t>
            </w:r>
          </w:p>
        </w:tc>
        <w:tc>
          <w:tcPr>
            <w:tcW w:w="2126" w:type="dxa"/>
            <w:vAlign w:val="center"/>
          </w:tcPr>
          <w:p>
            <w:pPr>
              <w:pStyle w:val="15"/>
            </w:pPr>
            <w:r>
              <w:t>1080.00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1080.00</w:t>
            </w:r>
          </w:p>
        </w:tc>
        <w:tc>
          <w:tcPr>
            <w:tcW w:w="1134" w:type="dxa"/>
            <w:vAlign w:val="center"/>
          </w:tcPr>
          <w:p>
            <w:pPr>
              <w:pStyle w:val="15"/>
            </w:pPr>
            <w:r>
              <w:t>1080.00</w:t>
            </w:r>
          </w:p>
        </w:tc>
        <w:tc>
          <w:tcPr>
            <w:tcW w:w="1134" w:type="dxa"/>
            <w:vAlign w:val="center"/>
          </w:tcPr>
          <w:p>
            <w:pPr>
              <w:pStyle w:val="15"/>
            </w:pPr>
            <w:r>
              <w:t>1080.00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1080.00</w:t>
            </w:r>
          </w:p>
        </w:tc>
        <w:tc>
          <w:tcPr>
            <w:tcW w:w="1134" w:type="dxa"/>
            <w:vAlign w:val="center"/>
          </w:tcPr>
          <w:p>
            <w:pPr>
              <w:pStyle w:val="11"/>
            </w:pPr>
            <w:r>
              <w:t>1080.00</w:t>
            </w:r>
          </w:p>
        </w:tc>
        <w:tc>
          <w:tcPr>
            <w:tcW w:w="1134" w:type="dxa"/>
            <w:vAlign w:val="center"/>
          </w:tcPr>
          <w:p>
            <w:pPr>
              <w:pStyle w:val="11"/>
            </w:pPr>
            <w:r>
              <w:t>1080.00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983.00</w:t>
            </w:r>
          </w:p>
        </w:tc>
        <w:tc>
          <w:tcPr>
            <w:tcW w:w="1134" w:type="dxa"/>
            <w:vAlign w:val="center"/>
          </w:tcPr>
          <w:p>
            <w:pPr>
              <w:pStyle w:val="11"/>
            </w:pPr>
            <w:r>
              <w:t>983.00</w:t>
            </w:r>
          </w:p>
        </w:tc>
        <w:tc>
          <w:tcPr>
            <w:tcW w:w="1134" w:type="dxa"/>
            <w:vAlign w:val="center"/>
          </w:tcPr>
          <w:p>
            <w:pPr>
              <w:pStyle w:val="11"/>
            </w:pPr>
            <w:r>
              <w:t>983.00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983.00</w:t>
            </w:r>
          </w:p>
        </w:tc>
        <w:tc>
          <w:tcPr>
            <w:tcW w:w="1134" w:type="dxa"/>
            <w:vAlign w:val="center"/>
          </w:tcPr>
          <w:p>
            <w:pPr>
              <w:pStyle w:val="11"/>
            </w:pPr>
            <w:r>
              <w:t>983.00</w:t>
            </w:r>
          </w:p>
        </w:tc>
        <w:tc>
          <w:tcPr>
            <w:tcW w:w="1134" w:type="dxa"/>
            <w:vAlign w:val="center"/>
          </w:tcPr>
          <w:p>
            <w:pPr>
              <w:pStyle w:val="11"/>
            </w:pPr>
            <w:r>
              <w:t>983.00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1080.00</w:t>
            </w:r>
          </w:p>
        </w:tc>
        <w:tc>
          <w:tcPr>
            <w:tcW w:w="1361" w:type="dxa"/>
            <w:vAlign w:val="center"/>
          </w:tcPr>
          <w:p>
            <w:pPr>
              <w:pStyle w:val="15"/>
            </w:pPr>
            <w:r>
              <w:t>983.00</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1080.00</w:t>
            </w:r>
          </w:p>
        </w:tc>
        <w:tc>
          <w:tcPr>
            <w:tcW w:w="1361" w:type="dxa"/>
            <w:vAlign w:val="center"/>
          </w:tcPr>
          <w:p>
            <w:pPr>
              <w:pStyle w:val="11"/>
            </w:pPr>
            <w:r>
              <w:t>983.00</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983.00</w:t>
            </w:r>
          </w:p>
        </w:tc>
        <w:tc>
          <w:tcPr>
            <w:tcW w:w="1361" w:type="dxa"/>
            <w:vAlign w:val="center"/>
          </w:tcPr>
          <w:p>
            <w:pPr>
              <w:pStyle w:val="11"/>
            </w:pPr>
            <w:r>
              <w:t>983.00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983.00</w:t>
            </w:r>
          </w:p>
        </w:tc>
        <w:tc>
          <w:tcPr>
            <w:tcW w:w="1361" w:type="dxa"/>
            <w:vAlign w:val="center"/>
          </w:tcPr>
          <w:p>
            <w:pPr>
              <w:pStyle w:val="11"/>
            </w:pPr>
            <w:r>
              <w:t>983.00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1080.00</w:t>
            </w:r>
          </w:p>
        </w:tc>
        <w:tc>
          <w:tcPr>
            <w:tcW w:w="3402" w:type="dxa"/>
            <w:vAlign w:val="center"/>
          </w:tcPr>
          <w:p>
            <w:pPr>
              <w:pStyle w:val="12"/>
            </w:pPr>
            <w:r>
              <w:t>一、一般公共服务支出</w:t>
            </w:r>
          </w:p>
        </w:tc>
        <w:tc>
          <w:tcPr>
            <w:tcW w:w="1474" w:type="dxa"/>
            <w:vAlign w:val="center"/>
          </w:tcPr>
          <w:p>
            <w:pPr>
              <w:pStyle w:val="11"/>
            </w:pPr>
            <w:r>
              <w:t>1080.00</w:t>
            </w:r>
          </w:p>
        </w:tc>
        <w:tc>
          <w:tcPr>
            <w:tcW w:w="1474" w:type="dxa"/>
            <w:vAlign w:val="center"/>
          </w:tcPr>
          <w:p>
            <w:pPr>
              <w:pStyle w:val="11"/>
            </w:pPr>
            <w:r>
              <w:t>1080.00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1080.00</w:t>
            </w:r>
          </w:p>
        </w:tc>
        <w:tc>
          <w:tcPr>
            <w:tcW w:w="3402" w:type="dxa"/>
            <w:vAlign w:val="center"/>
          </w:tcPr>
          <w:p>
            <w:pPr>
              <w:pStyle w:val="14"/>
            </w:pPr>
            <w:r>
              <w:t>本年支出合计</w:t>
            </w:r>
          </w:p>
        </w:tc>
        <w:tc>
          <w:tcPr>
            <w:tcW w:w="1474" w:type="dxa"/>
            <w:vAlign w:val="center"/>
          </w:tcPr>
          <w:p>
            <w:pPr>
              <w:pStyle w:val="15"/>
            </w:pPr>
            <w:r>
              <w:t>1080.00</w:t>
            </w:r>
          </w:p>
        </w:tc>
        <w:tc>
          <w:tcPr>
            <w:tcW w:w="1474" w:type="dxa"/>
            <w:vAlign w:val="center"/>
          </w:tcPr>
          <w:p>
            <w:pPr>
              <w:pStyle w:val="15"/>
            </w:pPr>
            <w:r>
              <w:t>1080.00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1080.00</w:t>
            </w:r>
          </w:p>
        </w:tc>
        <w:tc>
          <w:tcPr>
            <w:tcW w:w="3402" w:type="dxa"/>
            <w:vAlign w:val="center"/>
          </w:tcPr>
          <w:p>
            <w:pPr>
              <w:pStyle w:val="14"/>
            </w:pPr>
            <w:r>
              <w:t>支出总计</w:t>
            </w:r>
          </w:p>
        </w:tc>
        <w:tc>
          <w:tcPr>
            <w:tcW w:w="1474" w:type="dxa"/>
            <w:vAlign w:val="center"/>
          </w:tcPr>
          <w:p>
            <w:pPr>
              <w:pStyle w:val="15"/>
            </w:pPr>
            <w:r>
              <w:t>1080.00</w:t>
            </w:r>
          </w:p>
        </w:tc>
        <w:tc>
          <w:tcPr>
            <w:tcW w:w="1474" w:type="dxa"/>
            <w:vAlign w:val="center"/>
          </w:tcPr>
          <w:p>
            <w:pPr>
              <w:pStyle w:val="15"/>
            </w:pPr>
            <w:r>
              <w:t>1080.00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1080.00</w:t>
            </w:r>
          </w:p>
        </w:tc>
        <w:tc>
          <w:tcPr>
            <w:tcW w:w="2551" w:type="dxa"/>
            <w:vAlign w:val="center"/>
          </w:tcPr>
          <w:p>
            <w:pPr>
              <w:pStyle w:val="15"/>
            </w:pPr>
            <w:r>
              <w:t>983.00</w:t>
            </w: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1080.00</w:t>
            </w:r>
          </w:p>
        </w:tc>
        <w:tc>
          <w:tcPr>
            <w:tcW w:w="2551" w:type="dxa"/>
            <w:vAlign w:val="center"/>
          </w:tcPr>
          <w:p>
            <w:pPr>
              <w:pStyle w:val="11"/>
            </w:pPr>
            <w:r>
              <w:t>983.00</w:t>
            </w:r>
          </w:p>
        </w:tc>
        <w:tc>
          <w:tcPr>
            <w:tcW w:w="2551" w:type="dxa"/>
            <w:vAlign w:val="center"/>
          </w:tcPr>
          <w:p>
            <w:pPr>
              <w:pStyle w:val="11"/>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983.00</w:t>
            </w:r>
          </w:p>
        </w:tc>
        <w:tc>
          <w:tcPr>
            <w:tcW w:w="2551" w:type="dxa"/>
            <w:vAlign w:val="center"/>
          </w:tcPr>
          <w:p>
            <w:pPr>
              <w:pStyle w:val="11"/>
            </w:pPr>
            <w:r>
              <w:t>983.00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983.00</w:t>
            </w:r>
          </w:p>
        </w:tc>
        <w:tc>
          <w:tcPr>
            <w:tcW w:w="2551" w:type="dxa"/>
            <w:vAlign w:val="center"/>
          </w:tcPr>
          <w:p>
            <w:pPr>
              <w:pStyle w:val="11"/>
            </w:pPr>
            <w:r>
              <w:t>983.00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97.00</w:t>
            </w:r>
          </w:p>
        </w:tc>
        <w:tc>
          <w:tcPr>
            <w:tcW w:w="2551" w:type="dxa"/>
            <w:vAlign w:val="center"/>
          </w:tcPr>
          <w:p>
            <w:pPr>
              <w:pStyle w:val="11"/>
            </w:pPr>
          </w:p>
        </w:tc>
        <w:tc>
          <w:tcPr>
            <w:tcW w:w="2551" w:type="dxa"/>
            <w:vAlign w:val="center"/>
          </w:tcPr>
          <w:p>
            <w:pPr>
              <w:pStyle w:val="11"/>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97.00</w:t>
            </w:r>
          </w:p>
        </w:tc>
        <w:tc>
          <w:tcPr>
            <w:tcW w:w="2551" w:type="dxa"/>
            <w:vAlign w:val="center"/>
          </w:tcPr>
          <w:p>
            <w:pPr>
              <w:pStyle w:val="11"/>
            </w:pPr>
          </w:p>
        </w:tc>
        <w:tc>
          <w:tcPr>
            <w:tcW w:w="2551" w:type="dxa"/>
            <w:vAlign w:val="center"/>
          </w:tcPr>
          <w:p>
            <w:pPr>
              <w:pStyle w:val="11"/>
            </w:pPr>
            <w:r>
              <w:t>97.00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983.00</w:t>
            </w:r>
          </w:p>
        </w:tc>
        <w:tc>
          <w:tcPr>
            <w:tcW w:w="2551" w:type="dxa"/>
            <w:vAlign w:val="center"/>
          </w:tcPr>
          <w:p>
            <w:pPr>
              <w:pStyle w:val="15"/>
            </w:pPr>
            <w:r>
              <w:t>734.00</w:t>
            </w:r>
          </w:p>
        </w:tc>
        <w:tc>
          <w:tcPr>
            <w:tcW w:w="2551" w:type="dxa"/>
            <w:vAlign w:val="center"/>
          </w:tcPr>
          <w:p>
            <w:pPr>
              <w:pStyle w:val="15"/>
            </w:pPr>
            <w:r>
              <w:t>249.00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703.00</w:t>
            </w:r>
          </w:p>
        </w:tc>
        <w:tc>
          <w:tcPr>
            <w:tcW w:w="2551" w:type="dxa"/>
            <w:vAlign w:val="center"/>
          </w:tcPr>
          <w:p>
            <w:pPr>
              <w:pStyle w:val="11"/>
            </w:pPr>
            <w:r>
              <w:t>703.00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218.00</w:t>
            </w:r>
          </w:p>
        </w:tc>
        <w:tc>
          <w:tcPr>
            <w:tcW w:w="2551" w:type="dxa"/>
            <w:vAlign w:val="center"/>
          </w:tcPr>
          <w:p>
            <w:pPr>
              <w:pStyle w:val="11"/>
            </w:pPr>
            <w:r>
              <w:t>218.00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156.00</w:t>
            </w:r>
          </w:p>
        </w:tc>
        <w:tc>
          <w:tcPr>
            <w:tcW w:w="2551" w:type="dxa"/>
            <w:vAlign w:val="center"/>
          </w:tcPr>
          <w:p>
            <w:pPr>
              <w:pStyle w:val="11"/>
            </w:pPr>
            <w:r>
              <w:t>156.00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105.00</w:t>
            </w:r>
          </w:p>
        </w:tc>
        <w:tc>
          <w:tcPr>
            <w:tcW w:w="2551" w:type="dxa"/>
            <w:vAlign w:val="center"/>
          </w:tcPr>
          <w:p>
            <w:pPr>
              <w:pStyle w:val="11"/>
            </w:pPr>
            <w:r>
              <w:t>105.00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71.00</w:t>
            </w:r>
          </w:p>
        </w:tc>
        <w:tc>
          <w:tcPr>
            <w:tcW w:w="2551" w:type="dxa"/>
            <w:vAlign w:val="center"/>
          </w:tcPr>
          <w:p>
            <w:pPr>
              <w:pStyle w:val="11"/>
            </w:pPr>
            <w:r>
              <w:t>71.00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249.00</w:t>
            </w:r>
          </w:p>
        </w:tc>
        <w:tc>
          <w:tcPr>
            <w:tcW w:w="2551" w:type="dxa"/>
            <w:vAlign w:val="center"/>
          </w:tcPr>
          <w:p>
            <w:pPr>
              <w:pStyle w:val="11"/>
            </w:pPr>
          </w:p>
        </w:tc>
        <w:tc>
          <w:tcPr>
            <w:tcW w:w="2551" w:type="dxa"/>
            <w:vAlign w:val="center"/>
          </w:tcPr>
          <w:p>
            <w:pPr>
              <w:pStyle w:val="11"/>
            </w:pPr>
            <w:r>
              <w:t>249.00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176.50</w:t>
            </w:r>
          </w:p>
        </w:tc>
        <w:tc>
          <w:tcPr>
            <w:tcW w:w="2551" w:type="dxa"/>
            <w:vAlign w:val="center"/>
          </w:tcPr>
          <w:p>
            <w:pPr>
              <w:pStyle w:val="11"/>
            </w:pPr>
          </w:p>
        </w:tc>
        <w:tc>
          <w:tcPr>
            <w:tcW w:w="2551" w:type="dxa"/>
            <w:vAlign w:val="center"/>
          </w:tcPr>
          <w:p>
            <w:pPr>
              <w:pStyle w:val="11"/>
            </w:pPr>
            <w:r>
              <w:t>176.50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15.50</w:t>
            </w:r>
          </w:p>
        </w:tc>
        <w:tc>
          <w:tcPr>
            <w:tcW w:w="2551" w:type="dxa"/>
            <w:vAlign w:val="center"/>
          </w:tcPr>
          <w:p>
            <w:pPr>
              <w:pStyle w:val="11"/>
            </w:pPr>
          </w:p>
        </w:tc>
        <w:tc>
          <w:tcPr>
            <w:tcW w:w="2551" w:type="dxa"/>
            <w:vAlign w:val="center"/>
          </w:tcPr>
          <w:p>
            <w:pPr>
              <w:pStyle w:val="11"/>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rPr>
                <w:rFonts w:hint="default" w:eastAsia="方正书宋_GBK"/>
                <w:lang w:val="en-US" w:eastAsia="zh-CN"/>
              </w:rPr>
            </w:pPr>
            <w:r>
              <w:rPr>
                <w:rFonts w:hint="eastAsia"/>
                <w:lang w:val="en-US" w:eastAsia="zh-CN"/>
              </w:rPr>
              <w:t>3.00</w:t>
            </w:r>
          </w:p>
        </w:tc>
        <w:tc>
          <w:tcPr>
            <w:tcW w:w="2381" w:type="dxa"/>
            <w:vAlign w:val="center"/>
          </w:tcPr>
          <w:p>
            <w:pPr>
              <w:pStyle w:val="11"/>
              <w:rPr>
                <w:rFonts w:hint="default" w:eastAsia="方正书宋_GBK"/>
                <w:lang w:val="en-US" w:eastAsia="zh-CN"/>
              </w:rPr>
            </w:pPr>
            <w:r>
              <w:rPr>
                <w:rFonts w:hint="eastAsia"/>
                <w:lang w:val="en-US" w:eastAsia="zh-CN"/>
              </w:rP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无极县高头回族乡人民政府本级2022年单位预算信息公开情况说明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按照《预算法》、《地方预决算公开操作规程》和《关于进一步推进预算公开工作的实施意见》规定，现将无极县高头回族乡人民政府本级2022年单位预算公开如下：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主要职责是：</w:t>
      </w:r>
    </w:p>
    <w:p>
      <w:pPr>
        <w:pStyle w:val="25"/>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25"/>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25"/>
      </w:pPr>
      <w:r>
        <w:t>二是加强社会管理，营建</w:t>
      </w:r>
      <w:r>
        <w:rPr>
          <w:rFonts w:hint="eastAsia"/>
          <w:lang w:eastAsia="zh-CN"/>
        </w:rPr>
        <w:t>和谐社会</w:t>
      </w:r>
      <w:r>
        <w:t>。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w:t>
      </w:r>
      <w:r>
        <w:rPr>
          <w:rFonts w:hint="eastAsia"/>
          <w:lang w:eastAsia="zh-CN"/>
        </w:rPr>
        <w:t>构建和谐社会</w:t>
      </w:r>
      <w:r>
        <w:t>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5"/>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5"/>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无极县高头回族乡人民政府本级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6"/>
      </w:pPr>
      <w:r>
        <w:t>1、收入说明</w:t>
      </w:r>
    </w:p>
    <w:p>
      <w:pPr>
        <w:pStyle w:val="26"/>
      </w:pPr>
      <w:r>
        <w:t>反映本</w:t>
      </w:r>
      <w:r>
        <w:rPr>
          <w:rFonts w:hint="eastAsia"/>
          <w:lang w:val="en-US" w:eastAsia="zh-CN"/>
        </w:rPr>
        <w:t>单位</w:t>
      </w:r>
      <w:r>
        <w:t>当年全部收入。2022年预算收入1080万元，其中：一般公共预算收入1080万元，基金预算收入0万元，财政专户核拨收入0万元，其他来源收入0万元。</w:t>
      </w:r>
    </w:p>
    <w:p>
      <w:pPr>
        <w:pStyle w:val="26"/>
      </w:pPr>
      <w:r>
        <w:t>2、支出说明</w:t>
      </w:r>
    </w:p>
    <w:p>
      <w:pPr>
        <w:pStyle w:val="26"/>
      </w:pPr>
      <w:r>
        <w:t>2022年</w:t>
      </w:r>
      <w:r>
        <w:rPr>
          <w:rFonts w:hint="eastAsia"/>
          <w:lang w:val="en-US" w:eastAsia="zh-CN"/>
        </w:rPr>
        <w:t>单位</w:t>
      </w:r>
      <w:r>
        <w:t>支出预算为1080万元，其中基本支出983万元，包括人员经费734万元和日常公用经费249万元；项目支出97万元</w:t>
      </w:r>
      <w:r>
        <w:rPr>
          <w:rFonts w:hint="eastAsia"/>
          <w:lang w:eastAsia="zh-CN"/>
        </w:rPr>
        <w:t>，</w:t>
      </w:r>
      <w:r>
        <w:rPr>
          <w:rFonts w:hint="eastAsia"/>
          <w:lang w:val="en-US" w:eastAsia="zh-CN"/>
        </w:rPr>
        <w:t>主要是西高村革命老区项目97万元</w:t>
      </w:r>
      <w:r>
        <w:t>。</w:t>
      </w:r>
    </w:p>
    <w:p>
      <w:pPr>
        <w:pStyle w:val="26"/>
      </w:pPr>
      <w:r>
        <w:t>3、比上年增减情况</w:t>
      </w:r>
    </w:p>
    <w:p>
      <w:pPr>
        <w:pStyle w:val="26"/>
      </w:pPr>
      <w:r>
        <w:t>2022年</w:t>
      </w:r>
      <w:r>
        <w:rPr>
          <w:rFonts w:hint="eastAsia"/>
          <w:lang w:val="en-US" w:eastAsia="zh-CN"/>
        </w:rPr>
        <w:t>单位</w:t>
      </w:r>
      <w:r>
        <w:t>预算收支安排1080万元，较2021年增加424.5万元，其中：人员经费增加197.5万元，日常公用经费增加156万元，项目支出增加71万元，主要是人员增加，相应增加人员经费和日常公用经费。</w:t>
      </w:r>
    </w:p>
    <w:p>
      <w:pPr>
        <w:spacing w:before="10" w:after="10"/>
        <w:ind w:firstLine="640"/>
        <w:outlineLvl w:val="5"/>
      </w:pPr>
      <w:r>
        <w:rPr>
          <w:rFonts w:ascii="黑体" w:hAnsi="黑体" w:eastAsia="黑体" w:cs="黑体"/>
          <w:color w:val="000000"/>
          <w:sz w:val="32"/>
        </w:rPr>
        <w:t>三、机关运行经费安排情况</w:t>
      </w:r>
    </w:p>
    <w:p>
      <w:pPr>
        <w:pStyle w:val="27"/>
      </w:pPr>
      <w:r>
        <w:t>2022年，我</w:t>
      </w:r>
      <w:r>
        <w:rPr>
          <w:rFonts w:hint="eastAsia"/>
          <w:lang w:val="en-US" w:eastAsia="zh-CN"/>
        </w:rPr>
        <w:t>单位</w:t>
      </w:r>
      <w:r>
        <w:t>机关运行经费共计安排249.00万元，主要用于保证机关正常运转的办公费及印刷费、邮电费、差旅费、水电费、取暖费、公务车运行维护费等支出。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2022年，我</w:t>
      </w:r>
      <w:r>
        <w:rPr>
          <w:rFonts w:hint="eastAsia"/>
          <w:lang w:val="en-US" w:eastAsia="zh-CN"/>
        </w:rPr>
        <w:t>单位</w:t>
      </w:r>
      <w:r>
        <w:t>财政拨款“三公”经费预算安排3万元，</w:t>
      </w:r>
      <w:r>
        <w:rPr>
          <w:rFonts w:hint="eastAsia"/>
          <w:lang w:val="en-US" w:eastAsia="zh-CN"/>
        </w:rPr>
        <w:t>与上年持平。</w:t>
      </w:r>
      <w:r>
        <w:t>其中：因公出国（境）费0万元；公务用车购置及运维费0万元（其中：公务用车购置费0万元，公务用车运行维护费3万元)；公务接待费0万元。</w:t>
      </w:r>
      <w:r>
        <w:rPr>
          <w:rFonts w:hint="eastAsia"/>
          <w:lang w:val="en-US" w:eastAsia="zh-CN"/>
        </w:rPr>
        <w:t>原因为严格按照公务用车相关制度执行，厉行节俭</w:t>
      </w:r>
      <w:r>
        <w:t>。</w:t>
      </w:r>
    </w:p>
    <w:p>
      <w:pPr>
        <w:pStyle w:val="28"/>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1、2022年革命老区项目西高村道路硬化绩效目标表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rPr>
                <w:rFonts w:ascii="方正仿宋_GBK" w:hAnsi="方正仿宋_GBK" w:eastAsia="方正仿宋_GBK" w:cs="方正仿宋_GBK"/>
                <w:b w:val="0"/>
                <w:bCs/>
                <w:color w:val="000000"/>
                <w:sz w:val="28"/>
              </w:rPr>
              <w:t>西高村道路硬化</w:t>
            </w:r>
            <w:r>
              <w:rPr>
                <w:rFonts w:hint="eastAsia" w:ascii="方正仿宋_GBK" w:hAnsi="方正仿宋_GBK" w:eastAsia="方正仿宋_GBK" w:cs="方正仿宋_GBK"/>
                <w:b w:val="0"/>
                <w:bCs/>
                <w:color w:val="000000"/>
                <w:sz w:val="28"/>
                <w:lang w:val="en-US" w:eastAsia="zh-CN"/>
              </w:rPr>
              <w:t>完工</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年度信息系统数量</w:t>
            </w:r>
          </w:p>
        </w:tc>
        <w:tc>
          <w:tcPr>
            <w:tcW w:w="2835" w:type="dxa"/>
            <w:vAlign w:val="center"/>
          </w:tcPr>
          <w:p>
            <w:pPr>
              <w:pStyle w:val="12"/>
            </w:pPr>
            <w:r>
              <w:t>年度信息系统数量</w:t>
            </w:r>
          </w:p>
        </w:tc>
        <w:tc>
          <w:tcPr>
            <w:tcW w:w="2551" w:type="dxa"/>
            <w:vAlign w:val="center"/>
          </w:tcPr>
          <w:p>
            <w:pPr>
              <w:pStyle w:val="12"/>
            </w:pPr>
            <w:r>
              <w:t>规划数</w:t>
            </w:r>
          </w:p>
        </w:tc>
        <w:tc>
          <w:tcPr>
            <w:tcW w:w="2268" w:type="dxa"/>
            <w:vAlign w:val="center"/>
          </w:tcPr>
          <w:p>
            <w:pPr>
              <w:pStyle w:val="12"/>
            </w:pPr>
            <w:r>
              <w:t>区域规划数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工作完成情况</w:t>
            </w:r>
          </w:p>
        </w:tc>
        <w:tc>
          <w:tcPr>
            <w:tcW w:w="2835" w:type="dxa"/>
            <w:vAlign w:val="center"/>
          </w:tcPr>
          <w:p>
            <w:pPr>
              <w:pStyle w:val="12"/>
            </w:pPr>
            <w:r>
              <w:t>工作完成情况</w:t>
            </w:r>
          </w:p>
        </w:tc>
        <w:tc>
          <w:tcPr>
            <w:tcW w:w="2551" w:type="dxa"/>
            <w:vAlign w:val="center"/>
          </w:tcPr>
          <w:p>
            <w:pPr>
              <w:pStyle w:val="12"/>
            </w:pPr>
            <w:r>
              <w:t>建设进度</w:t>
            </w:r>
          </w:p>
        </w:tc>
        <w:tc>
          <w:tcPr>
            <w:tcW w:w="2268" w:type="dxa"/>
            <w:vAlign w:val="center"/>
          </w:tcPr>
          <w:p>
            <w:pPr>
              <w:pStyle w:val="12"/>
            </w:pPr>
            <w:r>
              <w:t>施工进度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资金支出率（%）</w:t>
            </w:r>
          </w:p>
        </w:tc>
        <w:tc>
          <w:tcPr>
            <w:tcW w:w="2835" w:type="dxa"/>
            <w:vAlign w:val="center"/>
          </w:tcPr>
          <w:p>
            <w:pPr>
              <w:pStyle w:val="12"/>
            </w:pPr>
            <w:r>
              <w:t>资金支出率（%）</w:t>
            </w:r>
          </w:p>
        </w:tc>
        <w:tc>
          <w:tcPr>
            <w:tcW w:w="2551" w:type="dxa"/>
            <w:vAlign w:val="center"/>
          </w:tcPr>
          <w:p>
            <w:pPr>
              <w:pStyle w:val="12"/>
            </w:pPr>
            <w:r>
              <w:t>100</w:t>
            </w:r>
          </w:p>
        </w:tc>
        <w:tc>
          <w:tcPr>
            <w:tcW w:w="2268" w:type="dxa"/>
            <w:vAlign w:val="center"/>
          </w:tcPr>
          <w:p>
            <w:pPr>
              <w:pStyle w:val="12"/>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完成进度</w:t>
            </w:r>
          </w:p>
        </w:tc>
        <w:tc>
          <w:tcPr>
            <w:tcW w:w="2268" w:type="dxa"/>
            <w:vAlign w:val="center"/>
          </w:tcPr>
          <w:p>
            <w:pPr>
              <w:pStyle w:val="12"/>
            </w:pPr>
            <w:r>
              <w:t>评审测评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经济程度</w:t>
            </w:r>
          </w:p>
        </w:tc>
        <w:tc>
          <w:tcPr>
            <w:tcW w:w="2268" w:type="dxa"/>
            <w:vAlign w:val="center"/>
          </w:tcPr>
          <w:p>
            <w:pPr>
              <w:pStyle w:val="12"/>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社会效益</w:t>
            </w:r>
          </w:p>
        </w:tc>
        <w:tc>
          <w:tcPr>
            <w:tcW w:w="2268" w:type="dxa"/>
            <w:vAlign w:val="center"/>
          </w:tcPr>
          <w:p>
            <w:pPr>
              <w:pStyle w:val="12"/>
            </w:pPr>
            <w:r>
              <w:t>便捷群众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生态环境</w:t>
            </w:r>
          </w:p>
        </w:tc>
        <w:tc>
          <w:tcPr>
            <w:tcW w:w="2268" w:type="dxa"/>
            <w:vAlign w:val="center"/>
          </w:tcPr>
          <w:p>
            <w:pPr>
              <w:pStyle w:val="12"/>
            </w:pPr>
            <w:r>
              <w:t>环境保障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2835" w:type="dxa"/>
            <w:vAlign w:val="center"/>
          </w:tcPr>
          <w:p>
            <w:pPr>
              <w:pStyle w:val="12"/>
            </w:pPr>
            <w:r>
              <w:t>可持续性</w:t>
            </w:r>
          </w:p>
        </w:tc>
        <w:tc>
          <w:tcPr>
            <w:tcW w:w="2551" w:type="dxa"/>
            <w:vAlign w:val="center"/>
          </w:tcPr>
          <w:p>
            <w:pPr>
              <w:pStyle w:val="12"/>
            </w:pPr>
            <w:r>
              <w:t>持续程度</w:t>
            </w:r>
          </w:p>
        </w:tc>
        <w:tc>
          <w:tcPr>
            <w:tcW w:w="2268" w:type="dxa"/>
            <w:vAlign w:val="center"/>
          </w:tcPr>
          <w:p>
            <w:pPr>
              <w:pStyle w:val="12"/>
            </w:pPr>
            <w:r>
              <w:t>持续程度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2022年，无极县高头回族乡人民政府本级安排政府采购预算0.00万元。具体内容见下表。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无极县高头回族乡人民政府本级上年末固定资产金额为222.48万元（详见下表）。本年度拟购置固定资产总额为0.00万元。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2000</w:t>
            </w:r>
          </w:p>
        </w:tc>
        <w:tc>
          <w:tcPr>
            <w:tcW w:w="2835" w:type="dxa"/>
            <w:vAlign w:val="center"/>
          </w:tcPr>
          <w:p>
            <w:pPr>
              <w:pStyle w:val="11"/>
            </w:pPr>
            <w:r>
              <w:t>118.09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1500</w:t>
            </w:r>
          </w:p>
        </w:tc>
        <w:tc>
          <w:tcPr>
            <w:tcW w:w="2835" w:type="dxa"/>
            <w:vAlign w:val="center"/>
          </w:tcPr>
          <w:p>
            <w:pPr>
              <w:pStyle w:val="11"/>
            </w:pPr>
            <w:r>
              <w:t>109.09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50</w:t>
            </w:r>
          </w:p>
        </w:tc>
        <w:tc>
          <w:tcPr>
            <w:tcW w:w="2835" w:type="dxa"/>
            <w:vAlign w:val="center"/>
          </w:tcPr>
          <w:p>
            <w:pPr>
              <w:pStyle w:val="11"/>
            </w:pPr>
            <w:r>
              <w:t>97.91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5ABB"/>
    <w:rsid w:val="005722D7"/>
    <w:rsid w:val="005A582C"/>
    <w:rsid w:val="007A18B3"/>
    <w:rsid w:val="007F5ABB"/>
    <w:rsid w:val="00A76832"/>
    <w:rsid w:val="00AC424E"/>
    <w:rsid w:val="00E5332F"/>
    <w:rsid w:val="01D210C3"/>
    <w:rsid w:val="135A1D90"/>
    <w:rsid w:val="19C711E2"/>
    <w:rsid w:val="1F1F24B6"/>
    <w:rsid w:val="25B23001"/>
    <w:rsid w:val="2B256D41"/>
    <w:rsid w:val="368C01DF"/>
    <w:rsid w:val="39B60168"/>
    <w:rsid w:val="3F3D33AF"/>
    <w:rsid w:val="45886B3A"/>
    <w:rsid w:val="4E5E5257"/>
    <w:rsid w:val="669E5A5F"/>
    <w:rsid w:val="6BA2339D"/>
    <w:rsid w:val="76F308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2022-06-22T16:23:46Z</dcterms:created>
  <dcterms:modified xsi:type="dcterms:W3CDTF">2022-06-22T08:23:46Z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2022-06-22T16:23:48Z</dcterms:created>
  <dcterms:modified xsi:type="dcterms:W3CDTF">2022-06-22T08:23:48Z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2022-06-22T16:23:48Z</dcterms:created>
  <dcterms:modified xsi:type="dcterms:W3CDTF">2022-06-22T08:23:48Z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2022-06-22T16:23:45Z</dcterms:created>
  <dcterms:modified xsi:type="dcterms:W3CDTF">2022-06-22T08:23:45Z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2022-06-22T16:23:46Z</dcterms:created>
  <dcterms:modified xsi:type="dcterms:W3CDTF">2022-06-22T08:23:46Z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2022-06-22T16:23:45Z</dcterms:created>
  <dcterms:modified xsi:type="dcterms:W3CDTF">2022-06-22T08:23:45Z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2022-06-22T16:23:48Z</dcterms:created>
  <dcterms:modified xsi:type="dcterms:W3CDTF">2022-06-22T08:23:47Z</dcterms:modified>
</cp:coreProperties>
</file>

<file path=customXml/itemProps1.xml><?xml version="1.0" encoding="utf-8"?>
<ds:datastoreItem xmlns:ds="http://schemas.openxmlformats.org/officeDocument/2006/customXml" ds:itemID="{72F3522F-D928-43A4-A3B8-8457BED867BA}">
  <ds:schemaRefs/>
</ds:datastoreItem>
</file>

<file path=customXml/itemProps10.xml><?xml version="1.0" encoding="utf-8"?>
<ds:datastoreItem xmlns:ds="http://schemas.openxmlformats.org/officeDocument/2006/customXml" ds:itemID="{B939CDD7-6165-42B5-B43C-E9F4893F4B8B}">
  <ds:schemaRefs/>
</ds:datastoreItem>
</file>

<file path=customXml/itemProps11.xml><?xml version="1.0" encoding="utf-8"?>
<ds:datastoreItem xmlns:ds="http://schemas.openxmlformats.org/officeDocument/2006/customXml" ds:itemID="{6C361096-0C4A-46EE-BF8F-E3578DF50024}">
  <ds:schemaRefs/>
</ds:datastoreItem>
</file>

<file path=customXml/itemProps12.xml><?xml version="1.0" encoding="utf-8"?>
<ds:datastoreItem xmlns:ds="http://schemas.openxmlformats.org/officeDocument/2006/customXml" ds:itemID="{11CDBE77-B1C0-4249-9F79-C823A7CCF5DA}">
  <ds:schemaRefs/>
</ds:datastoreItem>
</file>

<file path=customXml/itemProps13.xml><?xml version="1.0" encoding="utf-8"?>
<ds:datastoreItem xmlns:ds="http://schemas.openxmlformats.org/officeDocument/2006/customXml" ds:itemID="{02F68E06-5191-4F84-B297-869270D875FA}">
  <ds:schemaRefs/>
</ds:datastoreItem>
</file>

<file path=customXml/itemProps14.xml><?xml version="1.0" encoding="utf-8"?>
<ds:datastoreItem xmlns:ds="http://schemas.openxmlformats.org/officeDocument/2006/customXml" ds:itemID="{D4163CF6-5197-4203-80ED-2B6C5D39BFAA}">
  <ds:schemaRefs/>
</ds:datastoreItem>
</file>

<file path=customXml/itemProps2.xml><?xml version="1.0" encoding="utf-8"?>
<ds:datastoreItem xmlns:ds="http://schemas.openxmlformats.org/officeDocument/2006/customXml" ds:itemID="{F1B6534E-61D6-4C2E-8FAD-DE3CA53CDCFE}">
  <ds:schemaRefs/>
</ds:datastoreItem>
</file>

<file path=customXml/itemProps3.xml><?xml version="1.0" encoding="utf-8"?>
<ds:datastoreItem xmlns:ds="http://schemas.openxmlformats.org/officeDocument/2006/customXml" ds:itemID="{B40C39E0-0C08-44E2-A0D4-BEDDDA9994C0}">
  <ds:schemaRefs/>
</ds:datastoreItem>
</file>

<file path=customXml/itemProps4.xml><?xml version="1.0" encoding="utf-8"?>
<ds:datastoreItem xmlns:ds="http://schemas.openxmlformats.org/officeDocument/2006/customXml" ds:itemID="{7372DBF0-3127-4F76-B262-E1CF70CEE9DB}">
  <ds:schemaRefs/>
</ds:datastoreItem>
</file>

<file path=customXml/itemProps5.xml><?xml version="1.0" encoding="utf-8"?>
<ds:datastoreItem xmlns:ds="http://schemas.openxmlformats.org/officeDocument/2006/customXml" ds:itemID="{BD1804F8-C604-4F18-9CA4-72D8F248FB9F}">
  <ds:schemaRefs/>
</ds:datastoreItem>
</file>

<file path=customXml/itemProps6.xml><?xml version="1.0" encoding="utf-8"?>
<ds:datastoreItem xmlns:ds="http://schemas.openxmlformats.org/officeDocument/2006/customXml" ds:itemID="{0D116734-CFEF-4A80-8410-087EC5DAFCCA}">
  <ds:schemaRefs/>
</ds:datastoreItem>
</file>

<file path=customXml/itemProps7.xml><?xml version="1.0" encoding="utf-8"?>
<ds:datastoreItem xmlns:ds="http://schemas.openxmlformats.org/officeDocument/2006/customXml" ds:itemID="{BFA7F6DC-4581-43C9-A3E2-14EA9E4D42AE}">
  <ds:schemaRefs/>
</ds:datastoreItem>
</file>

<file path=customXml/itemProps8.xml><?xml version="1.0" encoding="utf-8"?>
<ds:datastoreItem xmlns:ds="http://schemas.openxmlformats.org/officeDocument/2006/customXml" ds:itemID="{7F3A0669-F4BF-4B06-971F-3E101FF55067}">
  <ds:schemaRefs/>
</ds:datastoreItem>
</file>

<file path=customXml/itemProps9.xml><?xml version="1.0" encoding="utf-8"?>
<ds:datastoreItem xmlns:ds="http://schemas.openxmlformats.org/officeDocument/2006/customXml" ds:itemID="{21D77D5E-D2BE-4C98-8F47-72EA88C0AEAE}">
  <ds:schemaRefs/>
</ds:datastoreItem>
</file>

<file path=docProps/app.xml><?xml version="1.0" encoding="utf-8"?>
<Properties xmlns="http://schemas.openxmlformats.org/officeDocument/2006/extended-properties" xmlns:vt="http://schemas.openxmlformats.org/officeDocument/2006/docPropsVTypes">
  <Template>Normal.dotm</Template>
  <Pages>52</Pages>
  <Words>3466</Words>
  <Characters>19759</Characters>
  <Lines>164</Lines>
  <Paragraphs>46</Paragraphs>
  <TotalTime>0</TotalTime>
  <ScaleCrop>false</ScaleCrop>
  <LinksUpToDate>false</LinksUpToDate>
  <CharactersWithSpaces>23179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2022-06-22T08:24:00Z</dcterms:created>
  <dc:creator>Administrator</dc:creator>
  <cp:lastModifiedBy>Administrator</cp:lastModifiedBy>
  <dcterms:modified xsi:type="dcterms:W3CDTF">2024-06-20T13:35:58Z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144B6744F6AD440D96328B78E359DC52</vt:lpwstr>
  </property>
</Properties>
</file>