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一、无极县里城道乡人民政府本级收支预算</w:t>
      </w:r>
      <w:r>
        <w:tab/>
      </w:r>
      <w:r>
        <w:rPr>
          <w:rFonts w:hint="eastAsia"/>
          <w:lang w:val="en-US" w:eastAsia="zh-CN"/>
        </w:rPr>
        <w:t>1</w:t>
      </w:r>
      <w:r>
        <w:fldChar w:fldCharType="end"/>
      </w:r>
    </w:p>
    <w:p>
      <w:pPr>
        <w:sectPr>
          <w:headerReference r:id="rId3" w:type="default"/>
          <w:footerReference r:id="rId5" w:type="default"/>
          <w:headerReference r:id="rId4" w:type="even"/>
          <w:footerReference r:id="rId6" w:type="even"/>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一、无极县里城道乡人民政府本级收支预算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938001无极县里城道乡人民政府本级</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1648.65</w:t>
            </w:r>
          </w:p>
        </w:tc>
        <w:tc>
          <w:tcPr>
            <w:tcW w:w="4535" w:type="dxa"/>
            <w:vAlign w:val="center"/>
          </w:tcPr>
          <w:p>
            <w:pPr>
              <w:pStyle w:val="16"/>
            </w:pPr>
            <w:r>
              <w:t>一、一般公共服务支出</w:t>
            </w:r>
          </w:p>
        </w:tc>
        <w:tc>
          <w:tcPr>
            <w:tcW w:w="2126" w:type="dxa"/>
            <w:vAlign w:val="center"/>
          </w:tcPr>
          <w:p>
            <w:pPr>
              <w:pStyle w:val="15"/>
            </w:pPr>
            <w:r>
              <w:t>1442.40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1648.65</w:t>
            </w:r>
          </w:p>
        </w:tc>
        <w:tc>
          <w:tcPr>
            <w:tcW w:w="4535" w:type="dxa"/>
            <w:vAlign w:val="center"/>
          </w:tcPr>
          <w:p>
            <w:pPr>
              <w:pStyle w:val="18"/>
            </w:pPr>
            <w:r>
              <w:t>本年支出合计</w:t>
            </w:r>
          </w:p>
        </w:tc>
        <w:tc>
          <w:tcPr>
            <w:tcW w:w="2126" w:type="dxa"/>
            <w:vAlign w:val="center"/>
          </w:tcPr>
          <w:p>
            <w:pPr>
              <w:pStyle w:val="19"/>
            </w:pPr>
            <w:r>
              <w:t>1648.65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1648.65</w:t>
            </w:r>
          </w:p>
        </w:tc>
        <w:tc>
          <w:tcPr>
            <w:tcW w:w="4535" w:type="dxa"/>
            <w:vAlign w:val="center"/>
          </w:tcPr>
          <w:p>
            <w:pPr>
              <w:pStyle w:val="18"/>
            </w:pPr>
            <w:r>
              <w:t>支出总计</w:t>
            </w:r>
          </w:p>
        </w:tc>
        <w:tc>
          <w:tcPr>
            <w:tcW w:w="2126" w:type="dxa"/>
            <w:vAlign w:val="center"/>
          </w:tcPr>
          <w:p>
            <w:pPr>
              <w:pStyle w:val="19"/>
            </w:pPr>
            <w:r>
              <w:t>1648.65</w:t>
            </w:r>
          </w:p>
        </w:tc>
      </w:tr>
    </w:tbl>
    <w:p>
      <w:pPr>
        <w:sectPr>
          <w:footerReference r:id="rId7" w:type="default"/>
          <w:footerReference r:id="rId8"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938001无极县里城道乡人民政府本级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1648.65</w:t>
            </w:r>
          </w:p>
        </w:tc>
        <w:tc>
          <w:tcPr>
            <w:tcW w:w="1134" w:type="dxa"/>
            <w:vAlign w:val="center"/>
          </w:tcPr>
          <w:p>
            <w:pPr>
              <w:pStyle w:val="19"/>
            </w:pPr>
            <w:r>
              <w:t>1648.65</w:t>
            </w:r>
          </w:p>
        </w:tc>
        <w:tc>
          <w:tcPr>
            <w:tcW w:w="1134" w:type="dxa"/>
            <w:vAlign w:val="center"/>
          </w:tcPr>
          <w:p>
            <w:pPr>
              <w:pStyle w:val="19"/>
            </w:pPr>
            <w:r>
              <w:t>1648.65</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1442.40</w:t>
            </w:r>
          </w:p>
        </w:tc>
        <w:tc>
          <w:tcPr>
            <w:tcW w:w="1134" w:type="dxa"/>
            <w:vAlign w:val="center"/>
          </w:tcPr>
          <w:p>
            <w:pPr>
              <w:pStyle w:val="15"/>
            </w:pPr>
            <w:r>
              <w:t>1442.40</w:t>
            </w:r>
          </w:p>
        </w:tc>
        <w:tc>
          <w:tcPr>
            <w:tcW w:w="1134" w:type="dxa"/>
            <w:vAlign w:val="center"/>
          </w:tcPr>
          <w:p>
            <w:pPr>
              <w:pStyle w:val="15"/>
            </w:pPr>
            <w:r>
              <w:t>1442.40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t>政府办公厅（室）及相关机构事务</w:t>
            </w:r>
          </w:p>
        </w:tc>
        <w:tc>
          <w:tcPr>
            <w:tcW w:w="1134" w:type="dxa"/>
            <w:vAlign w:val="center"/>
          </w:tcPr>
          <w:p>
            <w:pPr>
              <w:pStyle w:val="15"/>
            </w:pPr>
            <w:r>
              <w:t>1442.40</w:t>
            </w:r>
          </w:p>
        </w:tc>
        <w:tc>
          <w:tcPr>
            <w:tcW w:w="1134" w:type="dxa"/>
            <w:vAlign w:val="center"/>
          </w:tcPr>
          <w:p>
            <w:pPr>
              <w:pStyle w:val="15"/>
            </w:pPr>
            <w:r>
              <w:t>1442.40</w:t>
            </w:r>
          </w:p>
        </w:tc>
        <w:tc>
          <w:tcPr>
            <w:tcW w:w="1134" w:type="dxa"/>
            <w:vAlign w:val="center"/>
          </w:tcPr>
          <w:p>
            <w:pPr>
              <w:pStyle w:val="15"/>
            </w:pPr>
            <w:r>
              <w:t>1442.40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2010301</w:t>
            </w:r>
          </w:p>
        </w:tc>
        <w:tc>
          <w:tcPr>
            <w:tcW w:w="1559" w:type="dxa"/>
            <w:vAlign w:val="center"/>
          </w:tcPr>
          <w:p>
            <w:pPr>
              <w:pStyle w:val="16"/>
            </w:pPr>
            <w:r>
              <w:t>行政运行</w:t>
            </w:r>
          </w:p>
        </w:tc>
        <w:tc>
          <w:tcPr>
            <w:tcW w:w="1134" w:type="dxa"/>
            <w:vAlign w:val="center"/>
          </w:tcPr>
          <w:p>
            <w:pPr>
              <w:pStyle w:val="15"/>
            </w:pPr>
            <w:r>
              <w:t>1442.40</w:t>
            </w:r>
          </w:p>
        </w:tc>
        <w:tc>
          <w:tcPr>
            <w:tcW w:w="1134" w:type="dxa"/>
            <w:vAlign w:val="center"/>
          </w:tcPr>
          <w:p>
            <w:pPr>
              <w:pStyle w:val="15"/>
            </w:pPr>
            <w:r>
              <w:t>1442.40</w:t>
            </w:r>
          </w:p>
        </w:tc>
        <w:tc>
          <w:tcPr>
            <w:tcW w:w="1134" w:type="dxa"/>
            <w:vAlign w:val="center"/>
          </w:tcPr>
          <w:p>
            <w:pPr>
              <w:pStyle w:val="15"/>
            </w:pPr>
            <w:r>
              <w:t>1442.40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72.00</w:t>
            </w:r>
          </w:p>
        </w:tc>
        <w:tc>
          <w:tcPr>
            <w:tcW w:w="1134" w:type="dxa"/>
            <w:vAlign w:val="center"/>
          </w:tcPr>
          <w:p>
            <w:pPr>
              <w:pStyle w:val="15"/>
            </w:pPr>
            <w:r>
              <w:t>72.00</w:t>
            </w:r>
          </w:p>
        </w:tc>
        <w:tc>
          <w:tcPr>
            <w:tcW w:w="1134" w:type="dxa"/>
            <w:vAlign w:val="center"/>
          </w:tcPr>
          <w:p>
            <w:pPr>
              <w:pStyle w:val="15"/>
            </w:pPr>
            <w:r>
              <w:t>72.00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72.00</w:t>
            </w:r>
          </w:p>
        </w:tc>
        <w:tc>
          <w:tcPr>
            <w:tcW w:w="1134" w:type="dxa"/>
            <w:vAlign w:val="center"/>
          </w:tcPr>
          <w:p>
            <w:pPr>
              <w:pStyle w:val="15"/>
            </w:pPr>
            <w:r>
              <w:t>72.00</w:t>
            </w:r>
          </w:p>
        </w:tc>
        <w:tc>
          <w:tcPr>
            <w:tcW w:w="1134" w:type="dxa"/>
            <w:vAlign w:val="center"/>
          </w:tcPr>
          <w:p>
            <w:pPr>
              <w:pStyle w:val="15"/>
            </w:pPr>
            <w:r>
              <w:t>72.00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72.00</w:t>
            </w:r>
          </w:p>
        </w:tc>
        <w:tc>
          <w:tcPr>
            <w:tcW w:w="1134" w:type="dxa"/>
            <w:vAlign w:val="center"/>
          </w:tcPr>
          <w:p>
            <w:pPr>
              <w:pStyle w:val="15"/>
            </w:pPr>
            <w:r>
              <w:t>72.00</w:t>
            </w:r>
          </w:p>
        </w:tc>
        <w:tc>
          <w:tcPr>
            <w:tcW w:w="1134" w:type="dxa"/>
            <w:vAlign w:val="center"/>
          </w:tcPr>
          <w:p>
            <w:pPr>
              <w:pStyle w:val="15"/>
            </w:pPr>
            <w:r>
              <w:t>72.00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37.25</w:t>
            </w:r>
          </w:p>
        </w:tc>
        <w:tc>
          <w:tcPr>
            <w:tcW w:w="1134" w:type="dxa"/>
            <w:vAlign w:val="center"/>
          </w:tcPr>
          <w:p>
            <w:pPr>
              <w:pStyle w:val="15"/>
            </w:pPr>
            <w:r>
              <w:t>37.25</w:t>
            </w:r>
          </w:p>
        </w:tc>
        <w:tc>
          <w:tcPr>
            <w:tcW w:w="1134" w:type="dxa"/>
            <w:vAlign w:val="center"/>
          </w:tcPr>
          <w:p>
            <w:pPr>
              <w:pStyle w:val="15"/>
            </w:pPr>
            <w:r>
              <w:t>37.25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37.25</w:t>
            </w:r>
          </w:p>
        </w:tc>
        <w:tc>
          <w:tcPr>
            <w:tcW w:w="1134" w:type="dxa"/>
            <w:vAlign w:val="center"/>
          </w:tcPr>
          <w:p>
            <w:pPr>
              <w:pStyle w:val="15"/>
            </w:pPr>
            <w:r>
              <w:t>37.25</w:t>
            </w:r>
          </w:p>
        </w:tc>
        <w:tc>
          <w:tcPr>
            <w:tcW w:w="1134" w:type="dxa"/>
            <w:vAlign w:val="center"/>
          </w:tcPr>
          <w:p>
            <w:pPr>
              <w:pStyle w:val="15"/>
            </w:pPr>
            <w:r>
              <w:t>37.25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37.25</w:t>
            </w:r>
          </w:p>
        </w:tc>
        <w:tc>
          <w:tcPr>
            <w:tcW w:w="1134" w:type="dxa"/>
            <w:vAlign w:val="center"/>
          </w:tcPr>
          <w:p>
            <w:pPr>
              <w:pStyle w:val="15"/>
            </w:pPr>
            <w:r>
              <w:t>37.25</w:t>
            </w:r>
          </w:p>
        </w:tc>
        <w:tc>
          <w:tcPr>
            <w:tcW w:w="1134" w:type="dxa"/>
            <w:vAlign w:val="center"/>
          </w:tcPr>
          <w:p>
            <w:pPr>
              <w:pStyle w:val="15"/>
            </w:pPr>
            <w:r>
              <w:t>37.25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230</w:t>
            </w:r>
          </w:p>
        </w:tc>
        <w:tc>
          <w:tcPr>
            <w:tcW w:w="1559" w:type="dxa"/>
            <w:vAlign w:val="center"/>
          </w:tcPr>
          <w:p>
            <w:pPr>
              <w:pStyle w:val="16"/>
            </w:pPr>
            <w:r>
              <w:t>转移性支出</w:t>
            </w:r>
          </w:p>
        </w:tc>
        <w:tc>
          <w:tcPr>
            <w:tcW w:w="1134" w:type="dxa"/>
            <w:vAlign w:val="center"/>
          </w:tcPr>
          <w:p>
            <w:pPr>
              <w:pStyle w:val="15"/>
            </w:pPr>
            <w:r>
              <w:t>97.00</w:t>
            </w:r>
          </w:p>
        </w:tc>
        <w:tc>
          <w:tcPr>
            <w:tcW w:w="1134" w:type="dxa"/>
            <w:vAlign w:val="center"/>
          </w:tcPr>
          <w:p>
            <w:pPr>
              <w:pStyle w:val="15"/>
            </w:pPr>
            <w:r>
              <w:t>97.00</w:t>
            </w:r>
          </w:p>
        </w:tc>
        <w:tc>
          <w:tcPr>
            <w:tcW w:w="1134" w:type="dxa"/>
            <w:vAlign w:val="center"/>
          </w:tcPr>
          <w:p>
            <w:pPr>
              <w:pStyle w:val="15"/>
            </w:pPr>
            <w:r>
              <w:t>97.00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23002</w:t>
            </w:r>
          </w:p>
        </w:tc>
        <w:tc>
          <w:tcPr>
            <w:tcW w:w="1559" w:type="dxa"/>
            <w:vAlign w:val="center"/>
          </w:tcPr>
          <w:p>
            <w:pPr>
              <w:pStyle w:val="16"/>
            </w:pPr>
            <w:r>
              <w:t>一般性转移支付</w:t>
            </w:r>
          </w:p>
        </w:tc>
        <w:tc>
          <w:tcPr>
            <w:tcW w:w="1134" w:type="dxa"/>
            <w:vAlign w:val="center"/>
          </w:tcPr>
          <w:p>
            <w:pPr>
              <w:pStyle w:val="15"/>
            </w:pPr>
            <w:r>
              <w:t>97.00</w:t>
            </w:r>
          </w:p>
        </w:tc>
        <w:tc>
          <w:tcPr>
            <w:tcW w:w="1134" w:type="dxa"/>
            <w:vAlign w:val="center"/>
          </w:tcPr>
          <w:p>
            <w:pPr>
              <w:pStyle w:val="15"/>
            </w:pPr>
            <w:r>
              <w:t>97.00</w:t>
            </w:r>
          </w:p>
        </w:tc>
        <w:tc>
          <w:tcPr>
            <w:tcW w:w="1134" w:type="dxa"/>
            <w:vAlign w:val="center"/>
          </w:tcPr>
          <w:p>
            <w:pPr>
              <w:pStyle w:val="15"/>
            </w:pPr>
            <w:r>
              <w:t>97.00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2300228</w:t>
            </w:r>
          </w:p>
        </w:tc>
        <w:tc>
          <w:tcPr>
            <w:tcW w:w="1559" w:type="dxa"/>
            <w:vAlign w:val="center"/>
          </w:tcPr>
          <w:p>
            <w:pPr>
              <w:pStyle w:val="16"/>
            </w:pPr>
            <w:r>
              <w:t>革命老区转移支付支出</w:t>
            </w:r>
          </w:p>
        </w:tc>
        <w:tc>
          <w:tcPr>
            <w:tcW w:w="1134" w:type="dxa"/>
            <w:vAlign w:val="center"/>
          </w:tcPr>
          <w:p>
            <w:pPr>
              <w:pStyle w:val="15"/>
            </w:pPr>
            <w:r>
              <w:t>97.00</w:t>
            </w:r>
          </w:p>
        </w:tc>
        <w:tc>
          <w:tcPr>
            <w:tcW w:w="1134" w:type="dxa"/>
            <w:vAlign w:val="center"/>
          </w:tcPr>
          <w:p>
            <w:pPr>
              <w:pStyle w:val="15"/>
            </w:pPr>
            <w:r>
              <w:t>97.00</w:t>
            </w:r>
          </w:p>
        </w:tc>
        <w:tc>
          <w:tcPr>
            <w:tcW w:w="1134" w:type="dxa"/>
            <w:vAlign w:val="center"/>
          </w:tcPr>
          <w:p>
            <w:pPr>
              <w:pStyle w:val="15"/>
            </w:pPr>
            <w:r>
              <w:t>97.00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938001无极县里城道乡人民政府本级</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1648.65</w:t>
            </w:r>
          </w:p>
        </w:tc>
        <w:tc>
          <w:tcPr>
            <w:tcW w:w="1361" w:type="dxa"/>
            <w:vAlign w:val="center"/>
          </w:tcPr>
          <w:p>
            <w:pPr>
              <w:pStyle w:val="19"/>
            </w:pPr>
            <w:r>
              <w:t>1551.65</w:t>
            </w:r>
          </w:p>
        </w:tc>
        <w:tc>
          <w:tcPr>
            <w:tcW w:w="1361" w:type="dxa"/>
            <w:vAlign w:val="center"/>
          </w:tcPr>
          <w:p>
            <w:pPr>
              <w:pStyle w:val="19"/>
            </w:pPr>
            <w:r>
              <w:t>97.00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1442.40</w:t>
            </w:r>
          </w:p>
        </w:tc>
        <w:tc>
          <w:tcPr>
            <w:tcW w:w="1361" w:type="dxa"/>
            <w:vAlign w:val="center"/>
          </w:tcPr>
          <w:p>
            <w:pPr>
              <w:pStyle w:val="15"/>
            </w:pPr>
            <w:r>
              <w:t>1442.40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t>政府办公厅（室）及相关机构事务</w:t>
            </w:r>
          </w:p>
        </w:tc>
        <w:tc>
          <w:tcPr>
            <w:tcW w:w="1361" w:type="dxa"/>
            <w:vAlign w:val="center"/>
          </w:tcPr>
          <w:p>
            <w:pPr>
              <w:pStyle w:val="15"/>
            </w:pPr>
            <w:r>
              <w:t>1442.40</w:t>
            </w:r>
          </w:p>
        </w:tc>
        <w:tc>
          <w:tcPr>
            <w:tcW w:w="1361" w:type="dxa"/>
            <w:vAlign w:val="center"/>
          </w:tcPr>
          <w:p>
            <w:pPr>
              <w:pStyle w:val="15"/>
            </w:pPr>
            <w:r>
              <w:t>1442.40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2010301</w:t>
            </w:r>
          </w:p>
        </w:tc>
        <w:tc>
          <w:tcPr>
            <w:tcW w:w="4535" w:type="dxa"/>
            <w:vAlign w:val="center"/>
          </w:tcPr>
          <w:p>
            <w:pPr>
              <w:pStyle w:val="16"/>
            </w:pPr>
            <w:r>
              <w:t>行政运行</w:t>
            </w:r>
          </w:p>
        </w:tc>
        <w:tc>
          <w:tcPr>
            <w:tcW w:w="1361" w:type="dxa"/>
            <w:vAlign w:val="center"/>
          </w:tcPr>
          <w:p>
            <w:pPr>
              <w:pStyle w:val="15"/>
            </w:pPr>
            <w:r>
              <w:t>1442.40</w:t>
            </w:r>
          </w:p>
        </w:tc>
        <w:tc>
          <w:tcPr>
            <w:tcW w:w="1361" w:type="dxa"/>
            <w:vAlign w:val="center"/>
          </w:tcPr>
          <w:p>
            <w:pPr>
              <w:pStyle w:val="15"/>
            </w:pPr>
            <w:r>
              <w:t>1442.40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72.00</w:t>
            </w:r>
          </w:p>
        </w:tc>
        <w:tc>
          <w:tcPr>
            <w:tcW w:w="1361" w:type="dxa"/>
            <w:vAlign w:val="center"/>
          </w:tcPr>
          <w:p>
            <w:pPr>
              <w:pStyle w:val="15"/>
            </w:pPr>
            <w:r>
              <w:t>72.00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72.00</w:t>
            </w:r>
          </w:p>
        </w:tc>
        <w:tc>
          <w:tcPr>
            <w:tcW w:w="1361" w:type="dxa"/>
            <w:vAlign w:val="center"/>
          </w:tcPr>
          <w:p>
            <w:pPr>
              <w:pStyle w:val="15"/>
            </w:pPr>
            <w:r>
              <w:t>72.00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72.00</w:t>
            </w:r>
          </w:p>
        </w:tc>
        <w:tc>
          <w:tcPr>
            <w:tcW w:w="1361" w:type="dxa"/>
            <w:vAlign w:val="center"/>
          </w:tcPr>
          <w:p>
            <w:pPr>
              <w:pStyle w:val="15"/>
            </w:pPr>
            <w:r>
              <w:t>72.00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37.25</w:t>
            </w:r>
          </w:p>
        </w:tc>
        <w:tc>
          <w:tcPr>
            <w:tcW w:w="1361" w:type="dxa"/>
            <w:vAlign w:val="center"/>
          </w:tcPr>
          <w:p>
            <w:pPr>
              <w:pStyle w:val="15"/>
            </w:pPr>
            <w:r>
              <w:t>37.25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37.25</w:t>
            </w:r>
          </w:p>
        </w:tc>
        <w:tc>
          <w:tcPr>
            <w:tcW w:w="1361" w:type="dxa"/>
            <w:vAlign w:val="center"/>
          </w:tcPr>
          <w:p>
            <w:pPr>
              <w:pStyle w:val="15"/>
            </w:pPr>
            <w:r>
              <w:t>37.25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37.25</w:t>
            </w:r>
          </w:p>
        </w:tc>
        <w:tc>
          <w:tcPr>
            <w:tcW w:w="1361" w:type="dxa"/>
            <w:vAlign w:val="center"/>
          </w:tcPr>
          <w:p>
            <w:pPr>
              <w:pStyle w:val="15"/>
            </w:pPr>
            <w:r>
              <w:t>37.25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230</w:t>
            </w:r>
          </w:p>
        </w:tc>
        <w:tc>
          <w:tcPr>
            <w:tcW w:w="4535" w:type="dxa"/>
            <w:vAlign w:val="center"/>
          </w:tcPr>
          <w:p>
            <w:pPr>
              <w:pStyle w:val="16"/>
            </w:pPr>
            <w:r>
              <w:t>转移性支出</w:t>
            </w:r>
          </w:p>
        </w:tc>
        <w:tc>
          <w:tcPr>
            <w:tcW w:w="1361" w:type="dxa"/>
            <w:vAlign w:val="center"/>
          </w:tcPr>
          <w:p>
            <w:pPr>
              <w:pStyle w:val="15"/>
            </w:pPr>
            <w:r>
              <w:t>97.00</w:t>
            </w:r>
          </w:p>
        </w:tc>
        <w:tc>
          <w:tcPr>
            <w:tcW w:w="1361" w:type="dxa"/>
            <w:vAlign w:val="center"/>
          </w:tcPr>
          <w:p>
            <w:pPr>
              <w:pStyle w:val="15"/>
            </w:pPr>
          </w:p>
        </w:tc>
        <w:tc>
          <w:tcPr>
            <w:tcW w:w="1361" w:type="dxa"/>
            <w:vAlign w:val="center"/>
          </w:tcPr>
          <w:p>
            <w:pPr>
              <w:pStyle w:val="15"/>
            </w:pPr>
            <w:r>
              <w:t>97.00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23002</w:t>
            </w:r>
          </w:p>
        </w:tc>
        <w:tc>
          <w:tcPr>
            <w:tcW w:w="4535" w:type="dxa"/>
            <w:vAlign w:val="center"/>
          </w:tcPr>
          <w:p>
            <w:pPr>
              <w:pStyle w:val="16"/>
            </w:pPr>
            <w:r>
              <w:t>一般性转移支付</w:t>
            </w:r>
          </w:p>
        </w:tc>
        <w:tc>
          <w:tcPr>
            <w:tcW w:w="1361" w:type="dxa"/>
            <w:vAlign w:val="center"/>
          </w:tcPr>
          <w:p>
            <w:pPr>
              <w:pStyle w:val="15"/>
            </w:pPr>
            <w:r>
              <w:t>97.00</w:t>
            </w:r>
          </w:p>
        </w:tc>
        <w:tc>
          <w:tcPr>
            <w:tcW w:w="1361" w:type="dxa"/>
            <w:vAlign w:val="center"/>
          </w:tcPr>
          <w:p>
            <w:pPr>
              <w:pStyle w:val="15"/>
            </w:pPr>
          </w:p>
        </w:tc>
        <w:tc>
          <w:tcPr>
            <w:tcW w:w="1361" w:type="dxa"/>
            <w:vAlign w:val="center"/>
          </w:tcPr>
          <w:p>
            <w:pPr>
              <w:pStyle w:val="15"/>
            </w:pPr>
            <w:r>
              <w:t>97.00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2300228</w:t>
            </w:r>
          </w:p>
        </w:tc>
        <w:tc>
          <w:tcPr>
            <w:tcW w:w="4535" w:type="dxa"/>
            <w:vAlign w:val="center"/>
          </w:tcPr>
          <w:p>
            <w:pPr>
              <w:pStyle w:val="16"/>
            </w:pPr>
            <w:r>
              <w:t>革命老区转移支付支出</w:t>
            </w:r>
          </w:p>
        </w:tc>
        <w:tc>
          <w:tcPr>
            <w:tcW w:w="1361" w:type="dxa"/>
            <w:vAlign w:val="center"/>
          </w:tcPr>
          <w:p>
            <w:pPr>
              <w:pStyle w:val="15"/>
            </w:pPr>
            <w:r>
              <w:t>97.00</w:t>
            </w:r>
          </w:p>
        </w:tc>
        <w:tc>
          <w:tcPr>
            <w:tcW w:w="1361" w:type="dxa"/>
            <w:vAlign w:val="center"/>
          </w:tcPr>
          <w:p>
            <w:pPr>
              <w:pStyle w:val="15"/>
            </w:pPr>
          </w:p>
        </w:tc>
        <w:tc>
          <w:tcPr>
            <w:tcW w:w="1361" w:type="dxa"/>
            <w:vAlign w:val="center"/>
          </w:tcPr>
          <w:p>
            <w:pPr>
              <w:pStyle w:val="15"/>
            </w:pPr>
            <w:r>
              <w:t>97.00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938001无极县里城道乡人民政府本级</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1648.65</w:t>
            </w:r>
          </w:p>
        </w:tc>
        <w:tc>
          <w:tcPr>
            <w:tcW w:w="3402" w:type="dxa"/>
            <w:vAlign w:val="center"/>
          </w:tcPr>
          <w:p>
            <w:pPr>
              <w:pStyle w:val="16"/>
            </w:pPr>
            <w:r>
              <w:t>一、一般公共服务支出</w:t>
            </w:r>
          </w:p>
        </w:tc>
        <w:tc>
          <w:tcPr>
            <w:tcW w:w="1474" w:type="dxa"/>
            <w:vAlign w:val="center"/>
          </w:tcPr>
          <w:p>
            <w:pPr>
              <w:pStyle w:val="15"/>
            </w:pPr>
            <w:r>
              <w:t>1442.40</w:t>
            </w:r>
          </w:p>
        </w:tc>
        <w:tc>
          <w:tcPr>
            <w:tcW w:w="1474" w:type="dxa"/>
            <w:vAlign w:val="center"/>
          </w:tcPr>
          <w:p>
            <w:pPr>
              <w:pStyle w:val="15"/>
            </w:pPr>
            <w:r>
              <w:t>1442.40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72.00</w:t>
            </w:r>
          </w:p>
        </w:tc>
        <w:tc>
          <w:tcPr>
            <w:tcW w:w="1474" w:type="dxa"/>
            <w:vAlign w:val="center"/>
          </w:tcPr>
          <w:p>
            <w:pPr>
              <w:pStyle w:val="15"/>
            </w:pPr>
            <w:r>
              <w:t>72.00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37.25</w:t>
            </w:r>
          </w:p>
        </w:tc>
        <w:tc>
          <w:tcPr>
            <w:tcW w:w="1474" w:type="dxa"/>
            <w:vAlign w:val="center"/>
          </w:tcPr>
          <w:p>
            <w:pPr>
              <w:pStyle w:val="15"/>
            </w:pPr>
            <w:r>
              <w:t>37.25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r>
              <w:t>97.00</w:t>
            </w:r>
          </w:p>
        </w:tc>
        <w:tc>
          <w:tcPr>
            <w:tcW w:w="1474" w:type="dxa"/>
            <w:vAlign w:val="center"/>
          </w:tcPr>
          <w:p>
            <w:pPr>
              <w:pStyle w:val="15"/>
            </w:pPr>
            <w:r>
              <w:t>97.00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1648.65</w:t>
            </w:r>
          </w:p>
        </w:tc>
        <w:tc>
          <w:tcPr>
            <w:tcW w:w="3402" w:type="dxa"/>
            <w:vAlign w:val="center"/>
          </w:tcPr>
          <w:p>
            <w:pPr>
              <w:pStyle w:val="18"/>
            </w:pPr>
            <w:r>
              <w:t>本年支出合计</w:t>
            </w:r>
          </w:p>
        </w:tc>
        <w:tc>
          <w:tcPr>
            <w:tcW w:w="1474" w:type="dxa"/>
            <w:vAlign w:val="center"/>
          </w:tcPr>
          <w:p>
            <w:pPr>
              <w:pStyle w:val="19"/>
            </w:pPr>
            <w:r>
              <w:t>1648.65</w:t>
            </w:r>
          </w:p>
        </w:tc>
        <w:tc>
          <w:tcPr>
            <w:tcW w:w="1474" w:type="dxa"/>
            <w:vAlign w:val="center"/>
          </w:tcPr>
          <w:p>
            <w:pPr>
              <w:pStyle w:val="19"/>
            </w:pPr>
            <w:r>
              <w:t>1648.65</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1648.65</w:t>
            </w:r>
          </w:p>
        </w:tc>
        <w:tc>
          <w:tcPr>
            <w:tcW w:w="3402" w:type="dxa"/>
            <w:vAlign w:val="center"/>
          </w:tcPr>
          <w:p>
            <w:pPr>
              <w:pStyle w:val="18"/>
            </w:pPr>
            <w:r>
              <w:t>支出总计</w:t>
            </w:r>
          </w:p>
        </w:tc>
        <w:tc>
          <w:tcPr>
            <w:tcW w:w="1474" w:type="dxa"/>
            <w:vAlign w:val="center"/>
          </w:tcPr>
          <w:p>
            <w:pPr>
              <w:pStyle w:val="19"/>
            </w:pPr>
            <w:r>
              <w:t>1648.65</w:t>
            </w:r>
          </w:p>
        </w:tc>
        <w:tc>
          <w:tcPr>
            <w:tcW w:w="1474" w:type="dxa"/>
            <w:vAlign w:val="center"/>
          </w:tcPr>
          <w:p>
            <w:pPr>
              <w:pStyle w:val="19"/>
            </w:pPr>
            <w:r>
              <w:t>1648.65</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938001无极县里城道乡人民政府本级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1648.65</w:t>
            </w:r>
          </w:p>
        </w:tc>
        <w:tc>
          <w:tcPr>
            <w:tcW w:w="2551" w:type="dxa"/>
            <w:vAlign w:val="center"/>
          </w:tcPr>
          <w:p>
            <w:pPr>
              <w:pStyle w:val="19"/>
            </w:pPr>
            <w:r>
              <w:t>1551.65</w:t>
            </w:r>
          </w:p>
        </w:tc>
        <w:tc>
          <w:tcPr>
            <w:tcW w:w="2551" w:type="dxa"/>
            <w:vAlign w:val="center"/>
          </w:tcPr>
          <w:p>
            <w:pPr>
              <w:pStyle w:val="19"/>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1442.40</w:t>
            </w:r>
          </w:p>
        </w:tc>
        <w:tc>
          <w:tcPr>
            <w:tcW w:w="2551" w:type="dxa"/>
            <w:vAlign w:val="center"/>
          </w:tcPr>
          <w:p>
            <w:pPr>
              <w:pStyle w:val="15"/>
            </w:pPr>
            <w:r>
              <w:t>1442.40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1442.40</w:t>
            </w:r>
          </w:p>
        </w:tc>
        <w:tc>
          <w:tcPr>
            <w:tcW w:w="2551" w:type="dxa"/>
            <w:vAlign w:val="center"/>
          </w:tcPr>
          <w:p>
            <w:pPr>
              <w:pStyle w:val="15"/>
            </w:pPr>
            <w:r>
              <w:t>1442.40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2010301</w:t>
            </w:r>
          </w:p>
        </w:tc>
        <w:tc>
          <w:tcPr>
            <w:tcW w:w="4535" w:type="dxa"/>
            <w:vAlign w:val="center"/>
          </w:tcPr>
          <w:p>
            <w:pPr>
              <w:pStyle w:val="16"/>
            </w:pPr>
            <w:r>
              <w:t>行政运行</w:t>
            </w:r>
          </w:p>
        </w:tc>
        <w:tc>
          <w:tcPr>
            <w:tcW w:w="2551" w:type="dxa"/>
            <w:vAlign w:val="center"/>
          </w:tcPr>
          <w:p>
            <w:pPr>
              <w:pStyle w:val="15"/>
            </w:pPr>
            <w:r>
              <w:t>1442.40</w:t>
            </w:r>
          </w:p>
        </w:tc>
        <w:tc>
          <w:tcPr>
            <w:tcW w:w="2551" w:type="dxa"/>
            <w:vAlign w:val="center"/>
          </w:tcPr>
          <w:p>
            <w:pPr>
              <w:pStyle w:val="15"/>
            </w:pPr>
            <w:r>
              <w:t>1442.40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72.00</w:t>
            </w:r>
          </w:p>
        </w:tc>
        <w:tc>
          <w:tcPr>
            <w:tcW w:w="2551" w:type="dxa"/>
            <w:vAlign w:val="center"/>
          </w:tcPr>
          <w:p>
            <w:pPr>
              <w:pStyle w:val="15"/>
            </w:pPr>
            <w:r>
              <w:t>72.00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72.00</w:t>
            </w:r>
          </w:p>
        </w:tc>
        <w:tc>
          <w:tcPr>
            <w:tcW w:w="2551" w:type="dxa"/>
            <w:vAlign w:val="center"/>
          </w:tcPr>
          <w:p>
            <w:pPr>
              <w:pStyle w:val="15"/>
            </w:pPr>
            <w:r>
              <w:t>72.00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72.00</w:t>
            </w:r>
          </w:p>
        </w:tc>
        <w:tc>
          <w:tcPr>
            <w:tcW w:w="2551" w:type="dxa"/>
            <w:vAlign w:val="center"/>
          </w:tcPr>
          <w:p>
            <w:pPr>
              <w:pStyle w:val="15"/>
            </w:pPr>
            <w:r>
              <w:t>72.00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37.25</w:t>
            </w:r>
          </w:p>
        </w:tc>
        <w:tc>
          <w:tcPr>
            <w:tcW w:w="2551" w:type="dxa"/>
            <w:vAlign w:val="center"/>
          </w:tcPr>
          <w:p>
            <w:pPr>
              <w:pStyle w:val="15"/>
            </w:pPr>
            <w:r>
              <w:t>37.25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37.25</w:t>
            </w:r>
          </w:p>
        </w:tc>
        <w:tc>
          <w:tcPr>
            <w:tcW w:w="2551" w:type="dxa"/>
            <w:vAlign w:val="center"/>
          </w:tcPr>
          <w:p>
            <w:pPr>
              <w:pStyle w:val="15"/>
            </w:pPr>
            <w:r>
              <w:t>37.25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37.25</w:t>
            </w:r>
          </w:p>
        </w:tc>
        <w:tc>
          <w:tcPr>
            <w:tcW w:w="2551" w:type="dxa"/>
            <w:vAlign w:val="center"/>
          </w:tcPr>
          <w:p>
            <w:pPr>
              <w:pStyle w:val="15"/>
            </w:pPr>
            <w:r>
              <w:t>37.25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230</w:t>
            </w:r>
          </w:p>
        </w:tc>
        <w:tc>
          <w:tcPr>
            <w:tcW w:w="4535" w:type="dxa"/>
            <w:vAlign w:val="center"/>
          </w:tcPr>
          <w:p>
            <w:pPr>
              <w:pStyle w:val="16"/>
            </w:pPr>
            <w:r>
              <w:t>转移性支出</w:t>
            </w:r>
          </w:p>
        </w:tc>
        <w:tc>
          <w:tcPr>
            <w:tcW w:w="2551" w:type="dxa"/>
            <w:vAlign w:val="center"/>
          </w:tcPr>
          <w:p>
            <w:pPr>
              <w:pStyle w:val="15"/>
            </w:pPr>
            <w:r>
              <w:t>97.00</w:t>
            </w:r>
          </w:p>
        </w:tc>
        <w:tc>
          <w:tcPr>
            <w:tcW w:w="2551" w:type="dxa"/>
            <w:vAlign w:val="center"/>
          </w:tcPr>
          <w:p>
            <w:pPr>
              <w:pStyle w:val="15"/>
            </w:pPr>
          </w:p>
        </w:tc>
        <w:tc>
          <w:tcPr>
            <w:tcW w:w="2551" w:type="dxa"/>
            <w:vAlign w:val="center"/>
          </w:tcPr>
          <w:p>
            <w:pPr>
              <w:pStyle w:val="15"/>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23002</w:t>
            </w:r>
          </w:p>
        </w:tc>
        <w:tc>
          <w:tcPr>
            <w:tcW w:w="4535" w:type="dxa"/>
            <w:vAlign w:val="center"/>
          </w:tcPr>
          <w:p>
            <w:pPr>
              <w:pStyle w:val="16"/>
            </w:pPr>
            <w:r>
              <w:t>一般性转移支付</w:t>
            </w:r>
          </w:p>
        </w:tc>
        <w:tc>
          <w:tcPr>
            <w:tcW w:w="2551" w:type="dxa"/>
            <w:vAlign w:val="center"/>
          </w:tcPr>
          <w:p>
            <w:pPr>
              <w:pStyle w:val="15"/>
            </w:pPr>
            <w:r>
              <w:t>97.00</w:t>
            </w:r>
          </w:p>
        </w:tc>
        <w:tc>
          <w:tcPr>
            <w:tcW w:w="2551" w:type="dxa"/>
            <w:vAlign w:val="center"/>
          </w:tcPr>
          <w:p>
            <w:pPr>
              <w:pStyle w:val="15"/>
            </w:pPr>
          </w:p>
        </w:tc>
        <w:tc>
          <w:tcPr>
            <w:tcW w:w="2551" w:type="dxa"/>
            <w:vAlign w:val="center"/>
          </w:tcPr>
          <w:p>
            <w:pPr>
              <w:pStyle w:val="15"/>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2300228</w:t>
            </w:r>
          </w:p>
        </w:tc>
        <w:tc>
          <w:tcPr>
            <w:tcW w:w="4535" w:type="dxa"/>
            <w:vAlign w:val="center"/>
          </w:tcPr>
          <w:p>
            <w:pPr>
              <w:pStyle w:val="16"/>
            </w:pPr>
            <w:r>
              <w:t>革命老区转移支付支出</w:t>
            </w:r>
          </w:p>
        </w:tc>
        <w:tc>
          <w:tcPr>
            <w:tcW w:w="2551" w:type="dxa"/>
            <w:vAlign w:val="center"/>
          </w:tcPr>
          <w:p>
            <w:pPr>
              <w:pStyle w:val="15"/>
            </w:pPr>
            <w:r>
              <w:t>97.00</w:t>
            </w:r>
          </w:p>
        </w:tc>
        <w:tc>
          <w:tcPr>
            <w:tcW w:w="2551" w:type="dxa"/>
            <w:vAlign w:val="center"/>
          </w:tcPr>
          <w:p>
            <w:pPr>
              <w:pStyle w:val="15"/>
            </w:pPr>
          </w:p>
        </w:tc>
        <w:tc>
          <w:tcPr>
            <w:tcW w:w="2551" w:type="dxa"/>
            <w:vAlign w:val="center"/>
          </w:tcPr>
          <w:p>
            <w:pPr>
              <w:pStyle w:val="15"/>
            </w:pPr>
            <w:r>
              <w:t>97.00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938001无极县里城道乡人民政府本级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1551.65</w:t>
            </w:r>
          </w:p>
        </w:tc>
        <w:tc>
          <w:tcPr>
            <w:tcW w:w="2551" w:type="dxa"/>
            <w:vAlign w:val="center"/>
          </w:tcPr>
          <w:p>
            <w:pPr>
              <w:pStyle w:val="19"/>
            </w:pPr>
            <w:r>
              <w:t>802.65</w:t>
            </w:r>
          </w:p>
        </w:tc>
        <w:tc>
          <w:tcPr>
            <w:tcW w:w="2551" w:type="dxa"/>
            <w:vAlign w:val="center"/>
          </w:tcPr>
          <w:p>
            <w:pPr>
              <w:pStyle w:val="19"/>
            </w:pPr>
            <w:r>
              <w:t>749.00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794.95</w:t>
            </w:r>
          </w:p>
        </w:tc>
        <w:tc>
          <w:tcPr>
            <w:tcW w:w="2551" w:type="dxa"/>
            <w:vAlign w:val="center"/>
          </w:tcPr>
          <w:p>
            <w:pPr>
              <w:pStyle w:val="15"/>
            </w:pPr>
            <w:r>
              <w:t>794.95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292.50</w:t>
            </w:r>
          </w:p>
        </w:tc>
        <w:tc>
          <w:tcPr>
            <w:tcW w:w="2551" w:type="dxa"/>
            <w:vAlign w:val="center"/>
          </w:tcPr>
          <w:p>
            <w:pPr>
              <w:pStyle w:val="15"/>
            </w:pPr>
            <w:r>
              <w:t>292.50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200.00</w:t>
            </w:r>
          </w:p>
        </w:tc>
        <w:tc>
          <w:tcPr>
            <w:tcW w:w="2551" w:type="dxa"/>
            <w:vAlign w:val="center"/>
          </w:tcPr>
          <w:p>
            <w:pPr>
              <w:pStyle w:val="15"/>
            </w:pPr>
            <w:r>
              <w:t>200.00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114.40</w:t>
            </w:r>
          </w:p>
        </w:tc>
        <w:tc>
          <w:tcPr>
            <w:tcW w:w="2551" w:type="dxa"/>
            <w:vAlign w:val="center"/>
          </w:tcPr>
          <w:p>
            <w:pPr>
              <w:pStyle w:val="15"/>
            </w:pPr>
            <w:r>
              <w:t>114.40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75.00</w:t>
            </w:r>
          </w:p>
        </w:tc>
        <w:tc>
          <w:tcPr>
            <w:tcW w:w="2551" w:type="dxa"/>
            <w:vAlign w:val="center"/>
          </w:tcPr>
          <w:p>
            <w:pPr>
              <w:pStyle w:val="15"/>
            </w:pPr>
            <w:r>
              <w:t>75.00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72.00</w:t>
            </w:r>
          </w:p>
        </w:tc>
        <w:tc>
          <w:tcPr>
            <w:tcW w:w="2551" w:type="dxa"/>
            <w:vAlign w:val="center"/>
          </w:tcPr>
          <w:p>
            <w:pPr>
              <w:pStyle w:val="15"/>
            </w:pPr>
            <w:r>
              <w:t>72.00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城镇职工基本医疗保险缴费</w:t>
            </w:r>
          </w:p>
        </w:tc>
        <w:tc>
          <w:tcPr>
            <w:tcW w:w="2551" w:type="dxa"/>
            <w:vAlign w:val="center"/>
          </w:tcPr>
          <w:p>
            <w:pPr>
              <w:pStyle w:val="15"/>
            </w:pPr>
            <w:r>
              <w:t>37.25</w:t>
            </w:r>
          </w:p>
        </w:tc>
        <w:tc>
          <w:tcPr>
            <w:tcW w:w="2551" w:type="dxa"/>
            <w:vAlign w:val="center"/>
          </w:tcPr>
          <w:p>
            <w:pPr>
              <w:pStyle w:val="15"/>
            </w:pPr>
            <w:r>
              <w:t>37.25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3.80</w:t>
            </w:r>
          </w:p>
        </w:tc>
        <w:tc>
          <w:tcPr>
            <w:tcW w:w="2551" w:type="dxa"/>
            <w:vAlign w:val="center"/>
          </w:tcPr>
          <w:p>
            <w:pPr>
              <w:pStyle w:val="15"/>
            </w:pPr>
            <w:r>
              <w:t>3.80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749.00</w:t>
            </w:r>
          </w:p>
        </w:tc>
        <w:tc>
          <w:tcPr>
            <w:tcW w:w="2551" w:type="dxa"/>
            <w:vAlign w:val="center"/>
          </w:tcPr>
          <w:p>
            <w:pPr>
              <w:pStyle w:val="15"/>
            </w:pPr>
          </w:p>
        </w:tc>
        <w:tc>
          <w:tcPr>
            <w:tcW w:w="2551" w:type="dxa"/>
            <w:vAlign w:val="center"/>
          </w:tcPr>
          <w:p>
            <w:pPr>
              <w:pStyle w:val="15"/>
            </w:pPr>
            <w:r>
              <w:t>749.00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692.15</w:t>
            </w:r>
          </w:p>
        </w:tc>
        <w:tc>
          <w:tcPr>
            <w:tcW w:w="2551" w:type="dxa"/>
            <w:vAlign w:val="center"/>
          </w:tcPr>
          <w:p>
            <w:pPr>
              <w:pStyle w:val="15"/>
            </w:pPr>
          </w:p>
        </w:tc>
        <w:tc>
          <w:tcPr>
            <w:tcW w:w="2551" w:type="dxa"/>
            <w:vAlign w:val="center"/>
          </w:tcPr>
          <w:p>
            <w:pPr>
              <w:pStyle w:val="15"/>
            </w:pPr>
            <w:r>
              <w:t>692.15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15.00</w:t>
            </w:r>
          </w:p>
        </w:tc>
        <w:tc>
          <w:tcPr>
            <w:tcW w:w="2551" w:type="dxa"/>
            <w:vAlign w:val="center"/>
          </w:tcPr>
          <w:p>
            <w:pPr>
              <w:pStyle w:val="15"/>
            </w:pPr>
          </w:p>
        </w:tc>
        <w:tc>
          <w:tcPr>
            <w:tcW w:w="2551"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30215</w:t>
            </w:r>
          </w:p>
        </w:tc>
        <w:tc>
          <w:tcPr>
            <w:tcW w:w="4535" w:type="dxa"/>
            <w:vAlign w:val="center"/>
          </w:tcPr>
          <w:p>
            <w:pPr>
              <w:pStyle w:val="16"/>
            </w:pPr>
            <w:r>
              <w:t>会议费</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30216</w:t>
            </w:r>
          </w:p>
        </w:tc>
        <w:tc>
          <w:tcPr>
            <w:tcW w:w="4535" w:type="dxa"/>
            <w:vAlign w:val="center"/>
          </w:tcPr>
          <w:p>
            <w:pPr>
              <w:pStyle w:val="16"/>
            </w:pPr>
            <w:r>
              <w:t>培训费</w:t>
            </w:r>
          </w:p>
        </w:tc>
        <w:tc>
          <w:tcPr>
            <w:tcW w:w="2551" w:type="dxa"/>
            <w:vAlign w:val="center"/>
          </w:tcPr>
          <w:p>
            <w:pPr>
              <w:pStyle w:val="15"/>
            </w:pPr>
            <w:r>
              <w:t>2.85</w:t>
            </w:r>
          </w:p>
        </w:tc>
        <w:tc>
          <w:tcPr>
            <w:tcW w:w="2551" w:type="dxa"/>
            <w:vAlign w:val="center"/>
          </w:tcPr>
          <w:p>
            <w:pPr>
              <w:pStyle w:val="15"/>
            </w:pPr>
          </w:p>
        </w:tc>
        <w:tc>
          <w:tcPr>
            <w:tcW w:w="2551" w:type="dxa"/>
            <w:vAlign w:val="center"/>
          </w:tcPr>
          <w:p>
            <w:pPr>
              <w:pStyle w:val="15"/>
            </w:pPr>
            <w:r>
              <w:t>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31.00</w:t>
            </w:r>
          </w:p>
        </w:tc>
        <w:tc>
          <w:tcPr>
            <w:tcW w:w="2551" w:type="dxa"/>
            <w:vAlign w:val="center"/>
          </w:tcPr>
          <w:p>
            <w:pPr>
              <w:pStyle w:val="15"/>
            </w:pPr>
          </w:p>
        </w:tc>
        <w:tc>
          <w:tcPr>
            <w:tcW w:w="2551" w:type="dxa"/>
            <w:vAlign w:val="center"/>
          </w:tcPr>
          <w:p>
            <w:pPr>
              <w:pStyle w:val="15"/>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4.00</w:t>
            </w:r>
          </w:p>
        </w:tc>
        <w:tc>
          <w:tcPr>
            <w:tcW w:w="2551" w:type="dxa"/>
            <w:vAlign w:val="center"/>
          </w:tcPr>
          <w:p>
            <w:pPr>
              <w:pStyle w:val="15"/>
            </w:pPr>
          </w:p>
        </w:tc>
        <w:tc>
          <w:tcPr>
            <w:tcW w:w="2551"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7.70</w:t>
            </w:r>
          </w:p>
        </w:tc>
        <w:tc>
          <w:tcPr>
            <w:tcW w:w="2551" w:type="dxa"/>
            <w:vAlign w:val="center"/>
          </w:tcPr>
          <w:p>
            <w:pPr>
              <w:pStyle w:val="15"/>
            </w:pPr>
            <w:r>
              <w:t>7.70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7.70</w:t>
            </w:r>
          </w:p>
        </w:tc>
        <w:tc>
          <w:tcPr>
            <w:tcW w:w="2551" w:type="dxa"/>
            <w:vAlign w:val="center"/>
          </w:tcPr>
          <w:p>
            <w:pPr>
              <w:pStyle w:val="15"/>
            </w:pPr>
            <w:r>
              <w:t>7.70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938001无极县里城道乡人民政府本级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938001无极县里城道乡人民政府本级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938001无极县里城道乡人民政府本级</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rPr>
                <w:rFonts w:hint="eastAsia" w:eastAsia="方正书宋_GBK"/>
                <w:lang w:eastAsia="zh-CN"/>
              </w:rPr>
            </w:pPr>
            <w:r>
              <w:rPr>
                <w:rFonts w:hint="eastAsia"/>
                <w:lang w:val="en-US" w:eastAsia="zh-CN"/>
              </w:rPr>
              <w:t>合计</w:t>
            </w:r>
          </w:p>
        </w:tc>
        <w:tc>
          <w:tcPr>
            <w:tcW w:w="2381" w:type="dxa"/>
            <w:vAlign w:val="center"/>
          </w:tcPr>
          <w:p>
            <w:pPr>
              <w:pStyle w:val="19"/>
              <w:rPr>
                <w:rFonts w:hint="default" w:eastAsia="方正书宋_GBK"/>
                <w:lang w:val="en-US" w:eastAsia="zh-CN"/>
              </w:rPr>
            </w:pPr>
            <w:r>
              <w:rPr>
                <w:rFonts w:hint="eastAsia"/>
                <w:lang w:val="en-US" w:eastAsia="zh-CN"/>
              </w:rPr>
              <w:t>3.00</w:t>
            </w:r>
          </w:p>
        </w:tc>
        <w:tc>
          <w:tcPr>
            <w:tcW w:w="2381" w:type="dxa"/>
            <w:vAlign w:val="center"/>
          </w:tcPr>
          <w:p>
            <w:pPr>
              <w:pStyle w:val="19"/>
              <w:rPr>
                <w:rFonts w:hint="default" w:eastAsia="方正书宋_GBK"/>
                <w:lang w:val="en-US" w:eastAsia="zh-CN"/>
              </w:rPr>
            </w:pPr>
            <w:r>
              <w:rPr>
                <w:rFonts w:hint="eastAsia"/>
                <w:lang w:val="en-US" w:eastAsia="zh-CN"/>
              </w:rPr>
              <w:t>3.00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 xml:space="preserve">    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二、公务用车购置及运维费</w:t>
            </w:r>
          </w:p>
        </w:tc>
        <w:tc>
          <w:tcPr>
            <w:tcW w:w="2381" w:type="dxa"/>
            <w:vAlign w:val="center"/>
          </w:tcPr>
          <w:p>
            <w:pPr>
              <w:pStyle w:val="15"/>
              <w:rPr>
                <w:rFonts w:hint="default" w:eastAsia="方正书宋_GBK"/>
                <w:lang w:val="en-US" w:eastAsia="zh-CN"/>
              </w:rPr>
            </w:pPr>
            <w:r>
              <w:rPr>
                <w:rFonts w:hint="eastAsia"/>
                <w:lang w:val="en-US" w:eastAsia="zh-CN"/>
              </w:rPr>
              <w:t>3.00</w:t>
            </w:r>
          </w:p>
        </w:tc>
        <w:tc>
          <w:tcPr>
            <w:tcW w:w="2381" w:type="dxa"/>
            <w:vAlign w:val="center"/>
          </w:tcPr>
          <w:p>
            <w:pPr>
              <w:pStyle w:val="15"/>
              <w:rPr>
                <w:rFonts w:hint="default" w:eastAsia="方正书宋_GBK"/>
                <w:lang w:val="en-US" w:eastAsia="zh-CN"/>
              </w:rPr>
            </w:pPr>
            <w:r>
              <w:rPr>
                <w:rFonts w:hint="eastAsia"/>
                <w:lang w:val="en-US" w:eastAsia="zh-CN"/>
              </w:rP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公务用车运行维护费</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无极县里城道乡人民政府本级2022年单位预算信息公开情况说明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按照《预算法》、《地方预决算公开操作规程》和《关于进一步推进预算公开工作的实施意见》规定，现将无极县里城道乡人民政府本级2022年单位预算公开如下：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2022年，是落实乡村振兴及“十四五”规划的关键之年，里城道乡党委、政府坚持以习近平新时代中国特色社会主义思想为指导，深入贯彻落实党的十九大和十九届六中全会精神，持续深化“五心”党建，全面发挥党的领导核心和政治核心作用，全力引领改革、推动改革，推进“四点、四线”发展，重点谋划“乡政府所在地、津石高速出口、石雄高铁站周边、鸿瑞产业园”“四点”建设，加快“津石高速、石雄高铁沿线，无繁线、定魏线”“四线”经济长廊建设，点线结合，以点带面，推动全乡经济社会实现高质量发展。</w:t>
      </w:r>
    </w:p>
    <w:p>
      <w:pPr>
        <w:pStyle w:val="29"/>
      </w:pPr>
      <w:r>
        <w:t>（一）全力以赴推进经济发展</w:t>
      </w:r>
    </w:p>
    <w:p>
      <w:pPr>
        <w:pStyle w:val="29"/>
      </w:pPr>
      <w:r>
        <w:t>在大力推进我乡现有项目的同时，充分利用我乡无繁线、定魏线两条省道的便利交通条件，结合津石高速高速路口和石雄城际高铁无极站建设总体规划，以河北润成国际仓储物流园为主体，大力发展商贸物流产业。同时，借助城北教育园区设立的契机，积极对接北京市外迁学校、企业等单位，为我乡引进更多、更好的优势项目。始终坚持跑办项目抓跟踪、促签约，拟建项目抓开工、促落地；项目建设抓进度、促投产，提服务、增效益，谋划一个，落地一个，开工一个，保持项目建设良性循环，不断打造新的经济增长点。大力支持民营企业、中小企业发展，拓展创优投资，加大招商创业扶持力度，精心做好项目储备；落实相关优惠政策，搭建良好投资创业平台，积极引导在外创业成功人士返乡投资创业，形成全方位、多元化的招商引资格局。按照“产业生态化、生态产业化”要求，探索农业产业发展新路径。</w:t>
      </w:r>
    </w:p>
    <w:p>
      <w:pPr>
        <w:pStyle w:val="29"/>
      </w:pPr>
      <w:r>
        <w:t>（二）切实加强生态环境保护</w:t>
      </w:r>
    </w:p>
    <w:p>
      <w:pPr>
        <w:pStyle w:val="29"/>
      </w:pPr>
      <w:r>
        <w:t>加强环境保护宣传工作，增强广大群众的环保意识。提高公众关心生产生活环境、主动参与环境建设、依法维护自身环境权益的自觉性；持续深入推进大气、水、土壤污染治理工作，继续落实“散乱污”治理和大气污染治理工作的长效监管机制，保持治理效果，防止问题反复。结合县直单位加强企业日常监管，铁腕治污，发现一起，查处一起，切实担负起工作责任；深入落实大气污染治理节能减排各项措施，强化扬尘治理管控；持续加强“三禁”工作力度，加大宣传，强化网格化监管，快速反应，严肃责任追究。</w:t>
      </w:r>
    </w:p>
    <w:p>
      <w:pPr>
        <w:pStyle w:val="29"/>
      </w:pPr>
      <w:r>
        <w:t>（三）不断深化基层党建工作</w:t>
      </w:r>
    </w:p>
    <w:p>
      <w:pPr>
        <w:pStyle w:val="29"/>
      </w:pPr>
      <w:r>
        <w:t>深入学习贯彻习近平新时代中国特色社会主义思想，坚持党的绝对领导，严格落实民主生活会等党内基本制度，坚持和完善党委中心理论组学习等各项学习制度，把基层党建工作抓具体、抓深入，持续推进党风廉政建设工作。依托李狄三红色资源，引导党员干部学史明理、学史增信、学史崇德、学史力行。逐步探索建立持续发现、梯次培养优秀后备干部的常态化机制，壮大青年后备力量队伍，保证后备力量素质高、结构优、数量足，及时有效为基层党组织输送新鲜血液，把新时代青年力量聚焦到我乡各项事业发展中来。</w:t>
      </w:r>
    </w:p>
    <w:p>
      <w:pPr>
        <w:pStyle w:val="29"/>
      </w:pPr>
      <w:r>
        <w:t>（四）统筹推进美丽乡村建设</w:t>
      </w:r>
    </w:p>
    <w:p>
      <w:pPr>
        <w:pStyle w:val="29"/>
      </w:pPr>
      <w:r>
        <w:t>以“建设新村居、完善新设施、营造新环境、造就新农民、形成新风尚、健全新保障”为重点，扎实推进美丽乡村建设。全方位开展农村环境卫生综合整治。推进街道、农户整治保洁，绿化美化村落庭院。维护好无繁线、定魏线沿线环境绿化成果，打造国省干道优质景观。加强农村基层组织和精神文明建设，加强农村居民现代文明意识和法律法规教育，建立健全相关制度。</w:t>
      </w:r>
    </w:p>
    <w:p>
      <w:pPr>
        <w:pStyle w:val="29"/>
      </w:pPr>
      <w:r>
        <w:t>(五)全面保障改善民生</w:t>
      </w:r>
    </w:p>
    <w:p>
      <w:pPr>
        <w:pStyle w:val="29"/>
      </w:pPr>
      <w:r>
        <w:t>拓展提升民生工程，完善社会保障体系。深入推进养老、医疗保险工作，确保城乡居民养老保险制度全覆盖。加强农村五保、优抚对象、低保的审核，切实做到民生工程真正惠民。深入开展防返贫工作，在对脱贫人口实施动态监测，不断完善产业扶贫利益联结机制，鼓励并支持其自主创业，激发内生动力，同时结合乡镇企业为边缘户、监测户创造就业岗位，造拓宽其就业途径。</w:t>
      </w:r>
    </w:p>
    <w:p>
      <w:pPr>
        <w:pStyle w:val="29"/>
      </w:pPr>
      <w:r>
        <w:t>（六）促进社会大局保持稳定</w:t>
      </w:r>
    </w:p>
    <w:p>
      <w:pPr>
        <w:pStyle w:val="29"/>
      </w:pPr>
      <w:r>
        <w:t>扎实推进安全生产工作。认真落实安全生产“一岗双责”，加大安全生产监管力度，及时排查整治安全隐患，强化食品、药品质量安全监管，防止安全事故发生。社会治安形势保持稳定。加强社会治安管理，严厉打击违法犯罪和恶意影响公共秩序行为，全面提升防范和处置突发事件能力，杜绝重大群体性事件和恶性治安案件发生，保障我乡社会环境安全稳定。矛盾纠纷化解有序有效。加强信访和司法调解工作，注重提前介入、重心下移，加强对涉军等特殊群体关注力度及时，化解群众反映强烈的突出问题，主动做好宣传解释、沟通关怀工作，确保全乡大局稳定和谐。</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无极县里城道乡人民政府本级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30"/>
      </w:pPr>
      <w:r>
        <w:t>按照预算管理有关规定，目前我</w:t>
      </w:r>
      <w:r>
        <w:rPr>
          <w:rFonts w:hint="eastAsia"/>
          <w:lang w:val="en-US" w:eastAsia="zh-CN"/>
        </w:rPr>
        <w:t>县单位</w:t>
      </w:r>
      <w:r>
        <w:t>预算的编制实行综合预算管理，即全部收入和支出都反映在预算中。里城道乡机关及所属事业单位的收支包含在</w:t>
      </w:r>
      <w:r>
        <w:rPr>
          <w:rFonts w:hint="eastAsia"/>
          <w:lang w:val="en-US" w:eastAsia="zh-CN"/>
        </w:rPr>
        <w:t>单位</w:t>
      </w:r>
      <w:r>
        <w:t>预算中。</w:t>
      </w:r>
    </w:p>
    <w:p>
      <w:pPr>
        <w:pStyle w:val="22"/>
      </w:pPr>
      <w:r>
        <w:t>1、收入说明</w:t>
      </w:r>
    </w:p>
    <w:p>
      <w:pPr>
        <w:pStyle w:val="22"/>
      </w:pPr>
      <w:r>
        <w:t>反映本</w:t>
      </w:r>
      <w:r>
        <w:rPr>
          <w:rFonts w:hint="eastAsia"/>
          <w:lang w:val="en-US" w:eastAsia="zh-CN"/>
        </w:rPr>
        <w:t>单位</w:t>
      </w:r>
      <w:r>
        <w:t>当年全部收入。2022年预算收入</w:t>
      </w:r>
      <w:r>
        <w:rPr>
          <w:rFonts w:hint="eastAsia"/>
          <w:lang w:val="en-US" w:eastAsia="zh-CN"/>
        </w:rPr>
        <w:t>1648.65</w:t>
      </w:r>
      <w:r>
        <w:t>万元，其中：一般公共预算收入</w:t>
      </w:r>
      <w:r>
        <w:rPr>
          <w:rFonts w:hint="eastAsia"/>
          <w:lang w:val="en-US" w:eastAsia="zh-CN"/>
        </w:rPr>
        <w:t>1648.65</w:t>
      </w:r>
      <w:r>
        <w:t>万元，基金预算收入0万元，财政专户核拨收入0万元，其他来源收入0万元。</w:t>
      </w:r>
    </w:p>
    <w:p>
      <w:pPr>
        <w:pStyle w:val="22"/>
      </w:pPr>
      <w:r>
        <w:t>2、支出说明</w:t>
      </w:r>
    </w:p>
    <w:p>
      <w:pPr>
        <w:pStyle w:val="22"/>
      </w:pPr>
      <w:r>
        <w:t>收支预算总表支出栏、基本支出表、项目支出表按经济分类和支出功能分类科目编制，反映本</w:t>
      </w:r>
      <w:r>
        <w:rPr>
          <w:rFonts w:hint="eastAsia"/>
          <w:lang w:val="en-US" w:eastAsia="zh-CN"/>
        </w:rPr>
        <w:t>单位</w:t>
      </w:r>
      <w:r>
        <w:t>年度</w:t>
      </w:r>
      <w:r>
        <w:rPr>
          <w:rFonts w:hint="eastAsia"/>
          <w:lang w:val="en-US" w:eastAsia="zh-CN"/>
        </w:rPr>
        <w:t>单位</w:t>
      </w:r>
      <w:r>
        <w:t>预算中支出预算的总体情况。2022年</w:t>
      </w:r>
      <w:r>
        <w:rPr>
          <w:rFonts w:hint="eastAsia"/>
          <w:lang w:val="en-US" w:eastAsia="zh-CN"/>
        </w:rPr>
        <w:t>单位</w:t>
      </w:r>
      <w:r>
        <w:t>支出预算为</w:t>
      </w:r>
      <w:r>
        <w:rPr>
          <w:rFonts w:hint="eastAsia"/>
          <w:lang w:val="en-US" w:eastAsia="zh-CN"/>
        </w:rPr>
        <w:t>1648.65</w:t>
      </w:r>
      <w:r>
        <w:t>万元，其中基本支出</w:t>
      </w:r>
      <w:r>
        <w:rPr>
          <w:rFonts w:hint="eastAsia"/>
          <w:lang w:val="en-US" w:eastAsia="zh-CN"/>
        </w:rPr>
        <w:t>1648.65</w:t>
      </w:r>
      <w:r>
        <w:t>万元，包括人员经费</w:t>
      </w:r>
      <w:r>
        <w:rPr>
          <w:rFonts w:hint="eastAsia"/>
          <w:lang w:val="en-US" w:eastAsia="zh-CN"/>
        </w:rPr>
        <w:t>802.65</w:t>
      </w:r>
      <w:r>
        <w:t>万元和日常公用经费</w:t>
      </w:r>
      <w:r>
        <w:rPr>
          <w:rFonts w:hint="eastAsia"/>
          <w:lang w:val="en-US" w:eastAsia="zh-CN"/>
        </w:rPr>
        <w:t>749.00</w:t>
      </w:r>
      <w:r>
        <w:t>万元；项目支出97万元，主要为赵正寺革命老区项目。</w:t>
      </w:r>
    </w:p>
    <w:p>
      <w:pPr>
        <w:pStyle w:val="22"/>
      </w:pPr>
      <w:r>
        <w:t>3、比上年增减情况</w:t>
      </w:r>
    </w:p>
    <w:p>
      <w:pPr>
        <w:pStyle w:val="22"/>
      </w:pPr>
      <w:r>
        <w:t>2022年</w:t>
      </w:r>
      <w:r>
        <w:rPr>
          <w:rFonts w:hint="eastAsia"/>
          <w:lang w:val="en-US" w:eastAsia="zh-CN"/>
        </w:rPr>
        <w:t>单位</w:t>
      </w:r>
      <w:r>
        <w:t>预算收支安排1196.3万元，较2021年</w:t>
      </w:r>
      <w:r>
        <w:rPr>
          <w:rFonts w:hint="eastAsia"/>
          <w:lang w:val="en-US" w:eastAsia="zh-CN"/>
        </w:rPr>
        <w:t>增加452.35</w:t>
      </w:r>
      <w:r>
        <w:t>万元，其中：基本支出</w:t>
      </w:r>
      <w:r>
        <w:rPr>
          <w:rFonts w:hint="eastAsia"/>
          <w:lang w:val="en-US" w:eastAsia="zh-CN"/>
        </w:rPr>
        <w:t>增加455</w:t>
      </w:r>
      <w:bookmarkStart w:id="1" w:name="_GoBack"/>
      <w:bookmarkEnd w:id="1"/>
      <w:r>
        <w:rPr>
          <w:rFonts w:hint="eastAsia"/>
          <w:lang w:val="en-US" w:eastAsia="zh-CN"/>
        </w:rPr>
        <w:t>.35</w:t>
      </w:r>
      <w:r>
        <w:t>万元，主要是</w:t>
      </w:r>
      <w:r>
        <w:rPr>
          <w:rFonts w:hint="eastAsia"/>
          <w:lang w:val="en-US" w:eastAsia="zh-CN"/>
        </w:rPr>
        <w:t>人员经费</w:t>
      </w:r>
      <w:r>
        <w:t>支出</w:t>
      </w:r>
      <w:r>
        <w:rPr>
          <w:rFonts w:hint="eastAsia"/>
          <w:lang w:val="en-US" w:eastAsia="zh-CN"/>
        </w:rPr>
        <w:t>增加</w:t>
      </w:r>
      <w:r>
        <w:t>；项目支出减</w:t>
      </w:r>
      <w:r>
        <w:rPr>
          <w:rFonts w:hint="eastAsia"/>
          <w:lang w:val="en-US" w:eastAsia="zh-CN"/>
        </w:rPr>
        <w:t>少3万元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2022年，我单位机关运行经费共计安排</w:t>
      </w:r>
      <w:r>
        <w:rPr>
          <w:rFonts w:hint="eastAsia"/>
          <w:lang w:val="en-US" w:eastAsia="zh-CN"/>
        </w:rPr>
        <w:t>749</w:t>
      </w:r>
      <w:r>
        <w:t>万元，主要用于保证机关正常运转的办公费、水费、电费、邮电费、差旅费、办公设备购置费、公务车运行维护费、公务交通补贴、印刷费、手续费等支出。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w:t>
      </w:r>
      <w:r>
        <w:rPr>
          <w:rFonts w:hint="eastAsia"/>
          <w:lang w:val="en-US" w:eastAsia="zh-CN"/>
        </w:rPr>
        <w:t>3</w:t>
      </w:r>
      <w:r>
        <w:t>万元，其中：因公出国（境）费0万元；公务用车购置及运维费3万元（其中：公务用车购置费0万元，公务用车运行维护费3万元)；公务接待费</w:t>
      </w:r>
      <w:r>
        <w:rPr>
          <w:rFonts w:hint="eastAsia"/>
          <w:lang w:val="en-US" w:eastAsia="zh-CN"/>
        </w:rPr>
        <w:t>0</w:t>
      </w:r>
      <w:r>
        <w:t>万元。与2021年相比减</w:t>
      </w:r>
      <w:r>
        <w:rPr>
          <w:rFonts w:hint="eastAsia"/>
          <w:lang w:val="en-US" w:eastAsia="zh-CN"/>
        </w:rPr>
        <w:t>少1万元</w:t>
      </w:r>
      <w:r>
        <w:t>。</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spacing w:before="10" w:after="10" w:line="240" w:lineRule="auto"/>
        <w:jc w:val="left"/>
        <w:outlineLvl w:val="5"/>
        <w:rPr>
          <w:rFonts w:ascii="Times New Roman" w:hAnsi="Times New Roman" w:eastAsia="方正仿宋_GBK" w:cs="Times New Roman"/>
          <w:sz w:val="28"/>
          <w:szCs w:val="24"/>
          <w:lang w:val="en-US" w:eastAsia="uk-UA" w:bidi="ar-SA"/>
        </w:rPr>
        <w:sectPr>
          <w:pgSz w:w="16840" w:h="11900" w:orient="landscape"/>
          <w:pgMar w:top="1361" w:right="1020" w:bottom="1361"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1、里城道乡赵正寺村道路硬化工程绩效目标表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ascii="方正仿宋_GBK" w:hAnsi="方正仿宋_GBK" w:eastAsia="方正仿宋_GBK" w:cs="方正仿宋_GBK"/>
                <w:b w:val="0"/>
                <w:bCs/>
                <w:color w:val="000000"/>
                <w:sz w:val="28"/>
              </w:rPr>
              <w:t>赵正寺村道路硬化工程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≥75</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资金发放率</w:t>
            </w:r>
          </w:p>
        </w:tc>
        <w:tc>
          <w:tcPr>
            <w:tcW w:w="2835" w:type="dxa"/>
            <w:vAlign w:val="center"/>
          </w:tcPr>
          <w:p>
            <w:pPr>
              <w:pStyle w:val="16"/>
            </w:pPr>
            <w:r>
              <w:t>资金发放率</w:t>
            </w:r>
          </w:p>
        </w:tc>
        <w:tc>
          <w:tcPr>
            <w:tcW w:w="2551" w:type="dxa"/>
            <w:vAlign w:val="center"/>
          </w:tcPr>
          <w:p>
            <w:pPr>
              <w:pStyle w:val="16"/>
            </w:pPr>
            <w:r>
              <w:t>≥75</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资金在规定时间内下达率</w:t>
            </w:r>
          </w:p>
        </w:tc>
        <w:tc>
          <w:tcPr>
            <w:tcW w:w="2835" w:type="dxa"/>
            <w:vAlign w:val="center"/>
          </w:tcPr>
          <w:p>
            <w:pPr>
              <w:pStyle w:val="16"/>
            </w:pPr>
            <w:r>
              <w:t>资金在规定时间内下达率</w:t>
            </w:r>
          </w:p>
        </w:tc>
        <w:tc>
          <w:tcPr>
            <w:tcW w:w="2551" w:type="dxa"/>
            <w:vAlign w:val="center"/>
          </w:tcPr>
          <w:p>
            <w:pPr>
              <w:pStyle w:val="16"/>
            </w:pPr>
            <w:r>
              <w:t>≥75</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完成工作需要的资金</w:t>
            </w:r>
          </w:p>
        </w:tc>
        <w:tc>
          <w:tcPr>
            <w:tcW w:w="2835" w:type="dxa"/>
            <w:vAlign w:val="center"/>
          </w:tcPr>
          <w:p>
            <w:pPr>
              <w:pStyle w:val="16"/>
            </w:pPr>
            <w:r>
              <w:t>完成工作需要的资金</w:t>
            </w:r>
          </w:p>
        </w:tc>
        <w:tc>
          <w:tcPr>
            <w:tcW w:w="2551" w:type="dxa"/>
            <w:vAlign w:val="center"/>
          </w:tcPr>
          <w:p>
            <w:pPr>
              <w:pStyle w:val="16"/>
            </w:pPr>
            <w:r>
              <w:t>≥75</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增强影响力</w:t>
            </w:r>
          </w:p>
        </w:tc>
        <w:tc>
          <w:tcPr>
            <w:tcW w:w="2835" w:type="dxa"/>
            <w:vAlign w:val="center"/>
          </w:tcPr>
          <w:p>
            <w:pPr>
              <w:pStyle w:val="16"/>
            </w:pPr>
            <w:r>
              <w:t>增强影响力</w:t>
            </w:r>
          </w:p>
        </w:tc>
        <w:tc>
          <w:tcPr>
            <w:tcW w:w="2551" w:type="dxa"/>
            <w:vAlign w:val="center"/>
          </w:tcPr>
          <w:p>
            <w:pPr>
              <w:pStyle w:val="16"/>
            </w:pPr>
            <w:r>
              <w:t>≥75</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满意度</w:t>
            </w:r>
          </w:p>
        </w:tc>
        <w:tc>
          <w:tcPr>
            <w:tcW w:w="2551" w:type="dxa"/>
            <w:vAlign w:val="center"/>
          </w:tcPr>
          <w:p>
            <w:pPr>
              <w:pStyle w:val="16"/>
            </w:pPr>
            <w:r>
              <w:t>≥75</w:t>
            </w:r>
          </w:p>
        </w:tc>
        <w:tc>
          <w:tcPr>
            <w:tcW w:w="2268" w:type="dxa"/>
            <w:vAlign w:val="center"/>
          </w:tcPr>
          <w:p>
            <w:pPr>
              <w:pStyle w:val="16"/>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2022年，无极县里城道乡人民政府本级安排政府采购预算0.00万元。具体内容见下表。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938001无极县里城道乡人民政府本级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无极县里城道乡人民政府本级上年末固定资产金额为161.24万元（详见下表）。本年度拟购置固定资产总额为0.00万元。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938001无极县里城道乡人民政府本级</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161.24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3</w:t>
            </w:r>
          </w:p>
        </w:tc>
        <w:tc>
          <w:tcPr>
            <w:tcW w:w="2835" w:type="dxa"/>
            <w:vAlign w:val="center"/>
          </w:tcPr>
          <w:p>
            <w:pPr>
              <w:pStyle w:val="15"/>
            </w:pPr>
            <w:r>
              <w:t>49.80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142</w:t>
            </w:r>
          </w:p>
        </w:tc>
        <w:tc>
          <w:tcPr>
            <w:tcW w:w="2835" w:type="dxa"/>
            <w:vAlign w:val="center"/>
          </w:tcPr>
          <w:p>
            <w:pPr>
              <w:pStyle w:val="15"/>
            </w:pPr>
            <w:r>
              <w:t>111.44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C58B45C"/>
    <w:multiLevelType w:val="singleLevel"/>
    <w:tmpl w:val="2C58B45C"/>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AA0C55"/>
    <w:rsid w:val="0E151C9F"/>
    <w:rsid w:val="0EB061EF"/>
    <w:rsid w:val="15C67CF6"/>
    <w:rsid w:val="1C5D2CC6"/>
    <w:rsid w:val="3B0E21E0"/>
    <w:rsid w:val="45646928"/>
    <w:rsid w:val="49B80CE3"/>
    <w:rsid w:val="6323259C"/>
    <w:rsid w:val="7F4B295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customXml" Target="../customXml/item14.xml"/><Relationship Id="rId23" Type="http://schemas.openxmlformats.org/officeDocument/2006/relationships/customXml" Target="../customXml/item13.xml"/><Relationship Id="rId22" Type="http://schemas.openxmlformats.org/officeDocument/2006/relationships/customXml" Target="../customXml/item12.xml"/><Relationship Id="rId21" Type="http://schemas.openxmlformats.org/officeDocument/2006/relationships/customXml" Target="../customXml/item11.xml"/><Relationship Id="rId20" Type="http://schemas.openxmlformats.org/officeDocument/2006/relationships/customXml" Target="../customXml/item10.xml"/><Relationship Id="rId2" Type="http://schemas.openxmlformats.org/officeDocument/2006/relationships/settings" Target="settings.xml"/><Relationship Id="rId19" Type="http://schemas.openxmlformats.org/officeDocument/2006/relationships/customXml" Target="../customXml/item9.xml"/><Relationship Id="rId18" Type="http://schemas.openxmlformats.org/officeDocument/2006/relationships/customXml" Target="../customXml/item8.xml"/><Relationship Id="rId17" Type="http://schemas.openxmlformats.org/officeDocument/2006/relationships/customXml" Target="../customXml/item7.xml"/><Relationship Id="rId16" Type="http://schemas.openxmlformats.org/officeDocument/2006/relationships/customXml" Target="../customXml/item6.xml"/><Relationship Id="rId15" Type="http://schemas.openxmlformats.org/officeDocument/2006/relationships/customXml" Target="../customXml/item5.xml"/><Relationship Id="rId14" Type="http://schemas.openxmlformats.org/officeDocument/2006/relationships/customXml" Target="../customXml/item4.xml"/><Relationship Id="rId13" Type="http://schemas.openxmlformats.org/officeDocument/2006/relationships/customXml" Target="../customXml/item3.xml"/><Relationship Id="rId12" Type="http://schemas.openxmlformats.org/officeDocument/2006/relationships/customXml" Target="../customXml/item2.xml"/><Relationship Id="rId11" Type="http://schemas.openxmlformats.org/officeDocument/2006/relationships/customXml" Target="../customXml/item1.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2022-06-22T17:08:38Z</dcterms:created>
  <dcterms:modified xsi:type="dcterms:W3CDTF">2022-06-22T09:08:38Z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2022-06-22T17:08:38Z</dcterms:created>
  <dcterms:modified xsi:type="dcterms:W3CDTF">2022-06-22T09:08:38Z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2022-06-22T17:08:38Z</dcterms:created>
  <dcterms:modified xsi:type="dcterms:W3CDTF">2022-06-22T09:08:38Z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2022-06-22T17:08:40Z</dcterms:created>
  <dcterms:modified xsi:type="dcterms:W3CDTF">2022-06-22T09:08:40Z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2022-06-22T17:08:40Z</dcterms:created>
  <dcterms:modified xsi:type="dcterms:W3CDTF">2022-06-22T09:08:40Z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2022-06-22T17:08:40Z</dcterms:created>
  <dcterms:modified xsi:type="dcterms:W3CDTF">2022-06-22T09:08:40Z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2022-06-22T17:08:38Z</dcterms:created>
  <dcterms:modified xsi:type="dcterms:W3CDTF">2022-06-22T09:08:38Z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24eaffa6-5572-45e1-a671-e3595d8fdc7b}">
  <ds:schemaRefs/>
</ds:datastoreItem>
</file>

<file path=customXml/itemProps10.xml><?xml version="1.0" encoding="utf-8"?>
<ds:datastoreItem xmlns:ds="http://schemas.openxmlformats.org/officeDocument/2006/customXml" ds:itemID="{b9ac5b78-dffa-49d7-b39d-a5b5bf56b6c6}">
  <ds:schemaRefs/>
</ds:datastoreItem>
</file>

<file path=customXml/itemProps11.xml><?xml version="1.0" encoding="utf-8"?>
<ds:datastoreItem xmlns:ds="http://schemas.openxmlformats.org/officeDocument/2006/customXml" ds:itemID="{af23a41a-ae0b-4ae1-9ca4-3b1d9077b8f1}">
  <ds:schemaRefs/>
</ds:datastoreItem>
</file>

<file path=customXml/itemProps12.xml><?xml version="1.0" encoding="utf-8"?>
<ds:datastoreItem xmlns:ds="http://schemas.openxmlformats.org/officeDocument/2006/customXml" ds:itemID="{076e78cf-6f27-413d-9e1b-2e142f59c6d7}">
  <ds:schemaRefs/>
</ds:datastoreItem>
</file>

<file path=customXml/itemProps13.xml><?xml version="1.0" encoding="utf-8"?>
<ds:datastoreItem xmlns:ds="http://schemas.openxmlformats.org/officeDocument/2006/customXml" ds:itemID="{a0c83e2b-95a3-43a7-805f-0d5d19406269}">
  <ds:schemaRefs/>
</ds:datastoreItem>
</file>

<file path=customXml/itemProps14.xml><?xml version="1.0" encoding="utf-8"?>
<ds:datastoreItem xmlns:ds="http://schemas.openxmlformats.org/officeDocument/2006/customXml" ds:itemID="{dac7a429-5f67-4a5a-b6e7-3f2d3b1f8931}">
  <ds:schemaRefs/>
</ds:datastoreItem>
</file>

<file path=customXml/itemProps2.xml><?xml version="1.0" encoding="utf-8"?>
<ds:datastoreItem xmlns:ds="http://schemas.openxmlformats.org/officeDocument/2006/customXml" ds:itemID="{29560e24-59d0-452f-84d0-7924745a2d44}">
  <ds:schemaRefs/>
</ds:datastoreItem>
</file>

<file path=customXml/itemProps3.xml><?xml version="1.0" encoding="utf-8"?>
<ds:datastoreItem xmlns:ds="http://schemas.openxmlformats.org/officeDocument/2006/customXml" ds:itemID="{c4d25192-b269-49e8-91e6-adf9ace0622a}">
  <ds:schemaRefs/>
</ds:datastoreItem>
</file>

<file path=customXml/itemProps4.xml><?xml version="1.0" encoding="utf-8"?>
<ds:datastoreItem xmlns:ds="http://schemas.openxmlformats.org/officeDocument/2006/customXml" ds:itemID="{46daf4e5-cf9b-4ea4-b740-cec42b152ae2}">
  <ds:schemaRefs/>
</ds:datastoreItem>
</file>

<file path=customXml/itemProps5.xml><?xml version="1.0" encoding="utf-8"?>
<ds:datastoreItem xmlns:ds="http://schemas.openxmlformats.org/officeDocument/2006/customXml" ds:itemID="{4afc2afb-b88c-430c-be35-218521f3e663}">
  <ds:schemaRefs/>
</ds:datastoreItem>
</file>

<file path=customXml/itemProps6.xml><?xml version="1.0" encoding="utf-8"?>
<ds:datastoreItem xmlns:ds="http://schemas.openxmlformats.org/officeDocument/2006/customXml" ds:itemID="{15393772-b45d-4411-a6c3-41a1646938ab}">
  <ds:schemaRefs/>
</ds:datastoreItem>
</file>

<file path=customXml/itemProps7.xml><?xml version="1.0" encoding="utf-8"?>
<ds:datastoreItem xmlns:ds="http://schemas.openxmlformats.org/officeDocument/2006/customXml" ds:itemID="{3ef42e11-fdfd-428c-8457-e67eaf18fb7d}">
  <ds:schemaRefs/>
</ds:datastoreItem>
</file>

<file path=customXml/itemProps8.xml><?xml version="1.0" encoding="utf-8"?>
<ds:datastoreItem xmlns:ds="http://schemas.openxmlformats.org/officeDocument/2006/customXml" ds:itemID="{0c90d3ed-3f2e-4bc8-9cbd-c39e780c7e62}">
  <ds:schemaRefs/>
</ds:datastoreItem>
</file>

<file path=customXml/itemProps9.xml><?xml version="1.0" encoding="utf-8"?>
<ds:datastoreItem xmlns:ds="http://schemas.openxmlformats.org/officeDocument/2006/customXml" ds:itemID="{cc02e6d2-7124-4a34-be54-936a53073e57}">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2022-06-22T17:08:00Z</dcterms:created>
  <dc:creator>财政所</dc:creator>
  <cp:lastModifiedBy>lenovo</cp:lastModifiedBy>
  <dcterms:modified xsi:type="dcterms:W3CDTF">2023-09-04T03:35:39Z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13CEA159B5944DE6A7AA202EC4F77601</vt:lpwstr>
  </property>
</Properties>
</file>