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rPr>
          <w:b/>
          <w:bCs/>
        </w:rPr>
      </w:pPr>
      <w:r>
        <w:rPr>
          <w:b/>
          <w:bCs/>
        </w:rPr>
        <w:fldChar w:fldCharType="begin"/>
      </w:r>
      <w:r>
        <w:rPr>
          <w:b/>
          <w:bCs/>
        </w:rPr>
        <w:instrText xml:space="preserve"> HYPERLINK \l "_Toc_4_4_0000000019" </w:instrText>
      </w:r>
      <w:r>
        <w:rPr>
          <w:b/>
          <w:bCs/>
        </w:rPr>
        <w:fldChar w:fldCharType="separate"/>
      </w:r>
      <w:r>
        <w:rPr>
          <w:b/>
          <w:bCs/>
        </w:rPr>
        <w:t>一、无极县发展和改革局本级收支预算</w:t>
      </w:r>
      <w:r>
        <w:rPr>
          <w:b/>
          <w:bCs/>
        </w:rPr>
        <w:tab/>
      </w:r>
      <w:r>
        <w:rPr>
          <w:rFonts w:hint="eastAsia"/>
          <w:b/>
          <w:bCs/>
          <w:lang w:val="en-US" w:eastAsia="zh-CN"/>
        </w:rPr>
        <w:t>2</w:t>
      </w:r>
      <w:r>
        <w:rPr>
          <w:b/>
          <w:bCs/>
        </w:rPr>
        <w:fldChar w:fldCharType="end"/>
      </w:r>
    </w:p>
    <w:p/>
    <w:p/>
    <w:p/>
    <w:p/>
    <w:p/>
    <w:p/>
    <w:p/>
    <w:p/>
    <w:p/>
    <w:p/>
    <w:p/>
    <w:p/>
    <w:p/>
    <w:p/>
    <w:p/>
    <w:p/>
    <w:p/>
    <w:p/>
    <w:p/>
    <w:p/>
    <w:p/>
    <w:p/>
    <w:p/>
    <w:p/>
    <w:p/>
    <w:p/>
    <w:p/>
    <w:p/>
    <w:p/>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933.85</w:t>
            </w:r>
          </w:p>
        </w:tc>
        <w:tc>
          <w:tcPr>
            <w:tcW w:w="4535" w:type="dxa"/>
            <w:vAlign w:val="center"/>
          </w:tcPr>
          <w:p>
            <w:pPr>
              <w:pStyle w:val="14"/>
            </w:pPr>
            <w:r>
              <w:t>一、一般公共服务支出</w:t>
            </w:r>
          </w:p>
        </w:tc>
        <w:tc>
          <w:tcPr>
            <w:tcW w:w="2126" w:type="dxa"/>
            <w:vAlign w:val="center"/>
          </w:tcPr>
          <w:p>
            <w:pPr>
              <w:pStyle w:val="13"/>
            </w:pPr>
            <w:r>
              <w:t>633.52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263.83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933.85</w:t>
            </w:r>
          </w:p>
        </w:tc>
        <w:tc>
          <w:tcPr>
            <w:tcW w:w="4535" w:type="dxa"/>
            <w:vAlign w:val="center"/>
          </w:tcPr>
          <w:p>
            <w:pPr>
              <w:pStyle w:val="16"/>
            </w:pPr>
            <w:r>
              <w:t>本年支出合计</w:t>
            </w:r>
          </w:p>
        </w:tc>
        <w:tc>
          <w:tcPr>
            <w:tcW w:w="2126" w:type="dxa"/>
            <w:vAlign w:val="center"/>
          </w:tcPr>
          <w:p>
            <w:pPr>
              <w:pStyle w:val="17"/>
            </w:pPr>
            <w:r>
              <w:t>933.85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933.85</w:t>
            </w:r>
          </w:p>
        </w:tc>
        <w:tc>
          <w:tcPr>
            <w:tcW w:w="4535" w:type="dxa"/>
            <w:vAlign w:val="center"/>
          </w:tcPr>
          <w:p>
            <w:pPr>
              <w:pStyle w:val="16"/>
            </w:pPr>
            <w:r>
              <w:t>支出总计</w:t>
            </w:r>
          </w:p>
        </w:tc>
        <w:tc>
          <w:tcPr>
            <w:tcW w:w="2126" w:type="dxa"/>
            <w:vAlign w:val="center"/>
          </w:tcPr>
          <w:p>
            <w:pPr>
              <w:pStyle w:val="17"/>
            </w:pPr>
            <w:r>
              <w:t>933.85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303001无极县发展和改革局本级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933.85</w:t>
            </w:r>
          </w:p>
        </w:tc>
        <w:tc>
          <w:tcPr>
            <w:tcW w:w="1134" w:type="dxa"/>
            <w:vAlign w:val="center"/>
          </w:tcPr>
          <w:p>
            <w:pPr>
              <w:pStyle w:val="17"/>
            </w:pPr>
            <w:r>
              <w:t>933.85</w:t>
            </w:r>
          </w:p>
        </w:tc>
        <w:tc>
          <w:tcPr>
            <w:tcW w:w="1134" w:type="dxa"/>
            <w:vAlign w:val="center"/>
          </w:tcPr>
          <w:p>
            <w:pPr>
              <w:pStyle w:val="17"/>
            </w:pPr>
            <w:r>
              <w:t>933.85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20104</w:t>
            </w:r>
          </w:p>
        </w:tc>
        <w:tc>
          <w:tcPr>
            <w:tcW w:w="1559" w:type="dxa"/>
            <w:vAlign w:val="center"/>
          </w:tcPr>
          <w:p>
            <w:pPr>
              <w:pStyle w:val="14"/>
            </w:pPr>
            <w:r>
              <w:t>发展与改革事务</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2010401</w:t>
            </w:r>
          </w:p>
        </w:tc>
        <w:tc>
          <w:tcPr>
            <w:tcW w:w="1559" w:type="dxa"/>
            <w:vAlign w:val="center"/>
          </w:tcPr>
          <w:p>
            <w:pPr>
              <w:pStyle w:val="14"/>
            </w:pPr>
            <w:r>
              <w:t>行政运行</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r>
              <w:t>633.52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263.83</w:t>
            </w:r>
          </w:p>
        </w:tc>
        <w:tc>
          <w:tcPr>
            <w:tcW w:w="1134" w:type="dxa"/>
            <w:vAlign w:val="center"/>
          </w:tcPr>
          <w:p>
            <w:pPr>
              <w:pStyle w:val="13"/>
            </w:pPr>
            <w:r>
              <w:t>263.83</w:t>
            </w:r>
          </w:p>
        </w:tc>
        <w:tc>
          <w:tcPr>
            <w:tcW w:w="1134" w:type="dxa"/>
            <w:vAlign w:val="center"/>
          </w:tcPr>
          <w:p>
            <w:pPr>
              <w:pStyle w:val="13"/>
            </w:pPr>
            <w:r>
              <w:t>263.83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263.83</w:t>
            </w:r>
          </w:p>
        </w:tc>
        <w:tc>
          <w:tcPr>
            <w:tcW w:w="1134" w:type="dxa"/>
            <w:vAlign w:val="center"/>
          </w:tcPr>
          <w:p>
            <w:pPr>
              <w:pStyle w:val="13"/>
            </w:pPr>
            <w:r>
              <w:t>263.83</w:t>
            </w:r>
          </w:p>
        </w:tc>
        <w:tc>
          <w:tcPr>
            <w:tcW w:w="1134" w:type="dxa"/>
            <w:vAlign w:val="center"/>
          </w:tcPr>
          <w:p>
            <w:pPr>
              <w:pStyle w:val="13"/>
            </w:pPr>
            <w:r>
              <w:t>263.83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215.63</w:t>
            </w:r>
          </w:p>
        </w:tc>
        <w:tc>
          <w:tcPr>
            <w:tcW w:w="1134" w:type="dxa"/>
            <w:vAlign w:val="center"/>
          </w:tcPr>
          <w:p>
            <w:pPr>
              <w:pStyle w:val="13"/>
            </w:pPr>
            <w:r>
              <w:t>215.63</w:t>
            </w:r>
          </w:p>
        </w:tc>
        <w:tc>
          <w:tcPr>
            <w:tcW w:w="1134" w:type="dxa"/>
            <w:vAlign w:val="center"/>
          </w:tcPr>
          <w:p>
            <w:pPr>
              <w:pStyle w:val="13"/>
            </w:pPr>
            <w:r>
              <w:t>215.63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48.20</w:t>
            </w:r>
          </w:p>
        </w:tc>
        <w:tc>
          <w:tcPr>
            <w:tcW w:w="1134" w:type="dxa"/>
            <w:vAlign w:val="center"/>
          </w:tcPr>
          <w:p>
            <w:pPr>
              <w:pStyle w:val="13"/>
            </w:pPr>
            <w:r>
              <w:t>48.20</w:t>
            </w:r>
          </w:p>
        </w:tc>
        <w:tc>
          <w:tcPr>
            <w:tcW w:w="1134" w:type="dxa"/>
            <w:vAlign w:val="center"/>
          </w:tcPr>
          <w:p>
            <w:pPr>
              <w:pStyle w:val="13"/>
            </w:pPr>
            <w:r>
              <w:t>48.20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r>
              <w:t>26.50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933.85</w:t>
            </w:r>
          </w:p>
        </w:tc>
        <w:tc>
          <w:tcPr>
            <w:tcW w:w="1361" w:type="dxa"/>
            <w:vAlign w:val="center"/>
          </w:tcPr>
          <w:p>
            <w:pPr>
              <w:pStyle w:val="17"/>
            </w:pPr>
            <w:r>
              <w:t>923.85</w:t>
            </w:r>
          </w:p>
        </w:tc>
        <w:tc>
          <w:tcPr>
            <w:tcW w:w="1361" w:type="dxa"/>
            <w:vAlign w:val="center"/>
          </w:tcPr>
          <w:p>
            <w:pPr>
              <w:pStyle w:val="17"/>
            </w:pPr>
            <w: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633.52</w:t>
            </w:r>
          </w:p>
        </w:tc>
        <w:tc>
          <w:tcPr>
            <w:tcW w:w="1361" w:type="dxa"/>
            <w:vAlign w:val="center"/>
          </w:tcPr>
          <w:p>
            <w:pPr>
              <w:pStyle w:val="13"/>
            </w:pPr>
            <w:r>
              <w:t>633.52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20104</w:t>
            </w:r>
          </w:p>
        </w:tc>
        <w:tc>
          <w:tcPr>
            <w:tcW w:w="4535" w:type="dxa"/>
            <w:vAlign w:val="center"/>
          </w:tcPr>
          <w:p>
            <w:pPr>
              <w:pStyle w:val="14"/>
            </w:pPr>
            <w:r>
              <w:t>发展与改革事务</w:t>
            </w:r>
          </w:p>
        </w:tc>
        <w:tc>
          <w:tcPr>
            <w:tcW w:w="1361" w:type="dxa"/>
            <w:vAlign w:val="center"/>
          </w:tcPr>
          <w:p>
            <w:pPr>
              <w:pStyle w:val="13"/>
            </w:pPr>
            <w:r>
              <w:t>633.52</w:t>
            </w:r>
          </w:p>
        </w:tc>
        <w:tc>
          <w:tcPr>
            <w:tcW w:w="1361" w:type="dxa"/>
            <w:vAlign w:val="center"/>
          </w:tcPr>
          <w:p>
            <w:pPr>
              <w:pStyle w:val="13"/>
            </w:pPr>
            <w:r>
              <w:t>633.52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2010401</w:t>
            </w:r>
          </w:p>
        </w:tc>
        <w:tc>
          <w:tcPr>
            <w:tcW w:w="4535" w:type="dxa"/>
            <w:vAlign w:val="center"/>
          </w:tcPr>
          <w:p>
            <w:pPr>
              <w:pStyle w:val="14"/>
            </w:pPr>
            <w:r>
              <w:t>行政运行</w:t>
            </w:r>
          </w:p>
        </w:tc>
        <w:tc>
          <w:tcPr>
            <w:tcW w:w="1361" w:type="dxa"/>
            <w:vAlign w:val="center"/>
          </w:tcPr>
          <w:p>
            <w:pPr>
              <w:pStyle w:val="13"/>
            </w:pPr>
            <w:r>
              <w:t>633.52</w:t>
            </w:r>
          </w:p>
        </w:tc>
        <w:tc>
          <w:tcPr>
            <w:tcW w:w="1361" w:type="dxa"/>
            <w:vAlign w:val="center"/>
          </w:tcPr>
          <w:p>
            <w:pPr>
              <w:pStyle w:val="13"/>
            </w:pPr>
            <w:r>
              <w:t>633.52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263.83</w:t>
            </w:r>
          </w:p>
        </w:tc>
        <w:tc>
          <w:tcPr>
            <w:tcW w:w="1361" w:type="dxa"/>
            <w:vAlign w:val="center"/>
          </w:tcPr>
          <w:p>
            <w:pPr>
              <w:pStyle w:val="13"/>
            </w:pPr>
            <w:r>
              <w:t>263.83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263.83</w:t>
            </w:r>
          </w:p>
        </w:tc>
        <w:tc>
          <w:tcPr>
            <w:tcW w:w="1361" w:type="dxa"/>
            <w:vAlign w:val="center"/>
          </w:tcPr>
          <w:p>
            <w:pPr>
              <w:pStyle w:val="13"/>
            </w:pPr>
            <w:r>
              <w:t>263.83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215.63</w:t>
            </w:r>
          </w:p>
        </w:tc>
        <w:tc>
          <w:tcPr>
            <w:tcW w:w="1361" w:type="dxa"/>
            <w:vAlign w:val="center"/>
          </w:tcPr>
          <w:p>
            <w:pPr>
              <w:pStyle w:val="13"/>
            </w:pPr>
            <w:r>
              <w:t>215.63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48.20</w:t>
            </w:r>
          </w:p>
        </w:tc>
        <w:tc>
          <w:tcPr>
            <w:tcW w:w="1361" w:type="dxa"/>
            <w:vAlign w:val="center"/>
          </w:tcPr>
          <w:p>
            <w:pPr>
              <w:pStyle w:val="13"/>
            </w:pPr>
            <w:r>
              <w:t>48.20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26.50</w:t>
            </w:r>
          </w:p>
        </w:tc>
        <w:tc>
          <w:tcPr>
            <w:tcW w:w="1361" w:type="dxa"/>
            <w:vAlign w:val="center"/>
          </w:tcPr>
          <w:p>
            <w:pPr>
              <w:pStyle w:val="13"/>
            </w:pPr>
            <w:r>
              <w:t>26.50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26.50</w:t>
            </w:r>
          </w:p>
        </w:tc>
        <w:tc>
          <w:tcPr>
            <w:tcW w:w="1361" w:type="dxa"/>
            <w:vAlign w:val="center"/>
          </w:tcPr>
          <w:p>
            <w:pPr>
              <w:pStyle w:val="13"/>
            </w:pPr>
            <w:r>
              <w:t>26.50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26.50</w:t>
            </w:r>
          </w:p>
        </w:tc>
        <w:tc>
          <w:tcPr>
            <w:tcW w:w="1361" w:type="dxa"/>
            <w:vAlign w:val="center"/>
          </w:tcPr>
          <w:p>
            <w:pPr>
              <w:pStyle w:val="13"/>
            </w:pPr>
            <w:r>
              <w:t>26.50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933.85</w:t>
            </w:r>
          </w:p>
        </w:tc>
        <w:tc>
          <w:tcPr>
            <w:tcW w:w="3402" w:type="dxa"/>
            <w:vAlign w:val="center"/>
          </w:tcPr>
          <w:p>
            <w:pPr>
              <w:pStyle w:val="14"/>
            </w:pPr>
            <w:r>
              <w:t>一、一般公共服务支出</w:t>
            </w:r>
          </w:p>
        </w:tc>
        <w:tc>
          <w:tcPr>
            <w:tcW w:w="1474" w:type="dxa"/>
            <w:vAlign w:val="center"/>
          </w:tcPr>
          <w:p>
            <w:pPr>
              <w:pStyle w:val="13"/>
            </w:pPr>
            <w:r>
              <w:t>633.52</w:t>
            </w:r>
          </w:p>
        </w:tc>
        <w:tc>
          <w:tcPr>
            <w:tcW w:w="1474" w:type="dxa"/>
            <w:vAlign w:val="center"/>
          </w:tcPr>
          <w:p>
            <w:pPr>
              <w:pStyle w:val="13"/>
            </w:pPr>
            <w:r>
              <w:t>633.52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263.83</w:t>
            </w:r>
          </w:p>
        </w:tc>
        <w:tc>
          <w:tcPr>
            <w:tcW w:w="1474" w:type="dxa"/>
            <w:vAlign w:val="center"/>
          </w:tcPr>
          <w:p>
            <w:pPr>
              <w:pStyle w:val="13"/>
            </w:pPr>
            <w:r>
              <w:t>263.83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26.50</w:t>
            </w:r>
          </w:p>
        </w:tc>
        <w:tc>
          <w:tcPr>
            <w:tcW w:w="1474" w:type="dxa"/>
            <w:vAlign w:val="center"/>
          </w:tcPr>
          <w:p>
            <w:pPr>
              <w:pStyle w:val="13"/>
            </w:pPr>
            <w:r>
              <w:t>26.50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933.85</w:t>
            </w:r>
          </w:p>
        </w:tc>
        <w:tc>
          <w:tcPr>
            <w:tcW w:w="3402" w:type="dxa"/>
            <w:vAlign w:val="center"/>
          </w:tcPr>
          <w:p>
            <w:pPr>
              <w:pStyle w:val="16"/>
            </w:pPr>
            <w:r>
              <w:t>本年支出合计</w:t>
            </w:r>
          </w:p>
        </w:tc>
        <w:tc>
          <w:tcPr>
            <w:tcW w:w="1474" w:type="dxa"/>
            <w:vAlign w:val="center"/>
          </w:tcPr>
          <w:p>
            <w:pPr>
              <w:pStyle w:val="17"/>
            </w:pPr>
            <w:r>
              <w:t>933.85</w:t>
            </w:r>
          </w:p>
        </w:tc>
        <w:tc>
          <w:tcPr>
            <w:tcW w:w="1474" w:type="dxa"/>
            <w:vAlign w:val="center"/>
          </w:tcPr>
          <w:p>
            <w:pPr>
              <w:pStyle w:val="17"/>
            </w:pPr>
            <w:r>
              <w:t>933.85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933.85</w:t>
            </w:r>
          </w:p>
        </w:tc>
        <w:tc>
          <w:tcPr>
            <w:tcW w:w="3402" w:type="dxa"/>
            <w:vAlign w:val="center"/>
          </w:tcPr>
          <w:p>
            <w:pPr>
              <w:pStyle w:val="16"/>
            </w:pPr>
            <w:r>
              <w:t>支出总计</w:t>
            </w:r>
          </w:p>
        </w:tc>
        <w:tc>
          <w:tcPr>
            <w:tcW w:w="1474" w:type="dxa"/>
            <w:vAlign w:val="center"/>
          </w:tcPr>
          <w:p>
            <w:pPr>
              <w:pStyle w:val="17"/>
            </w:pPr>
            <w:r>
              <w:t>933.85</w:t>
            </w:r>
          </w:p>
        </w:tc>
        <w:tc>
          <w:tcPr>
            <w:tcW w:w="1474" w:type="dxa"/>
            <w:vAlign w:val="center"/>
          </w:tcPr>
          <w:p>
            <w:pPr>
              <w:pStyle w:val="17"/>
            </w:pPr>
            <w:r>
              <w:t>933.85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933.85</w:t>
            </w:r>
          </w:p>
        </w:tc>
        <w:tc>
          <w:tcPr>
            <w:tcW w:w="2551" w:type="dxa"/>
            <w:vAlign w:val="center"/>
          </w:tcPr>
          <w:p>
            <w:pPr>
              <w:pStyle w:val="17"/>
            </w:pPr>
            <w:r>
              <w:t>923.85</w:t>
            </w:r>
          </w:p>
        </w:tc>
        <w:tc>
          <w:tcPr>
            <w:tcW w:w="2551"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633.52</w:t>
            </w:r>
          </w:p>
        </w:tc>
        <w:tc>
          <w:tcPr>
            <w:tcW w:w="2551" w:type="dxa"/>
            <w:vAlign w:val="center"/>
          </w:tcPr>
          <w:p>
            <w:pPr>
              <w:pStyle w:val="13"/>
            </w:pPr>
            <w:r>
              <w:t>633.52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20104</w:t>
            </w:r>
          </w:p>
        </w:tc>
        <w:tc>
          <w:tcPr>
            <w:tcW w:w="4535" w:type="dxa"/>
            <w:vAlign w:val="center"/>
          </w:tcPr>
          <w:p>
            <w:pPr>
              <w:pStyle w:val="14"/>
            </w:pPr>
            <w:r>
              <w:t>发展与改革事务</w:t>
            </w:r>
          </w:p>
        </w:tc>
        <w:tc>
          <w:tcPr>
            <w:tcW w:w="2551" w:type="dxa"/>
            <w:vAlign w:val="center"/>
          </w:tcPr>
          <w:p>
            <w:pPr>
              <w:pStyle w:val="13"/>
            </w:pPr>
            <w:r>
              <w:t>633.52</w:t>
            </w:r>
          </w:p>
        </w:tc>
        <w:tc>
          <w:tcPr>
            <w:tcW w:w="2551" w:type="dxa"/>
            <w:vAlign w:val="center"/>
          </w:tcPr>
          <w:p>
            <w:pPr>
              <w:pStyle w:val="13"/>
            </w:pPr>
            <w:r>
              <w:t>633.52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2010401</w:t>
            </w:r>
          </w:p>
        </w:tc>
        <w:tc>
          <w:tcPr>
            <w:tcW w:w="4535" w:type="dxa"/>
            <w:vAlign w:val="center"/>
          </w:tcPr>
          <w:p>
            <w:pPr>
              <w:pStyle w:val="14"/>
            </w:pPr>
            <w:r>
              <w:t>行政运行</w:t>
            </w:r>
          </w:p>
        </w:tc>
        <w:tc>
          <w:tcPr>
            <w:tcW w:w="2551" w:type="dxa"/>
            <w:vAlign w:val="center"/>
          </w:tcPr>
          <w:p>
            <w:pPr>
              <w:pStyle w:val="13"/>
            </w:pPr>
            <w:r>
              <w:t>633.52</w:t>
            </w:r>
          </w:p>
        </w:tc>
        <w:tc>
          <w:tcPr>
            <w:tcW w:w="2551" w:type="dxa"/>
            <w:vAlign w:val="center"/>
          </w:tcPr>
          <w:p>
            <w:pPr>
              <w:pStyle w:val="13"/>
            </w:pPr>
            <w:r>
              <w:t>633.52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263.83</w:t>
            </w:r>
          </w:p>
        </w:tc>
        <w:tc>
          <w:tcPr>
            <w:tcW w:w="2551" w:type="dxa"/>
            <w:vAlign w:val="center"/>
          </w:tcPr>
          <w:p>
            <w:pPr>
              <w:pStyle w:val="13"/>
            </w:pPr>
            <w:r>
              <w:t>263.83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263.83</w:t>
            </w:r>
          </w:p>
        </w:tc>
        <w:tc>
          <w:tcPr>
            <w:tcW w:w="2551" w:type="dxa"/>
            <w:vAlign w:val="center"/>
          </w:tcPr>
          <w:p>
            <w:pPr>
              <w:pStyle w:val="13"/>
            </w:pPr>
            <w:r>
              <w:t>263.83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215.63</w:t>
            </w:r>
          </w:p>
        </w:tc>
        <w:tc>
          <w:tcPr>
            <w:tcW w:w="2551" w:type="dxa"/>
            <w:vAlign w:val="center"/>
          </w:tcPr>
          <w:p>
            <w:pPr>
              <w:pStyle w:val="13"/>
            </w:pPr>
            <w:r>
              <w:t>215.63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48.20</w:t>
            </w:r>
          </w:p>
        </w:tc>
        <w:tc>
          <w:tcPr>
            <w:tcW w:w="2551" w:type="dxa"/>
            <w:vAlign w:val="center"/>
          </w:tcPr>
          <w:p>
            <w:pPr>
              <w:pStyle w:val="13"/>
            </w:pPr>
            <w:r>
              <w:t>48.20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923.85</w:t>
            </w:r>
          </w:p>
        </w:tc>
        <w:tc>
          <w:tcPr>
            <w:tcW w:w="2551" w:type="dxa"/>
            <w:vAlign w:val="center"/>
          </w:tcPr>
          <w:p>
            <w:pPr>
              <w:pStyle w:val="17"/>
            </w:pPr>
            <w:r>
              <w:t>855.75</w:t>
            </w:r>
          </w:p>
        </w:tc>
        <w:tc>
          <w:tcPr>
            <w:tcW w:w="2551" w:type="dxa"/>
            <w:vAlign w:val="center"/>
          </w:tcPr>
          <w:p>
            <w:pPr>
              <w:pStyle w:val="17"/>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784.60</w:t>
            </w:r>
          </w:p>
        </w:tc>
        <w:tc>
          <w:tcPr>
            <w:tcW w:w="2551" w:type="dxa"/>
            <w:vAlign w:val="center"/>
          </w:tcPr>
          <w:p>
            <w:pPr>
              <w:pStyle w:val="13"/>
            </w:pPr>
            <w:r>
              <w:t>784.60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356.90</w:t>
            </w:r>
          </w:p>
        </w:tc>
        <w:tc>
          <w:tcPr>
            <w:tcW w:w="2551" w:type="dxa"/>
            <w:vAlign w:val="center"/>
          </w:tcPr>
          <w:p>
            <w:pPr>
              <w:pStyle w:val="13"/>
            </w:pPr>
            <w:r>
              <w:t>356.90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97.90</w:t>
            </w:r>
          </w:p>
        </w:tc>
        <w:tc>
          <w:tcPr>
            <w:tcW w:w="2551" w:type="dxa"/>
            <w:vAlign w:val="center"/>
          </w:tcPr>
          <w:p>
            <w:pPr>
              <w:pStyle w:val="13"/>
            </w:pPr>
            <w:r>
              <w:t>97.90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221.98</w:t>
            </w:r>
          </w:p>
        </w:tc>
        <w:tc>
          <w:tcPr>
            <w:tcW w:w="2551" w:type="dxa"/>
            <w:vAlign w:val="center"/>
          </w:tcPr>
          <w:p>
            <w:pPr>
              <w:pStyle w:val="13"/>
            </w:pPr>
            <w:r>
              <w:t>221.98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30.80</w:t>
            </w:r>
          </w:p>
        </w:tc>
        <w:tc>
          <w:tcPr>
            <w:tcW w:w="2551" w:type="dxa"/>
            <w:vAlign w:val="center"/>
          </w:tcPr>
          <w:p>
            <w:pPr>
              <w:pStyle w:val="13"/>
            </w:pPr>
            <w:r>
              <w:t>30.80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48.20</w:t>
            </w:r>
          </w:p>
        </w:tc>
        <w:tc>
          <w:tcPr>
            <w:tcW w:w="2551" w:type="dxa"/>
            <w:vAlign w:val="center"/>
          </w:tcPr>
          <w:p>
            <w:pPr>
              <w:pStyle w:val="13"/>
            </w:pPr>
            <w:r>
              <w:t>48.20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2.32</w:t>
            </w:r>
          </w:p>
        </w:tc>
        <w:tc>
          <w:tcPr>
            <w:tcW w:w="2551" w:type="dxa"/>
            <w:vAlign w:val="center"/>
          </w:tcPr>
          <w:p>
            <w:pPr>
              <w:pStyle w:val="13"/>
            </w:pPr>
            <w:r>
              <w:t>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68.10</w:t>
            </w:r>
          </w:p>
        </w:tc>
        <w:tc>
          <w:tcPr>
            <w:tcW w:w="2551" w:type="dxa"/>
            <w:vAlign w:val="center"/>
          </w:tcPr>
          <w:p>
            <w:pPr>
              <w:pStyle w:val="13"/>
            </w:pPr>
          </w:p>
        </w:tc>
        <w:tc>
          <w:tcPr>
            <w:tcW w:w="2551" w:type="dxa"/>
            <w:vAlign w:val="center"/>
          </w:tcPr>
          <w:p>
            <w:pPr>
              <w:pStyle w:val="13"/>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14.14</w:t>
            </w:r>
          </w:p>
        </w:tc>
        <w:tc>
          <w:tcPr>
            <w:tcW w:w="2551" w:type="dxa"/>
            <w:vAlign w:val="center"/>
          </w:tcPr>
          <w:p>
            <w:pPr>
              <w:pStyle w:val="13"/>
            </w:pPr>
          </w:p>
        </w:tc>
        <w:tc>
          <w:tcPr>
            <w:tcW w:w="2551" w:type="dxa"/>
            <w:vAlign w:val="center"/>
          </w:tcPr>
          <w:p>
            <w:pPr>
              <w:pStyle w:val="13"/>
            </w:pPr>
            <w:r>
              <w:t>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16.60</w:t>
            </w:r>
          </w:p>
        </w:tc>
        <w:tc>
          <w:tcPr>
            <w:tcW w:w="2551" w:type="dxa"/>
            <w:vAlign w:val="center"/>
          </w:tcPr>
          <w:p>
            <w:pPr>
              <w:pStyle w:val="13"/>
            </w:pPr>
          </w:p>
        </w:tc>
        <w:tc>
          <w:tcPr>
            <w:tcW w:w="2551" w:type="dxa"/>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5.68</w:t>
            </w:r>
          </w:p>
        </w:tc>
        <w:tc>
          <w:tcPr>
            <w:tcW w:w="2551" w:type="dxa"/>
            <w:vAlign w:val="center"/>
          </w:tcPr>
          <w:p>
            <w:pPr>
              <w:pStyle w:val="13"/>
            </w:pPr>
          </w:p>
        </w:tc>
        <w:tc>
          <w:tcPr>
            <w:tcW w:w="2551" w:type="dxa"/>
            <w:vAlign w:val="center"/>
          </w:tcPr>
          <w:p>
            <w:pPr>
              <w:pStyle w:val="13"/>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5.10</w:t>
            </w:r>
          </w:p>
        </w:tc>
        <w:tc>
          <w:tcPr>
            <w:tcW w:w="2551" w:type="dxa"/>
            <w:vAlign w:val="center"/>
          </w:tcPr>
          <w:p>
            <w:pPr>
              <w:pStyle w:val="13"/>
            </w:pPr>
          </w:p>
        </w:tc>
        <w:tc>
          <w:tcPr>
            <w:tcW w:w="2551"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22.50</w:t>
            </w:r>
          </w:p>
        </w:tc>
        <w:tc>
          <w:tcPr>
            <w:tcW w:w="2551" w:type="dxa"/>
            <w:vAlign w:val="center"/>
          </w:tcPr>
          <w:p>
            <w:pPr>
              <w:pStyle w:val="13"/>
            </w:pPr>
          </w:p>
        </w:tc>
        <w:tc>
          <w:tcPr>
            <w:tcW w:w="2551"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1.08</w:t>
            </w:r>
          </w:p>
        </w:tc>
        <w:tc>
          <w:tcPr>
            <w:tcW w:w="2551" w:type="dxa"/>
            <w:vAlign w:val="center"/>
          </w:tcPr>
          <w:p>
            <w:pPr>
              <w:pStyle w:val="13"/>
            </w:pPr>
          </w:p>
        </w:tc>
        <w:tc>
          <w:tcPr>
            <w:tcW w:w="2551"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71.15</w:t>
            </w:r>
          </w:p>
        </w:tc>
        <w:tc>
          <w:tcPr>
            <w:tcW w:w="2551" w:type="dxa"/>
            <w:vAlign w:val="center"/>
          </w:tcPr>
          <w:p>
            <w:pPr>
              <w:pStyle w:val="13"/>
            </w:pPr>
            <w:r>
              <w:t>71.15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8.85</w:t>
            </w:r>
          </w:p>
        </w:tc>
        <w:tc>
          <w:tcPr>
            <w:tcW w:w="2551" w:type="dxa"/>
            <w:vAlign w:val="center"/>
          </w:tcPr>
          <w:p>
            <w:pPr>
              <w:pStyle w:val="13"/>
            </w:pPr>
            <w:r>
              <w:t>8.85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62.30</w:t>
            </w:r>
          </w:p>
        </w:tc>
        <w:tc>
          <w:tcPr>
            <w:tcW w:w="2551" w:type="dxa"/>
            <w:vAlign w:val="center"/>
          </w:tcPr>
          <w:p>
            <w:pPr>
              <w:pStyle w:val="13"/>
            </w:pPr>
            <w:r>
              <w:t>62.30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303001无极县发展和改革局本级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3.00</w:t>
            </w:r>
          </w:p>
        </w:tc>
        <w:tc>
          <w:tcPr>
            <w:tcW w:w="1643" w:type="dxa"/>
            <w:vAlign w:val="center"/>
          </w:tcPr>
          <w:p>
            <w:pPr>
              <w:pStyle w:val="17"/>
              <w:rPr>
                <w:rFonts w:hint="default" w:eastAsia="方正书宋_GBK"/>
                <w:lang w:val="en-US" w:eastAsia="zh-CN"/>
              </w:rPr>
            </w:pPr>
            <w:r>
              <w:rPr>
                <w:rFonts w:hint="eastAsia"/>
                <w:lang w:val="en-US" w:eastAsia="zh-CN"/>
              </w:rPr>
              <w:t>3.00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无极县发展和改革局本级2022年单位预算信息公开情况说明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按照《预算法》、《地方预决算公开操作规程》和《关于进一步推进预算公开工作的实施意见》规定，现将无极县发展和改革局本级2022年单位预算公开如下：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27"/>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27"/>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27"/>
      </w:pPr>
      <w:r>
        <w:t>4、推进现代服务业发展。加强服务业工作管理，加快服务业重点项目建设，大力发展生产性服务业、生活性服务业及新兴服务业，提高第三产业比重，完成市下达的任务目标。</w:t>
      </w:r>
    </w:p>
    <w:p>
      <w:pPr>
        <w:pStyle w:val="27"/>
      </w:pPr>
      <w:r>
        <w:t>5、支持国企改革发展。国有企业资产保值增值及管理工作。</w:t>
      </w:r>
    </w:p>
    <w:p>
      <w:pPr>
        <w:pStyle w:val="27"/>
      </w:pPr>
      <w:r>
        <w:t>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w:t>
      </w:r>
    </w:p>
    <w:p>
      <w:pPr>
        <w:pStyle w:val="27"/>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27"/>
      </w:pPr>
      <w:r>
        <w:t xml:space="preserve">8、投资基建项目。负责提出全县固定资产投资规模和方向、国家和省、市、县财政性建设资金安排的意见；按县政府规定权限审批、核准、审核、申报国家和省、市、县规划内及年度计划规模内固定资产投资项目。    </w:t>
      </w:r>
    </w:p>
    <w:p>
      <w:pPr>
        <w:pStyle w:val="27"/>
      </w:pPr>
      <w:r>
        <w:t xml:space="preserve">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    </w:t>
      </w:r>
    </w:p>
    <w:p>
      <w:pPr>
        <w:pStyle w:val="27"/>
      </w:pPr>
      <w:r>
        <w:t xml:space="preserve">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    </w:t>
      </w:r>
    </w:p>
    <w:p>
      <w:pPr>
        <w:pStyle w:val="27"/>
      </w:pPr>
      <w:r>
        <w:t>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27"/>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27"/>
      </w:pPr>
      <w:r>
        <w:t>13组织实施科研项目和经济技术开发项目以及先进实用技术的推广和成果管理，开展科技创新。</w:t>
      </w:r>
    </w:p>
    <w:p>
      <w:pPr>
        <w:pStyle w:val="27"/>
      </w:pPr>
      <w:r>
        <w:t>14、承办县政府交办的其他事项。</w:t>
      </w:r>
    </w:p>
    <w:p>
      <w:pPr>
        <w:pStyle w:val="27"/>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无极县发展和改革局本级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r>
        <w:rPr>
          <w:rFonts w:hint="eastAsia" w:ascii="Times New Roman" w:hAnsi="Times New Roman" w:eastAsia="方正仿宋_GBK" w:cs="Times New Roman"/>
          <w:b w:val="0"/>
          <w:color w:val="000000"/>
          <w:sz w:val="28"/>
          <w:lang w:eastAsia="zh-CN"/>
        </w:rPr>
        <w:t>无极县</w:t>
      </w:r>
      <w:r>
        <w:rPr>
          <w:rFonts w:ascii="Times New Roman" w:hAnsi="Times New Roman" w:eastAsia="方正仿宋_GBK" w:cs="Times New Roman"/>
          <w:b w:val="0"/>
          <w:color w:val="000000"/>
          <w:sz w:val="28"/>
        </w:rPr>
        <w:t>发展</w:t>
      </w:r>
      <w:r>
        <w:rPr>
          <w:rFonts w:hint="eastAsia" w:ascii="Times New Roman" w:hAnsi="Times New Roman" w:eastAsia="方正仿宋_GBK" w:cs="Times New Roman"/>
          <w:b w:val="0"/>
          <w:color w:val="000000"/>
          <w:sz w:val="28"/>
          <w:lang w:eastAsia="zh-CN"/>
        </w:rPr>
        <w:t>和</w:t>
      </w:r>
      <w:r>
        <w:rPr>
          <w:rFonts w:ascii="Times New Roman" w:hAnsi="Times New Roman" w:eastAsia="方正仿宋_GBK" w:cs="Times New Roman"/>
          <w:b w:val="0"/>
          <w:color w:val="000000"/>
          <w:sz w:val="28"/>
        </w:rPr>
        <w:t>改革局</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的收支包含在</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w:t>
      </w:r>
    </w:p>
    <w:p>
      <w:pPr>
        <w:pStyle w:val="28"/>
      </w:pPr>
      <w:r>
        <w:t> 1、收入说明</w:t>
      </w:r>
    </w:p>
    <w:p>
      <w:pPr>
        <w:pStyle w:val="28"/>
      </w:pPr>
      <w:r>
        <w:t> 反映本</w:t>
      </w:r>
      <w:r>
        <w:rPr>
          <w:rFonts w:hint="eastAsia"/>
          <w:lang w:eastAsia="zh-CN"/>
        </w:rPr>
        <w:t>单位</w:t>
      </w:r>
      <w:r>
        <w:t>当年全部收入。2022年预算收入总计933.85万元。其中，一般公共预算收入933.85万元、政府性基金收入0万元、财政专户核拨收入0万元，其他来源收入0万元。</w:t>
      </w:r>
    </w:p>
    <w:p>
      <w:pPr>
        <w:pStyle w:val="28"/>
      </w:pPr>
      <w:r>
        <w:t> 2、支出说明</w:t>
      </w:r>
    </w:p>
    <w:p>
      <w:pPr>
        <w:pStyle w:val="28"/>
      </w:pPr>
      <w:r>
        <w:t> 2022年预算支出933.85万元。其中，人员经费支出855.75万元，正常公用经费68.1万元，项目支出10万元</w:t>
      </w:r>
      <w:r>
        <w:rPr>
          <w:rFonts w:hint="eastAsia"/>
          <w:lang w:eastAsia="zh-CN"/>
        </w:rPr>
        <w:t>，</w:t>
      </w:r>
      <w:r>
        <w:rPr>
          <w:rFonts w:hint="eastAsia"/>
          <w:lang w:val="en-US" w:eastAsia="zh-CN"/>
        </w:rPr>
        <w:t>主要为科学技术支出10万元</w:t>
      </w:r>
      <w:r>
        <w:t>。</w:t>
      </w:r>
    </w:p>
    <w:p>
      <w:pPr>
        <w:pStyle w:val="28"/>
      </w:pPr>
      <w:r>
        <w:t> 3、比上年增减情况</w:t>
      </w:r>
    </w:p>
    <w:p>
      <w:pPr>
        <w:pStyle w:val="28"/>
      </w:pPr>
      <w:r>
        <w:t> 2022年</w:t>
      </w:r>
      <w:r>
        <w:rPr>
          <w:rFonts w:hint="eastAsia"/>
          <w:lang w:eastAsia="zh-CN"/>
        </w:rPr>
        <w:t>单位</w:t>
      </w:r>
      <w:r>
        <w:t>预算收支安排933.85万元较2021年减少2034.55万元，其中：基本支出增加30.33万元，主要是人员工资、保险增加；项目支出减少2064.88万元，主要是由于项目调整。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2022年机关运行经费共计安排 68.1万元，主要用于我</w:t>
      </w:r>
      <w:r>
        <w:rPr>
          <w:rFonts w:hint="eastAsia"/>
          <w:lang w:val="en-US" w:eastAsia="zh-CN"/>
        </w:rPr>
        <w:t>单位</w:t>
      </w:r>
      <w:r>
        <w:t>日常办公，办公区水电费、日常维修、公车运行维护、公务交通补、公务员通讯补等日常运行支出。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2022年，我单位财政拨款“三公”经费预算安排3万元，</w:t>
      </w:r>
      <w:r>
        <w:rPr>
          <w:highlight w:val="none"/>
        </w:rPr>
        <w:t>与2021年相比持平无增减变化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1、2022年支持市县科技创新和科学普及专项资金（科技特派员）绩效目标表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1.提高企业技术创新能力、科技特派员专项经费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奖励发放时间</w:t>
            </w:r>
          </w:p>
        </w:tc>
        <w:tc>
          <w:tcPr>
            <w:tcW w:w="2835" w:type="dxa"/>
            <w:vAlign w:val="center"/>
          </w:tcPr>
          <w:p>
            <w:pPr>
              <w:pStyle w:val="14"/>
            </w:pPr>
            <w:r>
              <w:t>奖励发放时间</w:t>
            </w:r>
          </w:p>
        </w:tc>
        <w:tc>
          <w:tcPr>
            <w:tcW w:w="2551" w:type="dxa"/>
            <w:vAlign w:val="center"/>
          </w:tcPr>
          <w:p>
            <w:pPr>
              <w:pStyle w:val="14"/>
            </w:pPr>
            <w:r>
              <w:t>按规定时间及时发放</w:t>
            </w:r>
          </w:p>
        </w:tc>
        <w:tc>
          <w:tcPr>
            <w:tcW w:w="2268" w:type="dxa"/>
            <w:vAlign w:val="center"/>
          </w:tcPr>
          <w:p>
            <w:pPr>
              <w:pStyle w:val="14"/>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奖励标准</w:t>
            </w:r>
          </w:p>
        </w:tc>
        <w:tc>
          <w:tcPr>
            <w:tcW w:w="2835" w:type="dxa"/>
            <w:vAlign w:val="center"/>
          </w:tcPr>
          <w:p>
            <w:pPr>
              <w:pStyle w:val="14"/>
            </w:pPr>
            <w:r>
              <w:t>每个企业奖励标准</w:t>
            </w:r>
          </w:p>
        </w:tc>
        <w:tc>
          <w:tcPr>
            <w:tcW w:w="2551" w:type="dxa"/>
            <w:vAlign w:val="center"/>
          </w:tcPr>
          <w:p>
            <w:pPr>
              <w:pStyle w:val="14"/>
            </w:pPr>
            <w:r>
              <w:t>5万</w:t>
            </w:r>
          </w:p>
        </w:tc>
        <w:tc>
          <w:tcPr>
            <w:tcW w:w="2268" w:type="dxa"/>
            <w:vAlign w:val="center"/>
          </w:tcPr>
          <w:p>
            <w:pPr>
              <w:pStyle w:val="14"/>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奖励数量</w:t>
            </w:r>
          </w:p>
        </w:tc>
        <w:tc>
          <w:tcPr>
            <w:tcW w:w="2835" w:type="dxa"/>
            <w:vAlign w:val="center"/>
          </w:tcPr>
          <w:p>
            <w:pPr>
              <w:pStyle w:val="14"/>
            </w:pPr>
            <w:r>
              <w:t>规定的乡镇数量</w:t>
            </w:r>
          </w:p>
        </w:tc>
        <w:tc>
          <w:tcPr>
            <w:tcW w:w="2551" w:type="dxa"/>
            <w:vAlign w:val="center"/>
          </w:tcPr>
          <w:p>
            <w:pPr>
              <w:pStyle w:val="14"/>
            </w:pPr>
            <w:r>
              <w:t>2个</w:t>
            </w:r>
          </w:p>
        </w:tc>
        <w:tc>
          <w:tcPr>
            <w:tcW w:w="2268" w:type="dxa"/>
            <w:vAlign w:val="center"/>
          </w:tcPr>
          <w:p>
            <w:pPr>
              <w:pStyle w:val="14"/>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奖励发放精准率</w:t>
            </w:r>
          </w:p>
        </w:tc>
        <w:tc>
          <w:tcPr>
            <w:tcW w:w="2835" w:type="dxa"/>
            <w:vAlign w:val="center"/>
          </w:tcPr>
          <w:p>
            <w:pPr>
              <w:pStyle w:val="14"/>
            </w:pPr>
            <w:r>
              <w:t>发放合规乡镇占奖励总数的比例</w:t>
            </w:r>
          </w:p>
        </w:tc>
        <w:tc>
          <w:tcPr>
            <w:tcW w:w="2551" w:type="dxa"/>
            <w:vAlign w:val="center"/>
          </w:tcPr>
          <w:p>
            <w:pPr>
              <w:pStyle w:val="14"/>
            </w:pPr>
            <w:r>
              <w:t>100%</w:t>
            </w:r>
          </w:p>
        </w:tc>
        <w:tc>
          <w:tcPr>
            <w:tcW w:w="2268" w:type="dxa"/>
            <w:vAlign w:val="center"/>
          </w:tcPr>
          <w:p>
            <w:pPr>
              <w:pStyle w:val="14"/>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高新技术持续影响时间</w:t>
            </w:r>
          </w:p>
        </w:tc>
        <w:tc>
          <w:tcPr>
            <w:tcW w:w="2835" w:type="dxa"/>
            <w:vAlign w:val="center"/>
          </w:tcPr>
          <w:p>
            <w:pPr>
              <w:pStyle w:val="14"/>
            </w:pPr>
            <w:r>
              <w:t>高新技术对企业持续影响时间</w:t>
            </w:r>
          </w:p>
        </w:tc>
        <w:tc>
          <w:tcPr>
            <w:tcW w:w="2551" w:type="dxa"/>
            <w:vAlign w:val="center"/>
          </w:tcPr>
          <w:p>
            <w:pPr>
              <w:pStyle w:val="14"/>
            </w:pPr>
            <w:r>
              <w:t>对企业影响时间</w:t>
            </w:r>
          </w:p>
        </w:tc>
        <w:tc>
          <w:tcPr>
            <w:tcW w:w="2268" w:type="dxa"/>
            <w:vAlign w:val="center"/>
          </w:tcPr>
          <w:p>
            <w:pPr>
              <w:pStyle w:val="14"/>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企业科技水平提高程度</w:t>
            </w:r>
          </w:p>
        </w:tc>
        <w:tc>
          <w:tcPr>
            <w:tcW w:w="2835" w:type="dxa"/>
            <w:vAlign w:val="center"/>
          </w:tcPr>
          <w:p>
            <w:pPr>
              <w:pStyle w:val="14"/>
            </w:pPr>
            <w:r>
              <w:t>企业科技水平提高程度</w:t>
            </w:r>
          </w:p>
        </w:tc>
        <w:tc>
          <w:tcPr>
            <w:tcW w:w="2551" w:type="dxa"/>
            <w:vAlign w:val="center"/>
          </w:tcPr>
          <w:p>
            <w:pPr>
              <w:pStyle w:val="14"/>
            </w:pPr>
            <w:r>
              <w:t>企业技术创新能力提高</w:t>
            </w:r>
          </w:p>
        </w:tc>
        <w:tc>
          <w:tcPr>
            <w:tcW w:w="2268" w:type="dxa"/>
            <w:vAlign w:val="center"/>
          </w:tcPr>
          <w:p>
            <w:pPr>
              <w:pStyle w:val="14"/>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产出效益越高越好</w:t>
            </w:r>
          </w:p>
        </w:tc>
        <w:tc>
          <w:tcPr>
            <w:tcW w:w="2268" w:type="dxa"/>
            <w:vAlign w:val="center"/>
          </w:tcPr>
          <w:p>
            <w:pPr>
              <w:pStyle w:val="14"/>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对生态没有影响</w:t>
            </w:r>
          </w:p>
        </w:tc>
        <w:tc>
          <w:tcPr>
            <w:tcW w:w="2268" w:type="dxa"/>
            <w:vAlign w:val="center"/>
          </w:tcPr>
          <w:p>
            <w:pPr>
              <w:pStyle w:val="14"/>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100%</w:t>
            </w:r>
          </w:p>
        </w:tc>
        <w:tc>
          <w:tcPr>
            <w:tcW w:w="2268" w:type="dxa"/>
            <w:vAlign w:val="center"/>
          </w:tcPr>
          <w:p>
            <w:pPr>
              <w:pStyle w:val="14"/>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提升业务经办满意度</w:t>
            </w:r>
          </w:p>
        </w:tc>
        <w:tc>
          <w:tcPr>
            <w:tcW w:w="2835" w:type="dxa"/>
            <w:vAlign w:val="center"/>
          </w:tcPr>
          <w:p>
            <w:pPr>
              <w:pStyle w:val="14"/>
            </w:pPr>
            <w:r>
              <w:t>提升业务经办满意度</w:t>
            </w:r>
          </w:p>
        </w:tc>
        <w:tc>
          <w:tcPr>
            <w:tcW w:w="2551" w:type="dxa"/>
            <w:vAlign w:val="center"/>
          </w:tcPr>
          <w:p>
            <w:pPr>
              <w:pStyle w:val="14"/>
            </w:pPr>
            <w:r>
              <w:t>100%</w:t>
            </w:r>
          </w:p>
        </w:tc>
        <w:tc>
          <w:tcPr>
            <w:tcW w:w="2268" w:type="dxa"/>
            <w:vAlign w:val="center"/>
          </w:tcPr>
          <w:p>
            <w:pPr>
              <w:pStyle w:val="14"/>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上级主管部门满意度</w:t>
            </w:r>
          </w:p>
        </w:tc>
        <w:tc>
          <w:tcPr>
            <w:tcW w:w="2835" w:type="dxa"/>
            <w:vAlign w:val="center"/>
          </w:tcPr>
          <w:p>
            <w:pPr>
              <w:pStyle w:val="14"/>
            </w:pPr>
            <w:r>
              <w:t>上级主管部门满意度</w:t>
            </w:r>
          </w:p>
        </w:tc>
        <w:tc>
          <w:tcPr>
            <w:tcW w:w="2551" w:type="dxa"/>
            <w:vAlign w:val="center"/>
          </w:tcPr>
          <w:p>
            <w:pPr>
              <w:pStyle w:val="14"/>
            </w:pPr>
            <w:r>
              <w:t>100%</w:t>
            </w:r>
          </w:p>
        </w:tc>
        <w:tc>
          <w:tcPr>
            <w:tcW w:w="2268" w:type="dxa"/>
            <w:vAlign w:val="center"/>
          </w:tcPr>
          <w:p>
            <w:pPr>
              <w:pStyle w:val="14"/>
            </w:pPr>
            <w:r>
              <w:t>按文件进行奖励</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2022年，无极县发展和改革局本级安排政府采购预算0.00万元。具体内容见下表。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303001无极县发展和改革局本级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无极县发展和改革局本级上年末固定资产金额为152.44万元（详见下表）。本年度拟购置固定资产总额为</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303001无极县发展和改革局本级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128.16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31D37A8"/>
    <w:rsid w:val="03C142B6"/>
    <w:rsid w:val="04FC403D"/>
    <w:rsid w:val="082A0972"/>
    <w:rsid w:val="0AF8308E"/>
    <w:rsid w:val="0B9C6ACB"/>
    <w:rsid w:val="0DEA6003"/>
    <w:rsid w:val="18397C4D"/>
    <w:rsid w:val="1CAF015F"/>
    <w:rsid w:val="1D422D8E"/>
    <w:rsid w:val="1D4E2424"/>
    <w:rsid w:val="211516F9"/>
    <w:rsid w:val="234C71A2"/>
    <w:rsid w:val="26FE1BA1"/>
    <w:rsid w:val="29431740"/>
    <w:rsid w:val="2B355773"/>
    <w:rsid w:val="2C5C3619"/>
    <w:rsid w:val="2D57196B"/>
    <w:rsid w:val="2DA11FE9"/>
    <w:rsid w:val="2E4D4A35"/>
    <w:rsid w:val="2F230DB7"/>
    <w:rsid w:val="32036D1A"/>
    <w:rsid w:val="328922F5"/>
    <w:rsid w:val="380421F3"/>
    <w:rsid w:val="388B33D1"/>
    <w:rsid w:val="3B20747F"/>
    <w:rsid w:val="3F2A54AE"/>
    <w:rsid w:val="3FF55E7C"/>
    <w:rsid w:val="45240FFC"/>
    <w:rsid w:val="48BA78DE"/>
    <w:rsid w:val="49745498"/>
    <w:rsid w:val="50F804CD"/>
    <w:rsid w:val="52DD3328"/>
    <w:rsid w:val="54040126"/>
    <w:rsid w:val="5AFF6A0E"/>
    <w:rsid w:val="5BCF3295"/>
    <w:rsid w:val="5F7E77B8"/>
    <w:rsid w:val="5FD26226"/>
    <w:rsid w:val="610C2208"/>
    <w:rsid w:val="6204045B"/>
    <w:rsid w:val="62CB49A1"/>
    <w:rsid w:val="65100596"/>
    <w:rsid w:val="65B45EEB"/>
    <w:rsid w:val="6876001B"/>
    <w:rsid w:val="68810421"/>
    <w:rsid w:val="6B260059"/>
    <w:rsid w:val="6C811A88"/>
    <w:rsid w:val="71D70B04"/>
    <w:rsid w:val="7367115D"/>
    <w:rsid w:val="74167987"/>
    <w:rsid w:val="74CC2273"/>
    <w:rsid w:val="7518471E"/>
    <w:rsid w:val="767C5A02"/>
    <w:rsid w:val="7C594D0E"/>
    <w:rsid w:val="7FCD34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2022-06-17T14:57:27Z</dcterms:created>
  <dcterms:modified xsi:type="dcterms:W3CDTF">2022-06-17T06:57:27Z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2022-06-17T14:57:24Z</dcterms:created>
  <dcterms:modified xsi:type="dcterms:W3CDTF">2022-06-17T06:57:24Z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2022-06-17T14:57:28Z</dcterms:created>
  <dcterms:modified xsi:type="dcterms:W3CDTF">2022-06-17T06:57:28Z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2022-06-17T14:57:28Z</dcterms:created>
  <dcterms:modified xsi:type="dcterms:W3CDTF">2022-06-17T06:57:28Z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19bf88b-0e9f-4024-a6dd-69a19b361f03}">
  <ds:schemaRefs/>
</ds:datastoreItem>
</file>

<file path=customXml/itemProps11.xml><?xml version="1.0" encoding="utf-8"?>
<ds:datastoreItem xmlns:ds="http://schemas.openxmlformats.org/officeDocument/2006/customXml" ds:itemID="{92bb253c-210c-4067-9c88-5e8a2aed1519}">
  <ds:schemaRefs/>
</ds:datastoreItem>
</file>

<file path=customXml/itemProps12.xml><?xml version="1.0" encoding="utf-8"?>
<ds:datastoreItem xmlns:ds="http://schemas.openxmlformats.org/officeDocument/2006/customXml" ds:itemID="{90920dcb-33f5-4569-ba76-a52d9d49617b}">
  <ds:schemaRefs/>
</ds:datastoreItem>
</file>

<file path=customXml/itemProps13.xml><?xml version="1.0" encoding="utf-8"?>
<ds:datastoreItem xmlns:ds="http://schemas.openxmlformats.org/officeDocument/2006/customXml" ds:itemID="{49da57f4-2c5c-4e73-9400-ac4103bdecfc}">
  <ds:schemaRefs/>
</ds:datastoreItem>
</file>

<file path=customXml/itemProps14.xml><?xml version="1.0" encoding="utf-8"?>
<ds:datastoreItem xmlns:ds="http://schemas.openxmlformats.org/officeDocument/2006/customXml" ds:itemID="{1a46a0a1-6236-4147-81d1-99c3c1e62886}">
  <ds:schemaRefs/>
</ds:datastoreItem>
</file>

<file path=customXml/itemProps15.xml><?xml version="1.0" encoding="utf-8"?>
<ds:datastoreItem xmlns:ds="http://schemas.openxmlformats.org/officeDocument/2006/customXml" ds:itemID="{a634091a-1c2c-4580-a0bb-0934182430f3}">
  <ds:schemaRefs/>
</ds:datastoreItem>
</file>

<file path=customXml/itemProps2.xml><?xml version="1.0" encoding="utf-8"?>
<ds:datastoreItem xmlns:ds="http://schemas.openxmlformats.org/officeDocument/2006/customXml" ds:itemID="{7714e996-3bbc-496b-b397-c6a063e161f0}">
  <ds:schemaRefs/>
</ds:datastoreItem>
</file>

<file path=customXml/itemProps3.xml><?xml version="1.0" encoding="utf-8"?>
<ds:datastoreItem xmlns:ds="http://schemas.openxmlformats.org/officeDocument/2006/customXml" ds:itemID="{0d82381d-b619-4cac-8725-665650b48ae7}">
  <ds:schemaRefs/>
</ds:datastoreItem>
</file>

<file path=customXml/itemProps4.xml><?xml version="1.0" encoding="utf-8"?>
<ds:datastoreItem xmlns:ds="http://schemas.openxmlformats.org/officeDocument/2006/customXml" ds:itemID="{5c8eeb7f-ae0e-4cac-8543-a4aef9efc00e}">
  <ds:schemaRefs/>
</ds:datastoreItem>
</file>

<file path=customXml/itemProps5.xml><?xml version="1.0" encoding="utf-8"?>
<ds:datastoreItem xmlns:ds="http://schemas.openxmlformats.org/officeDocument/2006/customXml" ds:itemID="{a6298fa9-4f95-4911-adc2-7603c3f7dbc7}">
  <ds:schemaRefs/>
</ds:datastoreItem>
</file>

<file path=customXml/itemProps6.xml><?xml version="1.0" encoding="utf-8"?>
<ds:datastoreItem xmlns:ds="http://schemas.openxmlformats.org/officeDocument/2006/customXml" ds:itemID="{72a6e59f-c5f2-47b3-a10d-e294499e9c48}">
  <ds:schemaRefs/>
</ds:datastoreItem>
</file>

<file path=customXml/itemProps7.xml><?xml version="1.0" encoding="utf-8"?>
<ds:datastoreItem xmlns:ds="http://schemas.openxmlformats.org/officeDocument/2006/customXml" ds:itemID="{56a7f0b1-a1fe-47a9-ba95-b5b3c48b38cf}">
  <ds:schemaRefs/>
</ds:datastoreItem>
</file>

<file path=customXml/itemProps8.xml><?xml version="1.0" encoding="utf-8"?>
<ds:datastoreItem xmlns:ds="http://schemas.openxmlformats.org/officeDocument/2006/customXml" ds:itemID="{d6c16060-e667-475b-a9ef-f20d60b4eceb}">
  <ds:schemaRefs/>
</ds:datastoreItem>
</file>

<file path=customXml/itemProps9.xml><?xml version="1.0" encoding="utf-8"?>
<ds:datastoreItem xmlns:ds="http://schemas.openxmlformats.org/officeDocument/2006/customXml" ds:itemID="{5f73707d-74f1-4b4d-87db-492645acd971}">
  <ds:schemaRefs/>
</ds:datastoreItem>
</file>

<file path=docProps/app.xml><?xml version="1.0" encoding="utf-8"?>
<Properties xmlns="http://schemas.openxmlformats.org/officeDocument/2006/extended-properties" xmlns:vt="http://schemas.openxmlformats.org/officeDocument/2006/docPropsVTypes">
  <Pages>35</Pages>
  <Words>6327</Words>
  <Characters>7604</Characters>
  <TotalTime>0</TotalTime>
  <ScaleCrop>false</ScaleCrop>
  <LinksUpToDate>false</LinksUpToDate>
  <CharactersWithSpaces>7761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2022-06-17T14:57:00Z</dcterms:created>
  <dc:creator>HP</dc:creator>
  <cp:lastModifiedBy>46334</cp:lastModifiedBy>
  <dcterms:modified xsi:type="dcterms:W3CDTF">2023-09-01T11:01:05Z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EB125D709A344F9AAC52B1AEE0FEDB21</vt:lpwstr>
  </property>
</Properties>
</file>