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一、无极县商务局本级收支预算</w:t>
      </w:r>
      <w:r>
        <w:rPr>
          <w:b/>
          <w:bCs/>
        </w:rPr>
        <w:tab/>
      </w:r>
      <w:r>
        <w:rPr>
          <w:b/>
          <w:bCs/>
        </w:rPr>
        <w:fldChar w:fldCharType="begin"/>
      </w:r>
      <w:r>
        <w:rPr>
          <w:b/>
          <w:bCs/>
        </w:rPr>
        <w:instrText xml:space="preserve">PAGEREF _Toc_4_4_0000000019 \h</w:instrText>
      </w:r>
      <w:r>
        <w:rPr>
          <w:b/>
          <w:bCs/>
        </w:rPr>
        <w:fldChar w:fldCharType="separate"/>
      </w:r>
      <w:r>
        <w:rPr>
          <w:b/>
          <w:bCs/>
        </w:rPr>
        <w:t>2</w:t>
      </w:r>
      <w:r>
        <w:rPr>
          <w:b/>
          <w:bCs/>
        </w:rPr>
        <w:fldChar w:fldCharType="end"/>
      </w:r>
      <w:r>
        <w:rPr>
          <w:b/>
          <w:bCs/>
        </w:rPr>
        <w:fldChar w:fldCharType="end"/>
      </w:r>
    </w:p>
    <w:p>
      <w:pPr>
        <w:pStyle w:val="5"/>
        <w:tabs>
          <w:tab w:val="right" w:leader="dot" w:pos="14562"/>
        </w:tabs>
        <w:rPr>
          <w:rFonts w:hint="eastAsia" w:eastAsia="方正仿宋_GBK"/>
          <w:b/>
          <w:bCs/>
          <w:lang w:val="en-US" w:eastAsia="zh-CN"/>
        </w:rPr>
      </w:pPr>
      <w:r>
        <w:rPr>
          <w:b/>
          <w:bCs/>
        </w:rPr>
        <w:fldChar w:fldCharType="begin"/>
      </w:r>
      <w:r>
        <w:rPr>
          <w:b/>
          <w:bCs/>
        </w:rPr>
        <w:instrText xml:space="preserve"> HYPERLINK \l "_Toc_4_4_0000000020" </w:instrText>
      </w:r>
      <w:r>
        <w:rPr>
          <w:b/>
          <w:bCs/>
        </w:rPr>
        <w:fldChar w:fldCharType="separate"/>
      </w:r>
      <w:r>
        <w:rPr>
          <w:b/>
          <w:bCs/>
        </w:rPr>
        <w:t>二、无极县投资促进服务中心收支预算</w:t>
      </w:r>
      <w:r>
        <w:rPr>
          <w:b/>
          <w:bCs/>
        </w:rPr>
        <w:tab/>
      </w:r>
      <w:r>
        <w:rPr>
          <w:rFonts w:hint="eastAsia"/>
          <w:b/>
          <w:bCs/>
          <w:lang w:val="en-US" w:eastAsia="zh-CN"/>
        </w:rPr>
        <w:t>3</w:t>
      </w:r>
      <w:r>
        <w:rPr>
          <w:b/>
          <w:bCs/>
        </w:rPr>
        <w:fldChar w:fldCharType="end"/>
      </w:r>
      <w:r>
        <w:rPr>
          <w:rFonts w:hint="eastAsia"/>
          <w:b/>
          <w:bCs/>
          <w:lang w:val="en-US" w:eastAsia="zh-CN"/>
        </w:rPr>
        <w:t>4</w:t>
      </w:r>
      <w:bookmarkStart w:id="2" w:name="_GoBack"/>
      <w:bookmarkEnd w:id="2"/>
    </w:p>
    <w:p>
      <w:pPr>
        <w:rPr>
          <w:b/>
          <w:bCs/>
        </w:r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322001无极县商务局本级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1299.11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1198.77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1299.11</w:t>
            </w:r>
          </w:p>
        </w:tc>
        <w:tc>
          <w:tcPr>
            <w:tcW w:w="4535" w:type="dxa"/>
            <w:vAlign w:val="center"/>
          </w:tcPr>
          <w:p>
            <w:pPr>
              <w:pStyle w:val="18"/>
            </w:pPr>
            <w:r>
              <w:t>本年支出合计</w:t>
            </w:r>
          </w:p>
        </w:tc>
        <w:tc>
          <w:tcPr>
            <w:tcW w:w="2126" w:type="dxa"/>
            <w:vAlign w:val="center"/>
          </w:tcPr>
          <w:p>
            <w:pPr>
              <w:pStyle w:val="19"/>
            </w:pPr>
            <w:r>
              <w:t>1299.11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1299.11</w:t>
            </w:r>
          </w:p>
        </w:tc>
        <w:tc>
          <w:tcPr>
            <w:tcW w:w="4535" w:type="dxa"/>
            <w:vAlign w:val="center"/>
          </w:tcPr>
          <w:p>
            <w:pPr>
              <w:pStyle w:val="18"/>
            </w:pPr>
            <w:r>
              <w:t>支出总计</w:t>
            </w:r>
          </w:p>
        </w:tc>
        <w:tc>
          <w:tcPr>
            <w:tcW w:w="2126" w:type="dxa"/>
            <w:vAlign w:val="center"/>
          </w:tcPr>
          <w:p>
            <w:pPr>
              <w:pStyle w:val="19"/>
            </w:pPr>
            <w:r>
              <w:t>1299.11</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322001无极县商务局本级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1299.11</w:t>
            </w:r>
          </w:p>
        </w:tc>
        <w:tc>
          <w:tcPr>
            <w:tcW w:w="1134" w:type="dxa"/>
            <w:vAlign w:val="center"/>
          </w:tcPr>
          <w:p>
            <w:pPr>
              <w:pStyle w:val="19"/>
            </w:pPr>
            <w:r>
              <w:t>1299.11</w:t>
            </w:r>
          </w:p>
        </w:tc>
        <w:tc>
          <w:tcPr>
            <w:tcW w:w="1134" w:type="dxa"/>
            <w:vAlign w:val="center"/>
          </w:tcPr>
          <w:p>
            <w:pPr>
              <w:pStyle w:val="19"/>
            </w:pPr>
            <w:r>
              <w:t>1299.11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55.50</w:t>
            </w:r>
          </w:p>
        </w:tc>
        <w:tc>
          <w:tcPr>
            <w:tcW w:w="1134" w:type="dxa"/>
            <w:vAlign w:val="center"/>
          </w:tcPr>
          <w:p>
            <w:pPr>
              <w:pStyle w:val="15"/>
            </w:pPr>
            <w:r>
              <w:t>55.50</w:t>
            </w:r>
          </w:p>
        </w:tc>
        <w:tc>
          <w:tcPr>
            <w:tcW w:w="1134" w:type="dxa"/>
            <w:vAlign w:val="center"/>
          </w:tcPr>
          <w:p>
            <w:pPr>
              <w:pStyle w:val="15"/>
            </w:pPr>
            <w:r>
              <w:t>55.50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14.54</w:t>
            </w:r>
          </w:p>
        </w:tc>
        <w:tc>
          <w:tcPr>
            <w:tcW w:w="1134" w:type="dxa"/>
            <w:vAlign w:val="center"/>
          </w:tcPr>
          <w:p>
            <w:pPr>
              <w:pStyle w:val="15"/>
            </w:pPr>
            <w:r>
              <w:t>14.54</w:t>
            </w:r>
          </w:p>
        </w:tc>
        <w:tc>
          <w:tcPr>
            <w:tcW w:w="1134" w:type="dxa"/>
            <w:vAlign w:val="center"/>
          </w:tcPr>
          <w:p>
            <w:pPr>
              <w:pStyle w:val="15"/>
            </w:pPr>
            <w:r>
              <w:t>14.54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2160201</w:t>
            </w:r>
          </w:p>
        </w:tc>
        <w:tc>
          <w:tcPr>
            <w:tcW w:w="1559" w:type="dxa"/>
            <w:vAlign w:val="center"/>
          </w:tcPr>
          <w:p>
            <w:pPr>
              <w:pStyle w:val="16"/>
            </w:pPr>
            <w:r>
              <w:t>行政运行</w:t>
            </w:r>
          </w:p>
        </w:tc>
        <w:tc>
          <w:tcPr>
            <w:tcW w:w="1134" w:type="dxa"/>
            <w:vAlign w:val="center"/>
          </w:tcPr>
          <w:p>
            <w:pPr>
              <w:pStyle w:val="15"/>
            </w:pPr>
            <w:r>
              <w:t>648.77</w:t>
            </w:r>
          </w:p>
        </w:tc>
        <w:tc>
          <w:tcPr>
            <w:tcW w:w="1134" w:type="dxa"/>
            <w:vAlign w:val="center"/>
          </w:tcPr>
          <w:p>
            <w:pPr>
              <w:pStyle w:val="15"/>
            </w:pPr>
            <w:r>
              <w:t>648.77</w:t>
            </w:r>
          </w:p>
        </w:tc>
        <w:tc>
          <w:tcPr>
            <w:tcW w:w="1134" w:type="dxa"/>
            <w:vAlign w:val="center"/>
          </w:tcPr>
          <w:p>
            <w:pPr>
              <w:pStyle w:val="15"/>
            </w:pPr>
            <w:r>
              <w:t>648.77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550.00</w:t>
            </w:r>
          </w:p>
        </w:tc>
        <w:tc>
          <w:tcPr>
            <w:tcW w:w="1134" w:type="dxa"/>
            <w:vAlign w:val="center"/>
          </w:tcPr>
          <w:p>
            <w:pPr>
              <w:pStyle w:val="15"/>
            </w:pPr>
            <w:r>
              <w:t>550.00</w:t>
            </w:r>
          </w:p>
        </w:tc>
        <w:tc>
          <w:tcPr>
            <w:tcW w:w="1134" w:type="dxa"/>
            <w:vAlign w:val="center"/>
          </w:tcPr>
          <w:p>
            <w:pPr>
              <w:pStyle w:val="15"/>
            </w:pPr>
            <w:r>
              <w:t>550.00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1299.11</w:t>
            </w:r>
          </w:p>
        </w:tc>
        <w:tc>
          <w:tcPr>
            <w:tcW w:w="1361" w:type="dxa"/>
            <w:vAlign w:val="center"/>
          </w:tcPr>
          <w:p>
            <w:pPr>
              <w:pStyle w:val="19"/>
            </w:pPr>
            <w:r>
              <w:t>749.11</w:t>
            </w:r>
          </w:p>
        </w:tc>
        <w:tc>
          <w:tcPr>
            <w:tcW w:w="1361" w:type="dxa"/>
            <w:vAlign w:val="center"/>
          </w:tcPr>
          <w:p>
            <w:pPr>
              <w:pStyle w:val="19"/>
            </w:pPr>
            <w:r>
              <w:t>550.00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70.04</w:t>
            </w:r>
          </w:p>
        </w:tc>
        <w:tc>
          <w:tcPr>
            <w:tcW w:w="1361" w:type="dxa"/>
            <w:vAlign w:val="center"/>
          </w:tcPr>
          <w:p>
            <w:pPr>
              <w:pStyle w:val="15"/>
            </w:pPr>
            <w:r>
              <w:t>70.04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70.04</w:t>
            </w:r>
          </w:p>
        </w:tc>
        <w:tc>
          <w:tcPr>
            <w:tcW w:w="1361" w:type="dxa"/>
            <w:vAlign w:val="center"/>
          </w:tcPr>
          <w:p>
            <w:pPr>
              <w:pStyle w:val="15"/>
            </w:pPr>
            <w:r>
              <w:t>70.04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55.50</w:t>
            </w:r>
          </w:p>
        </w:tc>
        <w:tc>
          <w:tcPr>
            <w:tcW w:w="1361" w:type="dxa"/>
            <w:vAlign w:val="center"/>
          </w:tcPr>
          <w:p>
            <w:pPr>
              <w:pStyle w:val="15"/>
            </w:pPr>
            <w:r>
              <w:t>55.50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14.54</w:t>
            </w:r>
          </w:p>
        </w:tc>
        <w:tc>
          <w:tcPr>
            <w:tcW w:w="1361" w:type="dxa"/>
            <w:vAlign w:val="center"/>
          </w:tcPr>
          <w:p>
            <w:pPr>
              <w:pStyle w:val="15"/>
            </w:pPr>
            <w:r>
              <w:t>14.54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1198.77</w:t>
            </w:r>
          </w:p>
        </w:tc>
        <w:tc>
          <w:tcPr>
            <w:tcW w:w="1361" w:type="dxa"/>
            <w:vAlign w:val="center"/>
          </w:tcPr>
          <w:p>
            <w:pPr>
              <w:pStyle w:val="15"/>
            </w:pPr>
            <w:r>
              <w:t>648.77</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1198.77</w:t>
            </w:r>
          </w:p>
        </w:tc>
        <w:tc>
          <w:tcPr>
            <w:tcW w:w="1361" w:type="dxa"/>
            <w:vAlign w:val="center"/>
          </w:tcPr>
          <w:p>
            <w:pPr>
              <w:pStyle w:val="15"/>
            </w:pPr>
            <w:r>
              <w:t>648.77</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2160201</w:t>
            </w:r>
          </w:p>
        </w:tc>
        <w:tc>
          <w:tcPr>
            <w:tcW w:w="4535" w:type="dxa"/>
            <w:vAlign w:val="center"/>
          </w:tcPr>
          <w:p>
            <w:pPr>
              <w:pStyle w:val="16"/>
            </w:pPr>
            <w:r>
              <w:t>行政运行</w:t>
            </w:r>
          </w:p>
        </w:tc>
        <w:tc>
          <w:tcPr>
            <w:tcW w:w="1361" w:type="dxa"/>
            <w:vAlign w:val="center"/>
          </w:tcPr>
          <w:p>
            <w:pPr>
              <w:pStyle w:val="15"/>
            </w:pPr>
            <w:r>
              <w:t>648.77</w:t>
            </w:r>
          </w:p>
        </w:tc>
        <w:tc>
          <w:tcPr>
            <w:tcW w:w="1361" w:type="dxa"/>
            <w:vAlign w:val="center"/>
          </w:tcPr>
          <w:p>
            <w:pPr>
              <w:pStyle w:val="15"/>
            </w:pPr>
            <w:r>
              <w:t>648.77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1299.11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70.04</w:t>
            </w:r>
          </w:p>
        </w:tc>
        <w:tc>
          <w:tcPr>
            <w:tcW w:w="1474" w:type="dxa"/>
            <w:vAlign w:val="center"/>
          </w:tcPr>
          <w:p>
            <w:pPr>
              <w:pStyle w:val="15"/>
            </w:pPr>
            <w:r>
              <w:t>70.04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30.30</w:t>
            </w:r>
          </w:p>
        </w:tc>
        <w:tc>
          <w:tcPr>
            <w:tcW w:w="1474" w:type="dxa"/>
            <w:vAlign w:val="center"/>
          </w:tcPr>
          <w:p>
            <w:pPr>
              <w:pStyle w:val="15"/>
            </w:pPr>
            <w:r>
              <w:t>30.30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1198.77</w:t>
            </w:r>
          </w:p>
        </w:tc>
        <w:tc>
          <w:tcPr>
            <w:tcW w:w="1474" w:type="dxa"/>
            <w:vAlign w:val="center"/>
          </w:tcPr>
          <w:p>
            <w:pPr>
              <w:pStyle w:val="15"/>
            </w:pPr>
            <w:r>
              <w:t>1198.77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1299.11</w:t>
            </w:r>
          </w:p>
        </w:tc>
        <w:tc>
          <w:tcPr>
            <w:tcW w:w="3402" w:type="dxa"/>
            <w:vAlign w:val="center"/>
          </w:tcPr>
          <w:p>
            <w:pPr>
              <w:pStyle w:val="18"/>
            </w:pPr>
            <w:r>
              <w:t>本年支出合计</w:t>
            </w:r>
          </w:p>
        </w:tc>
        <w:tc>
          <w:tcPr>
            <w:tcW w:w="1474" w:type="dxa"/>
            <w:vAlign w:val="center"/>
          </w:tcPr>
          <w:p>
            <w:pPr>
              <w:pStyle w:val="19"/>
            </w:pPr>
            <w:r>
              <w:t>1299.11</w:t>
            </w:r>
          </w:p>
        </w:tc>
        <w:tc>
          <w:tcPr>
            <w:tcW w:w="1474" w:type="dxa"/>
            <w:vAlign w:val="center"/>
          </w:tcPr>
          <w:p>
            <w:pPr>
              <w:pStyle w:val="19"/>
            </w:pPr>
            <w:r>
              <w:t>1299.11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1299.11</w:t>
            </w:r>
          </w:p>
        </w:tc>
        <w:tc>
          <w:tcPr>
            <w:tcW w:w="3402" w:type="dxa"/>
            <w:vAlign w:val="center"/>
          </w:tcPr>
          <w:p>
            <w:pPr>
              <w:pStyle w:val="18"/>
            </w:pPr>
            <w:r>
              <w:t>支出总计</w:t>
            </w:r>
          </w:p>
        </w:tc>
        <w:tc>
          <w:tcPr>
            <w:tcW w:w="1474" w:type="dxa"/>
            <w:vAlign w:val="center"/>
          </w:tcPr>
          <w:p>
            <w:pPr>
              <w:pStyle w:val="19"/>
            </w:pPr>
            <w:r>
              <w:t>1299.11</w:t>
            </w:r>
          </w:p>
        </w:tc>
        <w:tc>
          <w:tcPr>
            <w:tcW w:w="1474" w:type="dxa"/>
            <w:vAlign w:val="center"/>
          </w:tcPr>
          <w:p>
            <w:pPr>
              <w:pStyle w:val="19"/>
            </w:pPr>
            <w:r>
              <w:t>1299.11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1299.11</w:t>
            </w:r>
          </w:p>
        </w:tc>
        <w:tc>
          <w:tcPr>
            <w:tcW w:w="2551" w:type="dxa"/>
            <w:vAlign w:val="center"/>
          </w:tcPr>
          <w:p>
            <w:pPr>
              <w:pStyle w:val="19"/>
            </w:pPr>
            <w:r>
              <w:t>749.11</w:t>
            </w:r>
          </w:p>
        </w:tc>
        <w:tc>
          <w:tcPr>
            <w:tcW w:w="2551" w:type="dxa"/>
            <w:vAlign w:val="center"/>
          </w:tcPr>
          <w:p>
            <w:pPr>
              <w:pStyle w:val="19"/>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70.04</w:t>
            </w:r>
          </w:p>
        </w:tc>
        <w:tc>
          <w:tcPr>
            <w:tcW w:w="2551" w:type="dxa"/>
            <w:vAlign w:val="center"/>
          </w:tcPr>
          <w:p>
            <w:pPr>
              <w:pStyle w:val="15"/>
            </w:pPr>
            <w:r>
              <w:t>70.04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70.04</w:t>
            </w:r>
          </w:p>
        </w:tc>
        <w:tc>
          <w:tcPr>
            <w:tcW w:w="2551" w:type="dxa"/>
            <w:vAlign w:val="center"/>
          </w:tcPr>
          <w:p>
            <w:pPr>
              <w:pStyle w:val="15"/>
            </w:pPr>
            <w:r>
              <w:t>70.04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14.54</w:t>
            </w:r>
          </w:p>
        </w:tc>
        <w:tc>
          <w:tcPr>
            <w:tcW w:w="2551" w:type="dxa"/>
            <w:vAlign w:val="center"/>
          </w:tcPr>
          <w:p>
            <w:pPr>
              <w:pStyle w:val="15"/>
            </w:pPr>
            <w:r>
              <w:t>14.54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1198.77</w:t>
            </w:r>
          </w:p>
        </w:tc>
        <w:tc>
          <w:tcPr>
            <w:tcW w:w="2551" w:type="dxa"/>
            <w:vAlign w:val="center"/>
          </w:tcPr>
          <w:p>
            <w:pPr>
              <w:pStyle w:val="15"/>
            </w:pPr>
            <w:r>
              <w:t>648.77</w:t>
            </w:r>
          </w:p>
        </w:tc>
        <w:tc>
          <w:tcPr>
            <w:tcW w:w="2551"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1198.77</w:t>
            </w:r>
          </w:p>
        </w:tc>
        <w:tc>
          <w:tcPr>
            <w:tcW w:w="2551" w:type="dxa"/>
            <w:vAlign w:val="center"/>
          </w:tcPr>
          <w:p>
            <w:pPr>
              <w:pStyle w:val="15"/>
            </w:pPr>
            <w:r>
              <w:t>648.77</w:t>
            </w:r>
          </w:p>
        </w:tc>
        <w:tc>
          <w:tcPr>
            <w:tcW w:w="2551"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2160201</w:t>
            </w:r>
          </w:p>
        </w:tc>
        <w:tc>
          <w:tcPr>
            <w:tcW w:w="4535" w:type="dxa"/>
            <w:vAlign w:val="center"/>
          </w:tcPr>
          <w:p>
            <w:pPr>
              <w:pStyle w:val="16"/>
            </w:pPr>
            <w:r>
              <w:t>行政运行</w:t>
            </w:r>
          </w:p>
        </w:tc>
        <w:tc>
          <w:tcPr>
            <w:tcW w:w="2551" w:type="dxa"/>
            <w:vAlign w:val="center"/>
          </w:tcPr>
          <w:p>
            <w:pPr>
              <w:pStyle w:val="15"/>
            </w:pPr>
            <w:r>
              <w:t>648.77</w:t>
            </w:r>
          </w:p>
        </w:tc>
        <w:tc>
          <w:tcPr>
            <w:tcW w:w="2551" w:type="dxa"/>
            <w:vAlign w:val="center"/>
          </w:tcPr>
          <w:p>
            <w:pPr>
              <w:pStyle w:val="15"/>
            </w:pPr>
            <w:r>
              <w:t>648.77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550.00</w:t>
            </w:r>
          </w:p>
        </w:tc>
        <w:tc>
          <w:tcPr>
            <w:tcW w:w="2551" w:type="dxa"/>
            <w:vAlign w:val="center"/>
          </w:tcPr>
          <w:p>
            <w:pPr>
              <w:pStyle w:val="15"/>
            </w:pPr>
          </w:p>
        </w:tc>
        <w:tc>
          <w:tcPr>
            <w:tcW w:w="2551" w:type="dxa"/>
            <w:vAlign w:val="center"/>
          </w:tcPr>
          <w:p>
            <w:pPr>
              <w:pStyle w:val="15"/>
            </w:pPr>
            <w:r>
              <w:t>550.00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749.11</w:t>
            </w:r>
          </w:p>
        </w:tc>
        <w:tc>
          <w:tcPr>
            <w:tcW w:w="2551" w:type="dxa"/>
            <w:vAlign w:val="center"/>
          </w:tcPr>
          <w:p>
            <w:pPr>
              <w:pStyle w:val="19"/>
            </w:pPr>
            <w:r>
              <w:t>705.11</w:t>
            </w:r>
          </w:p>
        </w:tc>
        <w:tc>
          <w:tcPr>
            <w:tcW w:w="2551" w:type="dxa"/>
            <w:vAlign w:val="center"/>
          </w:tcPr>
          <w:p>
            <w:pPr>
              <w:pStyle w:val="19"/>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524.42</w:t>
            </w:r>
          </w:p>
        </w:tc>
        <w:tc>
          <w:tcPr>
            <w:tcW w:w="2551" w:type="dxa"/>
            <w:vAlign w:val="center"/>
          </w:tcPr>
          <w:p>
            <w:pPr>
              <w:pStyle w:val="15"/>
            </w:pPr>
            <w:r>
              <w:t>524.42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250.34</w:t>
            </w:r>
          </w:p>
        </w:tc>
        <w:tc>
          <w:tcPr>
            <w:tcW w:w="2551" w:type="dxa"/>
            <w:vAlign w:val="center"/>
          </w:tcPr>
          <w:p>
            <w:pPr>
              <w:pStyle w:val="15"/>
            </w:pPr>
            <w:r>
              <w:t>250.34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122.63</w:t>
            </w:r>
          </w:p>
        </w:tc>
        <w:tc>
          <w:tcPr>
            <w:tcW w:w="2551" w:type="dxa"/>
            <w:vAlign w:val="center"/>
          </w:tcPr>
          <w:p>
            <w:pPr>
              <w:pStyle w:val="15"/>
            </w:pPr>
            <w:r>
              <w:t>122.63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46.30</w:t>
            </w:r>
          </w:p>
        </w:tc>
        <w:tc>
          <w:tcPr>
            <w:tcW w:w="2551" w:type="dxa"/>
            <w:vAlign w:val="center"/>
          </w:tcPr>
          <w:p>
            <w:pPr>
              <w:pStyle w:val="15"/>
            </w:pPr>
            <w:r>
              <w:t>46.30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14.54</w:t>
            </w:r>
          </w:p>
        </w:tc>
        <w:tc>
          <w:tcPr>
            <w:tcW w:w="2551" w:type="dxa"/>
            <w:vAlign w:val="center"/>
          </w:tcPr>
          <w:p>
            <w:pPr>
              <w:pStyle w:val="15"/>
            </w:pPr>
            <w:r>
              <w:t>14.54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2.41</w:t>
            </w:r>
          </w:p>
        </w:tc>
        <w:tc>
          <w:tcPr>
            <w:tcW w:w="2551" w:type="dxa"/>
            <w:vAlign w:val="center"/>
          </w:tcPr>
          <w:p>
            <w:pPr>
              <w:pStyle w:val="15"/>
            </w:pPr>
            <w:r>
              <w:t>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44.00</w:t>
            </w:r>
          </w:p>
        </w:tc>
        <w:tc>
          <w:tcPr>
            <w:tcW w:w="2551" w:type="dxa"/>
            <w:vAlign w:val="center"/>
          </w:tcPr>
          <w:p>
            <w:pPr>
              <w:pStyle w:val="15"/>
            </w:pPr>
          </w:p>
        </w:tc>
        <w:tc>
          <w:tcPr>
            <w:tcW w:w="2551" w:type="dxa"/>
            <w:vAlign w:val="center"/>
          </w:tcPr>
          <w:p>
            <w:pPr>
              <w:pStyle w:val="15"/>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28.00</w:t>
            </w:r>
          </w:p>
        </w:tc>
        <w:tc>
          <w:tcPr>
            <w:tcW w:w="2551" w:type="dxa"/>
            <w:vAlign w:val="center"/>
          </w:tcPr>
          <w:p>
            <w:pPr>
              <w:pStyle w:val="15"/>
            </w:pPr>
          </w:p>
        </w:tc>
        <w:tc>
          <w:tcPr>
            <w:tcW w:w="2551"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180.69</w:t>
            </w:r>
          </w:p>
        </w:tc>
        <w:tc>
          <w:tcPr>
            <w:tcW w:w="2551" w:type="dxa"/>
            <w:vAlign w:val="center"/>
          </w:tcPr>
          <w:p>
            <w:pPr>
              <w:pStyle w:val="15"/>
            </w:pPr>
            <w:r>
              <w:t>180.69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16.38</w:t>
            </w:r>
          </w:p>
        </w:tc>
        <w:tc>
          <w:tcPr>
            <w:tcW w:w="2551" w:type="dxa"/>
            <w:vAlign w:val="center"/>
          </w:tcPr>
          <w:p>
            <w:pPr>
              <w:pStyle w:val="15"/>
            </w:pPr>
            <w:r>
              <w:t>16.38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164.31</w:t>
            </w:r>
          </w:p>
        </w:tc>
        <w:tc>
          <w:tcPr>
            <w:tcW w:w="2551" w:type="dxa"/>
            <w:vAlign w:val="center"/>
          </w:tcPr>
          <w:p>
            <w:pPr>
              <w:pStyle w:val="15"/>
            </w:pPr>
            <w:r>
              <w:t>164.31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无极县商务局本级2023年单位预算信息公开情况说明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按照《预算法》、《地方预决算公开操作规程》和《关于进一步推进预算公开工作的实施意见》规定，现将无极县商务局本级2023年单位预算公开如下：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29"/>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29"/>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29"/>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29"/>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29"/>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9"/>
      </w:pPr>
      <w:r>
        <w:t>（七）贯彻执行国家对外技术贸易、进出口管制以及鼓励技术和成套设备进出口的贸易政策。拟订和推进全县科技兴贸战略，依法监督技术引进、设备进口、国家限制出口技术。</w:t>
      </w:r>
    </w:p>
    <w:p>
      <w:pPr>
        <w:pStyle w:val="29"/>
      </w:pPr>
      <w:r>
        <w:t>（八）会同有关部门贯彻执行国家促进服务出口和服务外包发展的规划、政策，牵头拟订全县服务贸易发展规划并组织实施。</w:t>
      </w:r>
    </w:p>
    <w:p>
      <w:pPr>
        <w:pStyle w:val="29"/>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29"/>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29"/>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29"/>
      </w:pPr>
      <w:r>
        <w:t>（十二）负责上级交办的涉及世贸组织相关工作。贯彻执行上级制定的对自由贸易区国家和地区的经贸规划、政策并组织实施。</w:t>
      </w:r>
    </w:p>
    <w:p>
      <w:pPr>
        <w:pStyle w:val="29"/>
      </w:pPr>
      <w:r>
        <w:t>（十三）负责会展业促进和管理工作，拟订会展发展规划、政策措施并组织实施，组织指导境内技术展览会和赴境外非商业性办展活动。</w:t>
      </w:r>
    </w:p>
    <w:p>
      <w:pPr>
        <w:pStyle w:val="29"/>
      </w:pPr>
      <w:r>
        <w:t>（十四）负责经贸交流合作工作。建立联系国内友好关系城市、负责县外单位在我县设立办事机构的备案工作。</w:t>
      </w:r>
    </w:p>
    <w:p>
      <w:pPr>
        <w:pStyle w:val="29"/>
      </w:pPr>
      <w:r>
        <w:t>（十五）监测分析全县商务运行情况，承担全县商务系统对外宣传和信息发布工作。</w:t>
      </w:r>
    </w:p>
    <w:p>
      <w:pPr>
        <w:pStyle w:val="29"/>
      </w:pPr>
      <w:r>
        <w:t>（十六）负责原商务、粮食系统改制企业资产、人员管理，处理原商务、粮食系统遗留问题，确保稳定，确保国有资产保值不流失。</w:t>
      </w:r>
    </w:p>
    <w:p>
      <w:pPr>
        <w:pStyle w:val="29"/>
      </w:pPr>
      <w:r>
        <w:t>（十七）负责拟订招商引资、利用外资、区域协作中长期发展规划、年度计划并组织实施；研究拟订投资促进政策，承担县投资促进工作领导小组日常工作。</w:t>
      </w:r>
    </w:p>
    <w:p>
      <w:pPr>
        <w:pStyle w:val="29"/>
      </w:pPr>
      <w:r>
        <w:t>（十八）负责建立投资促进工作体系、工作机制，对利用国内外资金和经济技术合作进行统计、汇总、分析。</w:t>
      </w:r>
    </w:p>
    <w:p>
      <w:pPr>
        <w:pStyle w:val="29"/>
      </w:pPr>
      <w:r>
        <w:t>（十九）负责促进资金、技术、人才、项目引进和产业对接，争取招商引资相关政策、资金和项目支持。</w:t>
      </w:r>
    </w:p>
    <w:p>
      <w:pPr>
        <w:pStyle w:val="29"/>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29"/>
      </w:pPr>
      <w:r>
        <w:t>（二十一）负责国（境）内外重大投资促进活动的谋划、方案制定和组织实施；牵头组织专业性、行业性投资促进活动；指导协调各乡镇开展招商活动。</w:t>
      </w:r>
    </w:p>
    <w:p>
      <w:pPr>
        <w:pStyle w:val="29"/>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9"/>
      </w:pPr>
      <w:r>
        <w:t>（二十三）负责对国（境）内外重要客户的联络拓展、重要团组和客户来访考察、洽谈的组织。</w:t>
      </w:r>
    </w:p>
    <w:p>
      <w:pPr>
        <w:pStyle w:val="29"/>
      </w:pPr>
      <w:r>
        <w:t>（二十四）组织和促进委托招商、代理招商、中介招商、专业招商、网上招商等多种形式的招商活动，制订并落实奖励政策；加强招商引资专业人才队伍建设。</w:t>
      </w:r>
    </w:p>
    <w:p>
      <w:pPr>
        <w:pStyle w:val="29"/>
      </w:pPr>
      <w:r>
        <w:t>（二十五）负责引进央企资金、项目及各项合作，促进合作项目的建设，负责为央企服务工作；负责外商投资项目建设的跟踪、协调和服务工作，负责引进资金到位统计工作。</w:t>
      </w:r>
    </w:p>
    <w:p>
      <w:pPr>
        <w:pStyle w:val="29"/>
      </w:pPr>
      <w:r>
        <w:t>（二十六）负责指导全县经济技术交流与区域经济技术合作工作；负责区域间资金、项目、人才、科研成果及产业合作工作，开展与重点大专院校、科研院所合作。</w:t>
      </w:r>
    </w:p>
    <w:p>
      <w:pPr>
        <w:pStyle w:val="29"/>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29"/>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按照预算管理有关规定，目前我县</w:t>
      </w:r>
      <w:r>
        <w:rPr>
          <w:rFonts w:hint="eastAsia"/>
          <w:lang w:eastAsia="zh-CN"/>
        </w:rPr>
        <w:t>单位</w:t>
      </w:r>
      <w:r>
        <w:t>预算的编制实行综合预算管理，即全部收入和支出都反映在</w:t>
      </w:r>
      <w:r>
        <w:rPr>
          <w:rFonts w:hint="eastAsia"/>
          <w:lang w:val="en-US" w:eastAsia="zh-CN"/>
        </w:rPr>
        <w:t>单位</w:t>
      </w:r>
      <w:r>
        <w:t>预算中。无极县商务局</w:t>
      </w:r>
      <w:r>
        <w:rPr>
          <w:rFonts w:hint="eastAsia"/>
          <w:lang w:val="en-US" w:eastAsia="zh-CN"/>
        </w:rPr>
        <w:t>本级</w:t>
      </w:r>
      <w:r>
        <w:t>收支包含在</w:t>
      </w:r>
      <w:r>
        <w:rPr>
          <w:rFonts w:hint="eastAsia"/>
          <w:lang w:eastAsia="zh-CN"/>
        </w:rPr>
        <w:t>单位</w:t>
      </w:r>
      <w:r>
        <w:t>预算中。</w:t>
      </w:r>
    </w:p>
    <w:p>
      <w:pPr>
        <w:pStyle w:val="30"/>
      </w:pPr>
      <w:r>
        <w:t xml:space="preserve">1、收入说明 </w:t>
      </w:r>
    </w:p>
    <w:p>
      <w:pPr>
        <w:pStyle w:val="30"/>
        <w:rPr>
          <w:highlight w:val="none"/>
        </w:rPr>
      </w:pPr>
      <w:r>
        <w:rPr>
          <w:highlight w:val="none"/>
        </w:rPr>
        <w:t>反映本</w:t>
      </w:r>
      <w:r>
        <w:rPr>
          <w:rFonts w:hint="eastAsia"/>
          <w:highlight w:val="none"/>
          <w:lang w:eastAsia="zh-CN"/>
        </w:rPr>
        <w:t>单位</w:t>
      </w:r>
      <w:r>
        <w:rPr>
          <w:highlight w:val="none"/>
        </w:rPr>
        <w:t>当年全部收入，2023年</w:t>
      </w:r>
      <w:r>
        <w:rPr>
          <w:rFonts w:hint="eastAsia"/>
          <w:highlight w:val="none"/>
          <w:lang w:val="en-US" w:eastAsia="zh-CN"/>
        </w:rPr>
        <w:t>单位</w:t>
      </w:r>
      <w:r>
        <w:rPr>
          <w:highlight w:val="none"/>
        </w:rPr>
        <w:t>预算收入</w:t>
      </w:r>
      <w:r>
        <w:rPr>
          <w:rFonts w:hint="eastAsia"/>
          <w:highlight w:val="none"/>
          <w:lang w:val="en-US" w:eastAsia="zh-CN"/>
        </w:rPr>
        <w:t>1299.11</w:t>
      </w:r>
      <w:r>
        <w:rPr>
          <w:highlight w:val="none"/>
        </w:rPr>
        <w:t>万元，其中：一般公共预算拨款</w:t>
      </w:r>
      <w:r>
        <w:rPr>
          <w:rFonts w:hint="eastAsia"/>
          <w:highlight w:val="none"/>
          <w:lang w:val="en-US" w:eastAsia="zh-CN"/>
        </w:rPr>
        <w:t>1299.11</w:t>
      </w:r>
      <w:r>
        <w:rPr>
          <w:highlight w:val="none"/>
        </w:rPr>
        <w:t>万元，基金预算拨款0万元，财政专户核拨0万元，其他来源收入0万元。</w:t>
      </w:r>
    </w:p>
    <w:p>
      <w:pPr>
        <w:pStyle w:val="30"/>
        <w:rPr>
          <w:highlight w:val="none"/>
        </w:rPr>
      </w:pPr>
      <w:r>
        <w:rPr>
          <w:highlight w:val="none"/>
        </w:rPr>
        <w:t>2、支出说明</w:t>
      </w:r>
    </w:p>
    <w:p>
      <w:pPr>
        <w:pStyle w:val="30"/>
        <w:rPr>
          <w:highlight w:val="none"/>
        </w:rPr>
      </w:pPr>
      <w:r>
        <w:rPr>
          <w:highlight w:val="none"/>
        </w:rPr>
        <w:t>收支预算总表支出栏、基本支出表、项目支出表按经济分类和支出功能分类科目编制，反映商务</w:t>
      </w:r>
      <w:r>
        <w:rPr>
          <w:rFonts w:hint="eastAsia"/>
          <w:highlight w:val="none"/>
          <w:lang w:val="en-US" w:eastAsia="zh-CN"/>
        </w:rPr>
        <w:t>局</w:t>
      </w:r>
      <w:r>
        <w:rPr>
          <w:highlight w:val="none"/>
        </w:rPr>
        <w:t>年度</w:t>
      </w:r>
      <w:r>
        <w:rPr>
          <w:rFonts w:hint="eastAsia"/>
          <w:highlight w:val="none"/>
          <w:lang w:eastAsia="zh-CN"/>
        </w:rPr>
        <w:t>单位</w:t>
      </w:r>
      <w:r>
        <w:rPr>
          <w:highlight w:val="none"/>
        </w:rPr>
        <w:t>预算中支出预算的总体情况。2023年</w:t>
      </w:r>
      <w:r>
        <w:rPr>
          <w:rFonts w:hint="eastAsia"/>
          <w:highlight w:val="none"/>
          <w:lang w:eastAsia="zh-CN"/>
        </w:rPr>
        <w:t>单位</w:t>
      </w:r>
      <w:r>
        <w:rPr>
          <w:highlight w:val="none"/>
        </w:rPr>
        <w:t>支出预算为</w:t>
      </w:r>
      <w:r>
        <w:rPr>
          <w:rFonts w:hint="eastAsia"/>
          <w:highlight w:val="none"/>
          <w:lang w:val="en-US" w:eastAsia="zh-CN"/>
        </w:rPr>
        <w:t>1299.11</w:t>
      </w:r>
      <w:r>
        <w:rPr>
          <w:highlight w:val="none"/>
        </w:rPr>
        <w:t>万元，其中基本支出7</w:t>
      </w:r>
      <w:r>
        <w:rPr>
          <w:rFonts w:hint="eastAsia"/>
          <w:highlight w:val="none"/>
          <w:lang w:val="en-US" w:eastAsia="zh-CN"/>
        </w:rPr>
        <w:t>49</w:t>
      </w:r>
      <w:r>
        <w:rPr>
          <w:highlight w:val="none"/>
        </w:rPr>
        <w:t>.11元，包括人员经费705.11万元和日常公用经费</w:t>
      </w:r>
      <w:r>
        <w:rPr>
          <w:rFonts w:hint="eastAsia"/>
          <w:highlight w:val="none"/>
          <w:lang w:val="en-US" w:eastAsia="zh-CN"/>
        </w:rPr>
        <w:t>44</w:t>
      </w:r>
      <w:r>
        <w:rPr>
          <w:highlight w:val="none"/>
        </w:rPr>
        <w:t>万元；项目支出550万元</w:t>
      </w:r>
      <w:r>
        <w:rPr>
          <w:rFonts w:hint="eastAsia"/>
          <w:highlight w:val="none"/>
        </w:rPr>
        <w:t>，主要为提前下达2023年中央服务业发展资金550万元</w:t>
      </w:r>
      <w:r>
        <w:rPr>
          <w:highlight w:val="none"/>
        </w:rPr>
        <w:t>。</w:t>
      </w:r>
    </w:p>
    <w:p>
      <w:pPr>
        <w:pStyle w:val="30"/>
        <w:rPr>
          <w:highlight w:val="none"/>
        </w:rPr>
      </w:pPr>
      <w:r>
        <w:rPr>
          <w:highlight w:val="none"/>
        </w:rPr>
        <w:t>3、比上年增减情况</w:t>
      </w:r>
    </w:p>
    <w:p>
      <w:pPr>
        <w:pStyle w:val="30"/>
        <w:rPr>
          <w:highlight w:val="none"/>
        </w:rPr>
      </w:pPr>
      <w:r>
        <w:rPr>
          <w:highlight w:val="none"/>
        </w:rPr>
        <w:t>2023年</w:t>
      </w:r>
      <w:r>
        <w:rPr>
          <w:rFonts w:hint="eastAsia"/>
          <w:highlight w:val="none"/>
          <w:lang w:eastAsia="zh-CN"/>
        </w:rPr>
        <w:t>单位</w:t>
      </w:r>
      <w:r>
        <w:rPr>
          <w:highlight w:val="none"/>
        </w:rPr>
        <w:t>预算支出较2022年增加686.2</w:t>
      </w:r>
      <w:r>
        <w:rPr>
          <w:rFonts w:hint="eastAsia"/>
          <w:highlight w:val="none"/>
          <w:lang w:val="en-US" w:eastAsia="zh-CN"/>
        </w:rPr>
        <w:t>1</w:t>
      </w:r>
      <w:r>
        <w:rPr>
          <w:highlight w:val="none"/>
        </w:rPr>
        <w:t>万元，其中：基本支出增加136.2</w:t>
      </w:r>
      <w:r>
        <w:rPr>
          <w:rFonts w:hint="eastAsia"/>
          <w:highlight w:val="none"/>
          <w:lang w:val="en-US" w:eastAsia="zh-CN"/>
        </w:rPr>
        <w:t>1</w:t>
      </w:r>
      <w:r>
        <w:rPr>
          <w:highlight w:val="none"/>
        </w:rPr>
        <w:t>万元，主要是下属单位人员预算合并；项目支出增加550万元。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2022年，我</w:t>
      </w:r>
      <w:r>
        <w:rPr>
          <w:rFonts w:hint="eastAsia"/>
          <w:lang w:eastAsia="zh-CN"/>
        </w:rPr>
        <w:t>单位</w:t>
      </w:r>
      <w:r>
        <w:t>机关运行经费共计安排</w:t>
      </w:r>
      <w:r>
        <w:rPr>
          <w:rFonts w:hint="eastAsia"/>
          <w:lang w:val="en-US" w:eastAsia="zh-CN"/>
        </w:rPr>
        <w:t>44</w:t>
      </w:r>
      <w:r>
        <w:t>万元，主要用于保证机关正常运行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rPr>
          <w:rFonts w:hint="eastAsia"/>
        </w:rPr>
        <w:t>2023年我</w:t>
      </w:r>
      <w:r>
        <w:rPr>
          <w:rFonts w:hint="eastAsia"/>
          <w:lang w:eastAsia="zh-CN"/>
        </w:rPr>
        <w:t>单位</w:t>
      </w:r>
      <w:r>
        <w:rPr>
          <w:rFonts w:hint="eastAsia"/>
        </w:rPr>
        <w:t>财政拨款“三公”经费预算安排2万元，其中：因公出国（境）费0万元，与上年持平，原因为未安排因公出国（境）费；公务用车购置及运维费2万元（其中：公务用车购置费0万元，公务用车运行维护费2万元），比上年增加2万元，原因为严格按照公务用车相关制度执行，2023年公务用车需要运行维护；公务接待费0万元，与上年持平，原因为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1、关于提前下达2023年中央服务业发展资金预算的通知绩效目标表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w:t>
            </w:r>
            <w:r>
              <w:rPr>
                <w:rFonts w:hint="eastAsia"/>
                <w:lang w:val="en-US" w:eastAsia="zh-CN"/>
              </w:rPr>
              <w:t>改善现代服务业公共服务体系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对大型物流配送中心、重点承办企</w:t>
            </w:r>
          </w:p>
        </w:tc>
        <w:tc>
          <w:tcPr>
            <w:tcW w:w="2835" w:type="dxa"/>
            <w:vAlign w:val="center"/>
          </w:tcPr>
          <w:p>
            <w:pPr>
              <w:pStyle w:val="16"/>
            </w:pPr>
            <w:r>
              <w:t>对大型物流配送中心、重点承办企业设备购置和更新</w:t>
            </w:r>
          </w:p>
        </w:tc>
        <w:tc>
          <w:tcPr>
            <w:tcW w:w="2551" w:type="dxa"/>
            <w:vAlign w:val="center"/>
          </w:tcPr>
          <w:p>
            <w:pPr>
              <w:pStyle w:val="16"/>
            </w:pPr>
            <w:r>
              <w:t>2增加设备</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改造完成率</w:t>
            </w:r>
          </w:p>
        </w:tc>
        <w:tc>
          <w:tcPr>
            <w:tcW w:w="2835" w:type="dxa"/>
            <w:vAlign w:val="center"/>
          </w:tcPr>
          <w:p>
            <w:pPr>
              <w:pStyle w:val="16"/>
            </w:pPr>
            <w:r>
              <w:t>提高物流和商贸中心覆盖率</w:t>
            </w:r>
          </w:p>
        </w:tc>
        <w:tc>
          <w:tcPr>
            <w:tcW w:w="2551" w:type="dxa"/>
            <w:vAlign w:val="center"/>
          </w:tcPr>
          <w:p>
            <w:pPr>
              <w:pStyle w:val="16"/>
            </w:pPr>
            <w:r>
              <w:t>≥1提高1个百分点</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逐月推进</w:t>
            </w:r>
          </w:p>
        </w:tc>
        <w:tc>
          <w:tcPr>
            <w:tcW w:w="2835" w:type="dxa"/>
            <w:vAlign w:val="center"/>
          </w:tcPr>
          <w:p>
            <w:pPr>
              <w:pStyle w:val="16"/>
            </w:pPr>
            <w:r>
              <w:t>逐月推进</w:t>
            </w:r>
          </w:p>
        </w:tc>
        <w:tc>
          <w:tcPr>
            <w:tcW w:w="2551" w:type="dxa"/>
            <w:vAlign w:val="center"/>
          </w:tcPr>
          <w:p>
            <w:pPr>
              <w:pStyle w:val="16"/>
            </w:pPr>
            <w:r>
              <w:t>11年内完成</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550完成资金拨付</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促进城乡消费品零售额增长</w:t>
            </w:r>
          </w:p>
        </w:tc>
        <w:tc>
          <w:tcPr>
            <w:tcW w:w="2551" w:type="dxa"/>
            <w:vAlign w:val="center"/>
          </w:tcPr>
          <w:p>
            <w:pPr>
              <w:pStyle w:val="16"/>
            </w:pPr>
            <w:r>
              <w:t>1基本持平</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促进流通，扩大消费潜能</w:t>
            </w:r>
          </w:p>
        </w:tc>
        <w:tc>
          <w:tcPr>
            <w:tcW w:w="2551" w:type="dxa"/>
            <w:vAlign w:val="center"/>
          </w:tcPr>
          <w:p>
            <w:pPr>
              <w:pStyle w:val="16"/>
            </w:pPr>
            <w:r>
              <w:t>1基本持平</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有利于当地生态环境的改善</w:t>
            </w:r>
          </w:p>
        </w:tc>
        <w:tc>
          <w:tcPr>
            <w:tcW w:w="2835" w:type="dxa"/>
            <w:vAlign w:val="center"/>
          </w:tcPr>
          <w:p>
            <w:pPr>
              <w:pStyle w:val="16"/>
            </w:pPr>
            <w:r>
              <w:t>有利于当地生态环境的改善</w:t>
            </w:r>
          </w:p>
        </w:tc>
        <w:tc>
          <w:tcPr>
            <w:tcW w:w="2551" w:type="dxa"/>
            <w:vAlign w:val="center"/>
          </w:tcPr>
          <w:p>
            <w:pPr>
              <w:pStyle w:val="16"/>
            </w:pPr>
            <w:r>
              <w:t>1</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≥1</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≥100</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用户满意度</w:t>
            </w:r>
          </w:p>
        </w:tc>
        <w:tc>
          <w:tcPr>
            <w:tcW w:w="2835" w:type="dxa"/>
            <w:vAlign w:val="center"/>
          </w:tcPr>
          <w:p>
            <w:pPr>
              <w:pStyle w:val="16"/>
            </w:pPr>
            <w:r>
              <w:t>用户满意度</w:t>
            </w:r>
          </w:p>
        </w:tc>
        <w:tc>
          <w:tcPr>
            <w:tcW w:w="2551" w:type="dxa"/>
            <w:vAlign w:val="center"/>
          </w:tcPr>
          <w:p>
            <w:pPr>
              <w:pStyle w:val="16"/>
            </w:pPr>
            <w:r>
              <w:t>≥100</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冀财建【2022】275号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2023年，无极县商务局本级安排政府采购预算0.00万元。具体内容见下表。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322001无极县商务局本级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无极县商务局本级上年末固定资产金额为208.12万元（详见下表）。本年度拟购置固定资产总额为0.00万元。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322001无极县商务局本级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53.31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二、无极县投资促进服务中心收支预算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8.00</w:t>
            </w:r>
          </w:p>
        </w:tc>
        <w:tc>
          <w:tcPr>
            <w:tcW w:w="4535" w:type="dxa"/>
            <w:vAlign w:val="center"/>
          </w:tcPr>
          <w:p>
            <w:pPr>
              <w:pStyle w:val="16"/>
            </w:pPr>
            <w:r>
              <w:t>一、一般公共服务支出</w:t>
            </w:r>
          </w:p>
        </w:tc>
        <w:tc>
          <w:tcPr>
            <w:tcW w:w="2126"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8.00</w:t>
            </w:r>
          </w:p>
        </w:tc>
        <w:tc>
          <w:tcPr>
            <w:tcW w:w="4535" w:type="dxa"/>
            <w:vAlign w:val="center"/>
          </w:tcPr>
          <w:p>
            <w:pPr>
              <w:pStyle w:val="18"/>
            </w:pPr>
            <w:r>
              <w:t>本年支出合计</w:t>
            </w:r>
          </w:p>
        </w:tc>
        <w:tc>
          <w:tcPr>
            <w:tcW w:w="2126" w:type="dxa"/>
            <w:vAlign w:val="center"/>
          </w:tcPr>
          <w:p>
            <w:pPr>
              <w:pStyle w:val="1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8.00</w:t>
            </w:r>
          </w:p>
        </w:tc>
        <w:tc>
          <w:tcPr>
            <w:tcW w:w="4535" w:type="dxa"/>
            <w:vAlign w:val="center"/>
          </w:tcPr>
          <w:p>
            <w:pPr>
              <w:pStyle w:val="18"/>
            </w:pPr>
            <w:r>
              <w:t>支出总计</w:t>
            </w:r>
          </w:p>
        </w:tc>
        <w:tc>
          <w:tcPr>
            <w:tcW w:w="2126" w:type="dxa"/>
            <w:vAlign w:val="center"/>
          </w:tcPr>
          <w:p>
            <w:pPr>
              <w:pStyle w:val="19"/>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322003无极县投资促进服务中心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8.00</w:t>
            </w:r>
          </w:p>
        </w:tc>
        <w:tc>
          <w:tcPr>
            <w:tcW w:w="1134" w:type="dxa"/>
            <w:vAlign w:val="center"/>
          </w:tcPr>
          <w:p>
            <w:pPr>
              <w:pStyle w:val="19"/>
            </w:pPr>
            <w:r>
              <w:t>8.00</w:t>
            </w:r>
          </w:p>
        </w:tc>
        <w:tc>
          <w:tcPr>
            <w:tcW w:w="1134" w:type="dxa"/>
            <w:vAlign w:val="center"/>
          </w:tcPr>
          <w:p>
            <w:pPr>
              <w:pStyle w:val="19"/>
            </w:pPr>
            <w:r>
              <w:t>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8.00</w:t>
            </w:r>
          </w:p>
        </w:tc>
        <w:tc>
          <w:tcPr>
            <w:tcW w:w="1361" w:type="dxa"/>
            <w:vAlign w:val="center"/>
          </w:tcPr>
          <w:p>
            <w:pPr>
              <w:pStyle w:val="19"/>
            </w:pPr>
            <w:r>
              <w:t>8.00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8.00</w:t>
            </w:r>
          </w:p>
        </w:tc>
        <w:tc>
          <w:tcPr>
            <w:tcW w:w="3402" w:type="dxa"/>
            <w:vAlign w:val="center"/>
          </w:tcPr>
          <w:p>
            <w:pPr>
              <w:pStyle w:val="16"/>
            </w:pPr>
            <w:r>
              <w:t>一、一般公共服务支出</w:t>
            </w:r>
          </w:p>
        </w:tc>
        <w:tc>
          <w:tcPr>
            <w:tcW w:w="1474" w:type="dxa"/>
            <w:vAlign w:val="center"/>
          </w:tcPr>
          <w:p>
            <w:pPr>
              <w:pStyle w:val="15"/>
            </w:pPr>
            <w:r>
              <w:t>8.00</w:t>
            </w:r>
          </w:p>
        </w:tc>
        <w:tc>
          <w:tcPr>
            <w:tcW w:w="1474" w:type="dxa"/>
            <w:vAlign w:val="center"/>
          </w:tcPr>
          <w:p>
            <w:pPr>
              <w:pStyle w:val="15"/>
            </w:pPr>
            <w:r>
              <w:t>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8.00</w:t>
            </w:r>
          </w:p>
        </w:tc>
        <w:tc>
          <w:tcPr>
            <w:tcW w:w="3402" w:type="dxa"/>
            <w:vAlign w:val="center"/>
          </w:tcPr>
          <w:p>
            <w:pPr>
              <w:pStyle w:val="18"/>
            </w:pPr>
            <w:r>
              <w:t>本年支出合计</w:t>
            </w:r>
          </w:p>
        </w:tc>
        <w:tc>
          <w:tcPr>
            <w:tcW w:w="1474" w:type="dxa"/>
            <w:vAlign w:val="center"/>
          </w:tcPr>
          <w:p>
            <w:pPr>
              <w:pStyle w:val="19"/>
            </w:pPr>
            <w:r>
              <w:t>8.00</w:t>
            </w:r>
          </w:p>
        </w:tc>
        <w:tc>
          <w:tcPr>
            <w:tcW w:w="1474" w:type="dxa"/>
            <w:vAlign w:val="center"/>
          </w:tcPr>
          <w:p>
            <w:pPr>
              <w:pStyle w:val="19"/>
            </w:pPr>
            <w:r>
              <w:t>8.00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8.00</w:t>
            </w:r>
          </w:p>
        </w:tc>
        <w:tc>
          <w:tcPr>
            <w:tcW w:w="3402" w:type="dxa"/>
            <w:vAlign w:val="center"/>
          </w:tcPr>
          <w:p>
            <w:pPr>
              <w:pStyle w:val="18"/>
            </w:pPr>
            <w:r>
              <w:t>支出总计</w:t>
            </w:r>
          </w:p>
        </w:tc>
        <w:tc>
          <w:tcPr>
            <w:tcW w:w="1474" w:type="dxa"/>
            <w:vAlign w:val="center"/>
          </w:tcPr>
          <w:p>
            <w:pPr>
              <w:pStyle w:val="19"/>
            </w:pPr>
            <w:r>
              <w:t>8.00</w:t>
            </w:r>
          </w:p>
        </w:tc>
        <w:tc>
          <w:tcPr>
            <w:tcW w:w="1474" w:type="dxa"/>
            <w:vAlign w:val="center"/>
          </w:tcPr>
          <w:p>
            <w:pPr>
              <w:pStyle w:val="19"/>
            </w:pPr>
            <w:r>
              <w:t>8.00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8.00</w:t>
            </w:r>
          </w:p>
        </w:tc>
        <w:tc>
          <w:tcPr>
            <w:tcW w:w="2551" w:type="dxa"/>
            <w:vAlign w:val="center"/>
          </w:tcPr>
          <w:p>
            <w:pPr>
              <w:pStyle w:val="19"/>
            </w:pPr>
            <w:r>
              <w:t>8.00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8.00</w:t>
            </w:r>
          </w:p>
        </w:tc>
        <w:tc>
          <w:tcPr>
            <w:tcW w:w="2551" w:type="dxa"/>
            <w:vAlign w:val="center"/>
          </w:tcPr>
          <w:p>
            <w:pPr>
              <w:pStyle w:val="19"/>
            </w:pPr>
          </w:p>
        </w:tc>
        <w:tc>
          <w:tcPr>
            <w:tcW w:w="2551" w:type="dxa"/>
            <w:vAlign w:val="center"/>
          </w:tcPr>
          <w:p>
            <w:pPr>
              <w:pStyle w:val="1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322003无极县投资促进服务中心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无极县投资促进服务中心2023年单位预算信息公开情况说明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按照《预算法》、《地方预决算公开操作规程》和《关于进一步推进预算公开工作的实施意见》规定，现将无极县投资促进服务中心2023年单位预算公开如下：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rPr>
          <w:rFonts w:hint="eastAsia"/>
          <w:lang w:eastAsia="zh-CN"/>
        </w:rPr>
        <w:t>（</w:t>
      </w:r>
      <w:r>
        <w:rPr>
          <w:rFonts w:hint="eastAsia"/>
          <w:lang w:val="en-US" w:eastAsia="zh-CN"/>
        </w:rPr>
        <w:t>一</w:t>
      </w:r>
      <w:r>
        <w:rPr>
          <w:rFonts w:hint="eastAsia"/>
          <w:lang w:eastAsia="zh-CN"/>
        </w:rPr>
        <w:t>）</w:t>
      </w:r>
      <w:r>
        <w:t>负责贯彻落实国家、省、市、县有关对外开放、招商引资、利用域外资金和经济技术合作、区域协作工作的各项方针、政策、法律、法规、规章，研究我县相关产业的结构和特性，境内外投资促进政策和发展趋势，收集、筛选、汇总、分析其主要指标，提相关对策和建议；负责研究拟订全县招商引资、利用域外资金和经济技术合作、区域协作的工作目标、工作计划并组织实施；负责牵头研究我县招商引资市场化运作机制，创新招商方式，建立多层次招商方式，引导和鼓励社会力量参与招商引资；负责引进域外资金、技术、人才的统计汇总、上报、分析工作及信息管理工作；负责招商项目前期的预审、入驻协议的初审工作；负责全县引进域外资金项目洽谈、签约工作的组织、指导、协调、调度。</w:t>
      </w:r>
    </w:p>
    <w:p>
      <w:pPr>
        <w:pStyle w:val="29"/>
      </w:pPr>
      <w:r>
        <w:rPr>
          <w:rFonts w:hint="eastAsia"/>
          <w:lang w:eastAsia="zh-CN"/>
        </w:rPr>
        <w:t>（</w:t>
      </w:r>
      <w:r>
        <w:rPr>
          <w:rFonts w:hint="eastAsia"/>
          <w:lang w:val="en-US" w:eastAsia="zh-CN"/>
        </w:rPr>
        <w:t>二</w:t>
      </w:r>
      <w:r>
        <w:rPr>
          <w:rFonts w:hint="eastAsia"/>
          <w:lang w:eastAsia="zh-CN"/>
        </w:rPr>
        <w:t>）</w:t>
      </w:r>
      <w:r>
        <w:t>编制全县招商引资宣传资料，宣传、推介我县的投资环境和产业发展政策；组织承办县内外招商引资洽谈、研讨、项目对接和商务考察等活动；为县内外投资者提供投资环境考察、信息、投资导向、申报程序、法律法规、代办等服务；于县内外投资促进机构、商协会开展合作与交流，组织实施双边投资促进有关活动；建设、维护无极县投资促进服务中心网络平台和招商数据库；负责全县企业境外投资促进工作；完成上级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无极县投资促进服务中心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1"/>
      </w:pPr>
      <w:r>
        <w:t>按照预算管理有关规定，目前我</w:t>
      </w:r>
      <w:r>
        <w:rPr>
          <w:rFonts w:hint="eastAsia"/>
          <w:lang w:eastAsia="zh-CN"/>
        </w:rPr>
        <w:t>县</w:t>
      </w:r>
      <w:r>
        <w:t>单位预算的编制实行综合预算管理，即全部收入和支出都反映在</w:t>
      </w:r>
      <w:r>
        <w:rPr>
          <w:rFonts w:hint="eastAsia"/>
          <w:lang w:val="en-US" w:eastAsia="zh-CN"/>
        </w:rPr>
        <w:t>单位</w:t>
      </w:r>
      <w:r>
        <w:t>预算中。</w:t>
      </w:r>
    </w:p>
    <w:p>
      <w:pPr>
        <w:pStyle w:val="31"/>
      </w:pPr>
      <w:r>
        <w:t>1</w:t>
      </w:r>
      <w:r>
        <w:rPr>
          <w:rFonts w:hint="eastAsia"/>
        </w:rPr>
        <w:t>、收入说明</w:t>
      </w:r>
      <w:r>
        <w:t xml:space="preserve"> </w:t>
      </w:r>
    </w:p>
    <w:p>
      <w:pPr>
        <w:pStyle w:val="31"/>
      </w:pPr>
      <w:r>
        <w:rPr>
          <w:rFonts w:hint="eastAsia"/>
        </w:rPr>
        <w:t>反映本</w:t>
      </w:r>
      <w:r>
        <w:rPr>
          <w:rFonts w:hint="eastAsia"/>
          <w:lang w:eastAsia="zh-CN"/>
        </w:rPr>
        <w:t>单位</w:t>
      </w:r>
      <w:r>
        <w:rPr>
          <w:rFonts w:hint="eastAsia"/>
        </w:rPr>
        <w:t>当年全部收入，</w:t>
      </w:r>
      <w:r>
        <w:t>202</w:t>
      </w:r>
      <w:r>
        <w:rPr>
          <w:rFonts w:hint="eastAsia"/>
          <w:lang w:val="en-US" w:eastAsia="zh-CN"/>
        </w:rPr>
        <w:t>3</w:t>
      </w:r>
      <w:r>
        <w:rPr>
          <w:rFonts w:hint="eastAsia"/>
        </w:rPr>
        <w:t>年预算收入</w:t>
      </w:r>
      <w:r>
        <w:rPr>
          <w:rFonts w:hint="eastAsia"/>
          <w:lang w:eastAsia="zh-CN"/>
        </w:rPr>
        <w:t>8</w:t>
      </w:r>
      <w:r>
        <w:rPr>
          <w:rFonts w:hint="eastAsia"/>
        </w:rPr>
        <w:t>万元，其中：一般公共预算拨款</w:t>
      </w:r>
      <w:r>
        <w:rPr>
          <w:rFonts w:hint="eastAsia"/>
          <w:lang w:eastAsia="zh-CN"/>
        </w:rPr>
        <w:t>8</w:t>
      </w:r>
      <w:r>
        <w:rPr>
          <w:rFonts w:hint="eastAsia"/>
        </w:rPr>
        <w:t>万元，基金预算拨款</w:t>
      </w:r>
      <w:r>
        <w:t>0</w:t>
      </w:r>
      <w:r>
        <w:rPr>
          <w:rFonts w:hint="eastAsia"/>
        </w:rPr>
        <w:t>万元，财政专户核拨</w:t>
      </w:r>
      <w:r>
        <w:t>0</w:t>
      </w:r>
      <w:r>
        <w:rPr>
          <w:rFonts w:hint="eastAsia"/>
        </w:rPr>
        <w:t>万元，其他来源收入</w:t>
      </w:r>
      <w:r>
        <w:t>0</w:t>
      </w:r>
      <w:r>
        <w:rPr>
          <w:rFonts w:hint="eastAsia"/>
        </w:rPr>
        <w:t>万元。</w:t>
      </w:r>
    </w:p>
    <w:p>
      <w:pPr>
        <w:pStyle w:val="31"/>
      </w:pPr>
      <w:r>
        <w:t>2</w:t>
      </w:r>
      <w:r>
        <w:rPr>
          <w:rFonts w:hint="eastAsia"/>
        </w:rPr>
        <w:t>、支出说明</w:t>
      </w:r>
    </w:p>
    <w:p>
      <w:pPr>
        <w:pStyle w:val="31"/>
      </w:pPr>
      <w:r>
        <w:rPr>
          <w:rFonts w:hint="eastAsia"/>
        </w:rPr>
        <w:t>收支预算总表支出栏、基本支出表、项目支出表按经济分类和支出功能分类科目编制，反映年度</w:t>
      </w:r>
      <w:r>
        <w:rPr>
          <w:rFonts w:hint="eastAsia"/>
          <w:lang w:eastAsia="zh-CN"/>
        </w:rPr>
        <w:t>单位</w:t>
      </w:r>
      <w:r>
        <w:rPr>
          <w:rFonts w:hint="eastAsia"/>
        </w:rPr>
        <w:t>预算中支出预算的总体情况。</w:t>
      </w:r>
      <w:r>
        <w:t>202</w:t>
      </w:r>
      <w:r>
        <w:rPr>
          <w:rFonts w:hint="eastAsia"/>
          <w:lang w:val="en-US" w:eastAsia="zh-CN"/>
        </w:rPr>
        <w:t>3</w:t>
      </w:r>
      <w:r>
        <w:rPr>
          <w:rFonts w:hint="eastAsia"/>
        </w:rPr>
        <w:t>年</w:t>
      </w:r>
      <w:r>
        <w:rPr>
          <w:rFonts w:hint="eastAsia"/>
          <w:lang w:eastAsia="zh-CN"/>
        </w:rPr>
        <w:t>单位</w:t>
      </w:r>
      <w:r>
        <w:rPr>
          <w:rFonts w:hint="eastAsia"/>
        </w:rPr>
        <w:t>支出预算为</w:t>
      </w:r>
      <w:r>
        <w:rPr>
          <w:rFonts w:hint="eastAsia"/>
          <w:lang w:eastAsia="zh-CN"/>
        </w:rPr>
        <w:t>8</w:t>
      </w:r>
      <w:r>
        <w:rPr>
          <w:rFonts w:hint="eastAsia"/>
        </w:rPr>
        <w:t>万元，其中基本支出</w:t>
      </w:r>
      <w:r>
        <w:rPr>
          <w:rFonts w:hint="eastAsia"/>
          <w:lang w:eastAsia="zh-CN"/>
        </w:rPr>
        <w:t>0</w:t>
      </w:r>
      <w:r>
        <w:rPr>
          <w:rFonts w:hint="eastAsia"/>
        </w:rPr>
        <w:t>元，包括人员经费</w:t>
      </w:r>
      <w:r>
        <w:rPr>
          <w:rFonts w:hint="eastAsia"/>
          <w:lang w:eastAsia="zh-CN"/>
        </w:rPr>
        <w:t>0</w:t>
      </w:r>
      <w:r>
        <w:rPr>
          <w:rFonts w:hint="eastAsia"/>
        </w:rPr>
        <w:t>万元和日常公用经费</w:t>
      </w:r>
      <w:r>
        <w:rPr>
          <w:rFonts w:hint="eastAsia"/>
          <w:lang w:eastAsia="zh-CN"/>
        </w:rPr>
        <w:t>8</w:t>
      </w:r>
      <w:r>
        <w:rPr>
          <w:rFonts w:hint="eastAsia"/>
        </w:rPr>
        <w:t>万元；项目支出</w:t>
      </w:r>
      <w:r>
        <w:rPr>
          <w:rFonts w:hint="eastAsia"/>
          <w:lang w:eastAsia="zh-CN"/>
        </w:rPr>
        <w:t>0</w:t>
      </w:r>
      <w:r>
        <w:rPr>
          <w:rFonts w:hint="eastAsia"/>
        </w:rP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年，我单位机关运行经费共计安排8万元，主要用于保证单位正常运转的办公及印刷费、邮电费、差旅费、会议费、专用材料及一般设备购置费、日常维修费等支出。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eastAsia="zh-CN"/>
        </w:rPr>
      </w:pPr>
      <w:r>
        <w:t>202</w:t>
      </w:r>
      <w:r>
        <w:rPr>
          <w:rFonts w:hint="eastAsia"/>
          <w:lang w:val="en-US" w:eastAsia="zh-CN"/>
        </w:rPr>
        <w:t>3</w:t>
      </w:r>
      <w:r>
        <w:t>年，</w:t>
      </w:r>
      <w:r>
        <w:rPr>
          <w:rFonts w:hint="eastAsia"/>
        </w:rPr>
        <w:t>我单位财政拨款“三公”经费预算安排0万元，其中：因公出国（境）费0万元，与上年持平，原因为未安排因公出国（境）费；公务用车购置及运维费0万元（其中：公务用车购置费0万元，公务用车运行维护费0万元)，原因为严格按照公务用车相关制度执行，厉行节约；公务接待费0万元，与上年持平，原因为未安排公务接待费</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2023年，无极县投资促进服务中心安排政府采购预算0.00万元。具体内容见下表。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322003无极县投资促进服务中心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无极县投资促进服务中心上年末固定资产金额为0.00万元（详见下表）。本年度拟购置固定资产总额为0.00万元。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322003无极县投资促进服务中心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ind w:firstLine="560"/>
        <w:jc w:val="left"/>
        <w:outlineLvl w:val="9"/>
        <w:rPr>
          <w:rFonts w:hint="eastAsia" w:eastAsia="方正仿宋_GBK" w:cs="Times New Roman"/>
          <w:b w:val="0"/>
          <w:color w:val="000000"/>
          <w:sz w:val="28"/>
          <w:lang w:eastAsia="zh-CN"/>
        </w:rPr>
      </w:pPr>
    </w:p>
    <w:p>
      <w:pPr>
        <w:spacing w:before="0" w:after="0" w:line="500" w:lineRule="exact"/>
        <w:jc w:val="left"/>
        <w:outlineLvl w:val="9"/>
        <w:rPr>
          <w:rFonts w:hint="eastAsia" w:eastAsia="宋体"/>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0D08AC"/>
    <w:multiLevelType w:val="singleLevel"/>
    <w:tmpl w:val="E40D08A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14F456F"/>
    <w:rsid w:val="02CD635A"/>
    <w:rsid w:val="03FF761E"/>
    <w:rsid w:val="0400181C"/>
    <w:rsid w:val="04926F71"/>
    <w:rsid w:val="04F546B3"/>
    <w:rsid w:val="05C9219A"/>
    <w:rsid w:val="06110302"/>
    <w:rsid w:val="08053FA4"/>
    <w:rsid w:val="083C4FD0"/>
    <w:rsid w:val="089F5CF0"/>
    <w:rsid w:val="0B225F08"/>
    <w:rsid w:val="0C9927BA"/>
    <w:rsid w:val="0D0704BE"/>
    <w:rsid w:val="0EE77A81"/>
    <w:rsid w:val="0EF945E0"/>
    <w:rsid w:val="109045FD"/>
    <w:rsid w:val="10FF162B"/>
    <w:rsid w:val="111B4D7F"/>
    <w:rsid w:val="122E65E4"/>
    <w:rsid w:val="13030919"/>
    <w:rsid w:val="14A9241D"/>
    <w:rsid w:val="1B810E6B"/>
    <w:rsid w:val="1C5F2CE0"/>
    <w:rsid w:val="1CE63197"/>
    <w:rsid w:val="21594B4A"/>
    <w:rsid w:val="22C45233"/>
    <w:rsid w:val="22FE4842"/>
    <w:rsid w:val="233E5662"/>
    <w:rsid w:val="23A622CB"/>
    <w:rsid w:val="254C156C"/>
    <w:rsid w:val="25D1132C"/>
    <w:rsid w:val="27B04BAD"/>
    <w:rsid w:val="27D3635C"/>
    <w:rsid w:val="296E60FD"/>
    <w:rsid w:val="29AB1DDA"/>
    <w:rsid w:val="2A8D3EA8"/>
    <w:rsid w:val="2B372E74"/>
    <w:rsid w:val="2C2214DB"/>
    <w:rsid w:val="2ED22A73"/>
    <w:rsid w:val="2F955249"/>
    <w:rsid w:val="30D653E9"/>
    <w:rsid w:val="332901CC"/>
    <w:rsid w:val="34C949CB"/>
    <w:rsid w:val="351333BE"/>
    <w:rsid w:val="35486A4A"/>
    <w:rsid w:val="36625046"/>
    <w:rsid w:val="385039D1"/>
    <w:rsid w:val="38896F1D"/>
    <w:rsid w:val="38D00642"/>
    <w:rsid w:val="3942025E"/>
    <w:rsid w:val="3BCA3823"/>
    <w:rsid w:val="3BE525AB"/>
    <w:rsid w:val="3CDB255C"/>
    <w:rsid w:val="3E3B45DE"/>
    <w:rsid w:val="3FE85334"/>
    <w:rsid w:val="44007FA0"/>
    <w:rsid w:val="45570BED"/>
    <w:rsid w:val="46033EED"/>
    <w:rsid w:val="4875046F"/>
    <w:rsid w:val="4D0933F1"/>
    <w:rsid w:val="4D6C1936"/>
    <w:rsid w:val="4DB71A19"/>
    <w:rsid w:val="4E363C91"/>
    <w:rsid w:val="4FC24FED"/>
    <w:rsid w:val="4FFC4DDA"/>
    <w:rsid w:val="503E1024"/>
    <w:rsid w:val="556A282A"/>
    <w:rsid w:val="58DD1940"/>
    <w:rsid w:val="599B1691"/>
    <w:rsid w:val="5ABB7F03"/>
    <w:rsid w:val="5B543794"/>
    <w:rsid w:val="5DB31446"/>
    <w:rsid w:val="5EA70A35"/>
    <w:rsid w:val="620E5A63"/>
    <w:rsid w:val="62D0652C"/>
    <w:rsid w:val="64C25D9E"/>
    <w:rsid w:val="66235C56"/>
    <w:rsid w:val="66A113FF"/>
    <w:rsid w:val="6D5B7A09"/>
    <w:rsid w:val="6F532332"/>
    <w:rsid w:val="6F7900F5"/>
    <w:rsid w:val="708300CC"/>
    <w:rsid w:val="7106075F"/>
    <w:rsid w:val="75F6718D"/>
    <w:rsid w:val="781225CE"/>
    <w:rsid w:val="7A564644"/>
    <w:rsid w:val="7B1B7885"/>
    <w:rsid w:val="7C8D3BF7"/>
    <w:rsid w:val="7C971EBE"/>
    <w:rsid w:val="7CCF3759"/>
    <w:rsid w:val="7D7D4E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2023-05-15T13:59:19Z</dcterms:created>
  <dcterms:modified xsi:type="dcterms:W3CDTF">2023-05-15T05:59:19Z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2023-05-15T13:59:23Z</dcterms:created>
  <dcterms:modified xsi:type="dcterms:W3CDTF">2023-05-15T05:59:22Z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2023-05-15T13:59:23Z</dcterms:created>
  <dcterms:modified xsi:type="dcterms:W3CDTF">2023-05-15T05:59:23Z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2023-05-15T13:59:10Z</dcterms:created>
  <dcterms:modified xsi:type="dcterms:W3CDTF">2023-05-15T05:59:10Z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2023-05-15T13:59:11Z</dcterms:created>
  <dcterms:modified xsi:type="dcterms:W3CDTF">2023-05-15T05:59:11Z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2023-05-15T13:59:10Z</dcterms:created>
  <dcterms:modified xsi:type="dcterms:W3CDTF">2023-05-15T05:59:10Z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2023-05-15T13:59:11Z</dcterms:created>
  <dcterms:modified xsi:type="dcterms:W3CDTF">2023-05-15T05:59:11Z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2023-05-15T13:59:14Z</dcterms:created>
  <dcterms:modified xsi:type="dcterms:W3CDTF">2023-05-15T05:59:14Z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2023-05-15T13:59:15Z</dcterms:created>
  <dcterms:modified xsi:type="dcterms:W3CDTF">2023-05-15T05:59:15Z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2023-05-15T13:59:15Z</dcterms:created>
  <dcterms:modified xsi:type="dcterms:W3CDTF">2023-05-15T05:59:15Z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2023-05-15T13:59:19Z</dcterms:created>
  <dcterms:modified xsi:type="dcterms:W3CDTF">2023-05-15T05:59:18Z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71acb45-9bff-4cca-be86-aefb7cf5b555}">
  <ds:schemaRefs/>
</ds:datastoreItem>
</file>

<file path=customXml/itemProps11.xml><?xml version="1.0" encoding="utf-8"?>
<ds:datastoreItem xmlns:ds="http://schemas.openxmlformats.org/officeDocument/2006/customXml" ds:itemID="{b40a7c2c-4992-4398-9474-7feb56d518ac}">
  <ds:schemaRefs/>
</ds:datastoreItem>
</file>

<file path=customXml/itemProps12.xml><?xml version="1.0" encoding="utf-8"?>
<ds:datastoreItem xmlns:ds="http://schemas.openxmlformats.org/officeDocument/2006/customXml" ds:itemID="{ee129eda-d5f6-40ac-af0d-ba3ee74d59a9}">
  <ds:schemaRefs/>
</ds:datastoreItem>
</file>

<file path=customXml/itemProps13.xml><?xml version="1.0" encoding="utf-8"?>
<ds:datastoreItem xmlns:ds="http://schemas.openxmlformats.org/officeDocument/2006/customXml" ds:itemID="{f8fb9d1a-0730-497f-b9aa-d2bfc10c0f2e}">
  <ds:schemaRefs/>
</ds:datastoreItem>
</file>

<file path=customXml/itemProps14.xml><?xml version="1.0" encoding="utf-8"?>
<ds:datastoreItem xmlns:ds="http://schemas.openxmlformats.org/officeDocument/2006/customXml" ds:itemID="{4b9890f9-1371-446d-bbe4-ab37e475d987}">
  <ds:schemaRefs/>
</ds:datastoreItem>
</file>

<file path=customXml/itemProps15.xml><?xml version="1.0" encoding="utf-8"?>
<ds:datastoreItem xmlns:ds="http://schemas.openxmlformats.org/officeDocument/2006/customXml" ds:itemID="{7a85636c-1e07-4817-b1b1-1e40047e7a35}">
  <ds:schemaRefs/>
</ds:datastoreItem>
</file>

<file path=customXml/itemProps16.xml><?xml version="1.0" encoding="utf-8"?>
<ds:datastoreItem xmlns:ds="http://schemas.openxmlformats.org/officeDocument/2006/customXml" ds:itemID="{2ba6fcb5-944b-437e-a996-97643aacadac}">
  <ds:schemaRefs/>
</ds:datastoreItem>
</file>

<file path=customXml/itemProps17.xml><?xml version="1.0" encoding="utf-8"?>
<ds:datastoreItem xmlns:ds="http://schemas.openxmlformats.org/officeDocument/2006/customXml" ds:itemID="{6431c309-8f6b-487c-bce8-76c4f78146e0}">
  <ds:schemaRefs/>
</ds:datastoreItem>
</file>

<file path=customXml/itemProps18.xml><?xml version="1.0" encoding="utf-8"?>
<ds:datastoreItem xmlns:ds="http://schemas.openxmlformats.org/officeDocument/2006/customXml" ds:itemID="{26f53cc8-e85d-415e-b4aa-b06a9ef4f293}">
  <ds:schemaRefs/>
</ds:datastoreItem>
</file>

<file path=customXml/itemProps19.xml><?xml version="1.0" encoding="utf-8"?>
<ds:datastoreItem xmlns:ds="http://schemas.openxmlformats.org/officeDocument/2006/customXml" ds:itemID="{4da4629c-c178-49d7-a372-6b0328c2a73b}">
  <ds:schemaRefs/>
</ds:datastoreItem>
</file>

<file path=customXml/itemProps2.xml><?xml version="1.0" encoding="utf-8"?>
<ds:datastoreItem xmlns:ds="http://schemas.openxmlformats.org/officeDocument/2006/customXml" ds:itemID="{e4768d59-b4f5-486a-8e15-098e1cd9416d}">
  <ds:schemaRefs/>
</ds:datastoreItem>
</file>

<file path=customXml/itemProps20.xml><?xml version="1.0" encoding="utf-8"?>
<ds:datastoreItem xmlns:ds="http://schemas.openxmlformats.org/officeDocument/2006/customXml" ds:itemID="{1c213aa9-bd19-493d-9892-d04349293b2d}">
  <ds:schemaRefs/>
</ds:datastoreItem>
</file>

<file path=customXml/itemProps21.xml><?xml version="1.0" encoding="utf-8"?>
<ds:datastoreItem xmlns:ds="http://schemas.openxmlformats.org/officeDocument/2006/customXml" ds:itemID="{1077b454-f5cc-459e-95c6-c9c97d0fc8c1}">
  <ds:schemaRefs/>
</ds:datastoreItem>
</file>

<file path=customXml/itemProps22.xml><?xml version="1.0" encoding="utf-8"?>
<ds:datastoreItem xmlns:ds="http://schemas.openxmlformats.org/officeDocument/2006/customXml" ds:itemID="{4c2fad83-ce3c-4054-8943-1651dc00a001}">
  <ds:schemaRefs/>
</ds:datastoreItem>
</file>

<file path=customXml/itemProps23.xml><?xml version="1.0" encoding="utf-8"?>
<ds:datastoreItem xmlns:ds="http://schemas.openxmlformats.org/officeDocument/2006/customXml" ds:itemID="{74c26d77-1883-4e48-a9fb-988a35baac74}">
  <ds:schemaRefs/>
</ds:datastoreItem>
</file>

<file path=customXml/itemProps3.xml><?xml version="1.0" encoding="utf-8"?>
<ds:datastoreItem xmlns:ds="http://schemas.openxmlformats.org/officeDocument/2006/customXml" ds:itemID="{8c95a91a-14b3-4e4d-a8c9-edbaaed38d3a}">
  <ds:schemaRefs/>
</ds:datastoreItem>
</file>

<file path=customXml/itemProps4.xml><?xml version="1.0" encoding="utf-8"?>
<ds:datastoreItem xmlns:ds="http://schemas.openxmlformats.org/officeDocument/2006/customXml" ds:itemID="{cb6cd829-4979-4d1b-9ebf-268588e02f33}">
  <ds:schemaRefs/>
</ds:datastoreItem>
</file>

<file path=customXml/itemProps5.xml><?xml version="1.0" encoding="utf-8"?>
<ds:datastoreItem xmlns:ds="http://schemas.openxmlformats.org/officeDocument/2006/customXml" ds:itemID="{b19a2d3b-d439-42c6-8e85-80c94d992cbc}">
  <ds:schemaRefs/>
</ds:datastoreItem>
</file>

<file path=customXml/itemProps6.xml><?xml version="1.0" encoding="utf-8"?>
<ds:datastoreItem xmlns:ds="http://schemas.openxmlformats.org/officeDocument/2006/customXml" ds:itemID="{9340f9e5-b655-4f3f-bd99-24010e8abdc3}">
  <ds:schemaRefs/>
</ds:datastoreItem>
</file>

<file path=customXml/itemProps7.xml><?xml version="1.0" encoding="utf-8"?>
<ds:datastoreItem xmlns:ds="http://schemas.openxmlformats.org/officeDocument/2006/customXml" ds:itemID="{212d9962-991b-4709-a4fc-992da1e58a91}">
  <ds:schemaRefs/>
</ds:datastoreItem>
</file>

<file path=customXml/itemProps8.xml><?xml version="1.0" encoding="utf-8"?>
<ds:datastoreItem xmlns:ds="http://schemas.openxmlformats.org/officeDocument/2006/customXml" ds:itemID="{ae5f397e-e992-47be-a390-2c95a4a8705c}">
  <ds:schemaRefs/>
</ds:datastoreItem>
</file>

<file path=customXml/itemProps9.xml><?xml version="1.0" encoding="utf-8"?>
<ds:datastoreItem xmlns:ds="http://schemas.openxmlformats.org/officeDocument/2006/customXml" ds:itemID="{3599b2c2-df43-4656-9685-e54b2af20f02}">
  <ds:schemaRefs/>
</ds:datastoreItem>
</file>

<file path=docProps/app.xml><?xml version="1.0" encoding="utf-8"?>
<Properties xmlns="http://schemas.openxmlformats.org/officeDocument/2006/extended-properties" xmlns:vt="http://schemas.openxmlformats.org/officeDocument/2006/docPropsVTypes">
  <Pages>56</Pages>
  <Words>11241</Words>
  <Characters>12871</Characters>
  <TotalTime>19</TotalTime>
  <ScaleCrop>false</ScaleCrop>
  <LinksUpToDate>false</LinksUpToDate>
  <CharactersWithSpaces>13126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2023-05-15T13:59:00Z</dcterms:created>
  <dc:creator>Administrator</dc:creator>
  <cp:lastModifiedBy>46334</cp:lastModifiedBy>
  <dcterms:modified xsi:type="dcterms:W3CDTF">2023-09-01T13:16:25Z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696AE02CBDBA40D7A6E39BDF80BAF368</vt:lpwstr>
  </property>
</Properties>
</file>