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一、中共无极县委党校本级收支预算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both"/>
      </w:pPr>
    </w:p>
    <w:p>
      <w:pPr>
        <w:jc w:val="center"/>
      </w:pPr>
      <w:bookmarkStart w:id="0" w:name="_Toc_4_4_0000000019"/>
      <w:r>
        <w:rPr>
          <w:rFonts w:ascii="方正小标宋_GBK" w:hAnsi="方正小标宋_GBK" w:eastAsia="方正小标宋_GBK" w:cs="方正小标宋_GBK"/>
          <w:color w:val="000000"/>
          <w:sz w:val="44"/>
        </w:rPr>
        <w:t>一、中共无极县委党校本级收支预算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281001中共无极县委党校本级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317.76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317.76</w:t>
            </w:r>
          </w:p>
        </w:tc>
        <w:tc>
          <w:tcPr>
            <w:tcW w:w="4535" w:type="dxa"/>
            <w:vAlign w:val="center"/>
          </w:tcPr>
          <w:p>
            <w:pPr>
              <w:pStyle w:val="16"/>
            </w:pPr>
            <w:r>
              <w:t>本年支出合计</w:t>
            </w:r>
          </w:p>
        </w:tc>
        <w:tc>
          <w:tcPr>
            <w:tcW w:w="2126" w:type="dxa"/>
            <w:vAlign w:val="center"/>
          </w:tcPr>
          <w:p>
            <w:pPr>
              <w:pStyle w:val="17"/>
            </w:pPr>
            <w:r>
              <w:t>317.76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317.76</w:t>
            </w:r>
          </w:p>
        </w:tc>
        <w:tc>
          <w:tcPr>
            <w:tcW w:w="4535" w:type="dxa"/>
            <w:vAlign w:val="center"/>
          </w:tcPr>
          <w:p>
            <w:pPr>
              <w:pStyle w:val="16"/>
            </w:pPr>
            <w:r>
              <w:t>支出总计</w:t>
            </w:r>
          </w:p>
        </w:tc>
        <w:tc>
          <w:tcPr>
            <w:tcW w:w="2126" w:type="dxa"/>
            <w:vAlign w:val="center"/>
          </w:tcPr>
          <w:p>
            <w:pPr>
              <w:pStyle w:val="17"/>
            </w:pPr>
            <w:r>
              <w:t>317.76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281001中共无极县委党校本级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317.76</w:t>
            </w:r>
          </w:p>
        </w:tc>
        <w:tc>
          <w:tcPr>
            <w:tcW w:w="1134" w:type="dxa"/>
            <w:vAlign w:val="center"/>
          </w:tcPr>
          <w:p>
            <w:pPr>
              <w:pStyle w:val="17"/>
            </w:pPr>
            <w:r>
              <w:t>317.76</w:t>
            </w:r>
          </w:p>
        </w:tc>
        <w:tc>
          <w:tcPr>
            <w:tcW w:w="1134" w:type="dxa"/>
            <w:vAlign w:val="center"/>
          </w:tcPr>
          <w:p>
            <w:pPr>
              <w:pStyle w:val="17"/>
            </w:pPr>
            <w:r>
              <w:t>317.76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217.10</w:t>
            </w:r>
          </w:p>
        </w:tc>
        <w:tc>
          <w:tcPr>
            <w:tcW w:w="1134" w:type="dxa"/>
            <w:vAlign w:val="center"/>
          </w:tcPr>
          <w:p>
            <w:pPr>
              <w:pStyle w:val="13"/>
            </w:pPr>
            <w:r>
              <w:t>217.10</w:t>
            </w:r>
          </w:p>
        </w:tc>
        <w:tc>
          <w:tcPr>
            <w:tcW w:w="1134" w:type="dxa"/>
            <w:vAlign w:val="center"/>
          </w:tcPr>
          <w:p>
            <w:pPr>
              <w:pStyle w:val="13"/>
            </w:pPr>
            <w:r>
              <w:t>217.10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20508</w:t>
            </w:r>
          </w:p>
        </w:tc>
        <w:tc>
          <w:tcPr>
            <w:tcW w:w="1559" w:type="dxa"/>
            <w:vAlign w:val="center"/>
          </w:tcPr>
          <w:p>
            <w:pPr>
              <w:pStyle w:val="14"/>
            </w:pPr>
            <w:r>
              <w:t>进修及培训</w:t>
            </w:r>
          </w:p>
        </w:tc>
        <w:tc>
          <w:tcPr>
            <w:tcW w:w="1134" w:type="dxa"/>
            <w:vAlign w:val="center"/>
          </w:tcPr>
          <w:p>
            <w:pPr>
              <w:pStyle w:val="13"/>
            </w:pPr>
            <w:r>
              <w:t>217.10</w:t>
            </w:r>
          </w:p>
        </w:tc>
        <w:tc>
          <w:tcPr>
            <w:tcW w:w="1134" w:type="dxa"/>
            <w:vAlign w:val="center"/>
          </w:tcPr>
          <w:p>
            <w:pPr>
              <w:pStyle w:val="13"/>
            </w:pPr>
            <w:r>
              <w:t>217.10</w:t>
            </w:r>
          </w:p>
        </w:tc>
        <w:tc>
          <w:tcPr>
            <w:tcW w:w="1134" w:type="dxa"/>
            <w:vAlign w:val="center"/>
          </w:tcPr>
          <w:p>
            <w:pPr>
              <w:pStyle w:val="13"/>
            </w:pPr>
            <w:r>
              <w:t>217.10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2050802</w:t>
            </w:r>
          </w:p>
        </w:tc>
        <w:tc>
          <w:tcPr>
            <w:tcW w:w="1559" w:type="dxa"/>
            <w:vAlign w:val="center"/>
          </w:tcPr>
          <w:p>
            <w:pPr>
              <w:pStyle w:val="14"/>
            </w:pPr>
            <w:r>
              <w:t>干部教育</w:t>
            </w:r>
          </w:p>
        </w:tc>
        <w:tc>
          <w:tcPr>
            <w:tcW w:w="1134" w:type="dxa"/>
            <w:vAlign w:val="center"/>
          </w:tcPr>
          <w:p>
            <w:pPr>
              <w:pStyle w:val="13"/>
            </w:pPr>
            <w:r>
              <w:t>217.10</w:t>
            </w:r>
          </w:p>
        </w:tc>
        <w:tc>
          <w:tcPr>
            <w:tcW w:w="1134" w:type="dxa"/>
            <w:vAlign w:val="center"/>
          </w:tcPr>
          <w:p>
            <w:pPr>
              <w:pStyle w:val="13"/>
            </w:pPr>
            <w:r>
              <w:t>217.10</w:t>
            </w:r>
          </w:p>
        </w:tc>
        <w:tc>
          <w:tcPr>
            <w:tcW w:w="1134" w:type="dxa"/>
            <w:vAlign w:val="center"/>
          </w:tcPr>
          <w:p>
            <w:pPr>
              <w:pStyle w:val="13"/>
            </w:pPr>
            <w:r>
              <w:t>217.10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82.66</w:t>
            </w:r>
          </w:p>
        </w:tc>
        <w:tc>
          <w:tcPr>
            <w:tcW w:w="1134" w:type="dxa"/>
            <w:vAlign w:val="center"/>
          </w:tcPr>
          <w:p>
            <w:pPr>
              <w:pStyle w:val="13"/>
            </w:pPr>
            <w:r>
              <w:t>82.66</w:t>
            </w:r>
          </w:p>
        </w:tc>
        <w:tc>
          <w:tcPr>
            <w:tcW w:w="1134" w:type="dxa"/>
            <w:vAlign w:val="center"/>
          </w:tcPr>
          <w:p>
            <w:pPr>
              <w:pStyle w:val="13"/>
            </w:pPr>
            <w:r>
              <w:t>82.66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82.66</w:t>
            </w:r>
          </w:p>
        </w:tc>
        <w:tc>
          <w:tcPr>
            <w:tcW w:w="1134" w:type="dxa"/>
            <w:vAlign w:val="center"/>
          </w:tcPr>
          <w:p>
            <w:pPr>
              <w:pStyle w:val="13"/>
            </w:pPr>
            <w:r>
              <w:t>82.66</w:t>
            </w:r>
          </w:p>
        </w:tc>
        <w:tc>
          <w:tcPr>
            <w:tcW w:w="1134" w:type="dxa"/>
            <w:vAlign w:val="center"/>
          </w:tcPr>
          <w:p>
            <w:pPr>
              <w:pStyle w:val="13"/>
            </w:pPr>
            <w:r>
              <w:t>82.66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41.66</w:t>
            </w:r>
          </w:p>
        </w:tc>
        <w:tc>
          <w:tcPr>
            <w:tcW w:w="1134" w:type="dxa"/>
            <w:vAlign w:val="center"/>
          </w:tcPr>
          <w:p>
            <w:pPr>
              <w:pStyle w:val="13"/>
            </w:pPr>
            <w:r>
              <w:t>41.66</w:t>
            </w:r>
          </w:p>
        </w:tc>
        <w:tc>
          <w:tcPr>
            <w:tcW w:w="1134" w:type="dxa"/>
            <w:vAlign w:val="center"/>
          </w:tcPr>
          <w:p>
            <w:pPr>
              <w:pStyle w:val="13"/>
            </w:pPr>
            <w:r>
              <w:t>41.66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281001中共无极县委党校本级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317.76</w:t>
            </w:r>
          </w:p>
        </w:tc>
        <w:tc>
          <w:tcPr>
            <w:tcW w:w="1361" w:type="dxa"/>
            <w:vAlign w:val="center"/>
          </w:tcPr>
          <w:p>
            <w:pPr>
              <w:pStyle w:val="17"/>
            </w:pPr>
            <w:r>
              <w:t>316.56</w:t>
            </w:r>
          </w:p>
        </w:tc>
        <w:tc>
          <w:tcPr>
            <w:tcW w:w="1361" w:type="dxa"/>
            <w:vAlign w:val="center"/>
          </w:tcPr>
          <w:p>
            <w:pPr>
              <w:pStyle w:val="17"/>
            </w:pPr>
            <w:r>
              <w:t>1.20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217.10</w:t>
            </w:r>
          </w:p>
        </w:tc>
        <w:tc>
          <w:tcPr>
            <w:tcW w:w="1361" w:type="dxa"/>
            <w:vAlign w:val="center"/>
          </w:tcPr>
          <w:p>
            <w:pPr>
              <w:pStyle w:val="13"/>
            </w:pPr>
            <w:r>
              <w:t>215.90</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20508</w:t>
            </w:r>
          </w:p>
        </w:tc>
        <w:tc>
          <w:tcPr>
            <w:tcW w:w="4535" w:type="dxa"/>
            <w:vAlign w:val="center"/>
          </w:tcPr>
          <w:p>
            <w:pPr>
              <w:pStyle w:val="14"/>
            </w:pPr>
            <w:r>
              <w:t>进修及培训</w:t>
            </w:r>
          </w:p>
        </w:tc>
        <w:tc>
          <w:tcPr>
            <w:tcW w:w="1361" w:type="dxa"/>
            <w:vAlign w:val="center"/>
          </w:tcPr>
          <w:p>
            <w:pPr>
              <w:pStyle w:val="13"/>
            </w:pPr>
            <w:r>
              <w:t>217.10</w:t>
            </w:r>
          </w:p>
        </w:tc>
        <w:tc>
          <w:tcPr>
            <w:tcW w:w="1361" w:type="dxa"/>
            <w:vAlign w:val="center"/>
          </w:tcPr>
          <w:p>
            <w:pPr>
              <w:pStyle w:val="13"/>
            </w:pPr>
            <w:r>
              <w:t>215.90</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2050802</w:t>
            </w:r>
          </w:p>
        </w:tc>
        <w:tc>
          <w:tcPr>
            <w:tcW w:w="4535" w:type="dxa"/>
            <w:vAlign w:val="center"/>
          </w:tcPr>
          <w:p>
            <w:pPr>
              <w:pStyle w:val="14"/>
            </w:pPr>
            <w:r>
              <w:t>干部教育</w:t>
            </w:r>
          </w:p>
        </w:tc>
        <w:tc>
          <w:tcPr>
            <w:tcW w:w="1361" w:type="dxa"/>
            <w:vAlign w:val="center"/>
          </w:tcPr>
          <w:p>
            <w:pPr>
              <w:pStyle w:val="13"/>
            </w:pPr>
            <w:r>
              <w:t>217.10</w:t>
            </w:r>
          </w:p>
        </w:tc>
        <w:tc>
          <w:tcPr>
            <w:tcW w:w="1361" w:type="dxa"/>
            <w:vAlign w:val="center"/>
          </w:tcPr>
          <w:p>
            <w:pPr>
              <w:pStyle w:val="13"/>
            </w:pPr>
            <w:r>
              <w:t>215.90</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82.66</w:t>
            </w:r>
          </w:p>
        </w:tc>
        <w:tc>
          <w:tcPr>
            <w:tcW w:w="1361" w:type="dxa"/>
            <w:vAlign w:val="center"/>
          </w:tcPr>
          <w:p>
            <w:pPr>
              <w:pStyle w:val="13"/>
            </w:pPr>
            <w:r>
              <w:t>82.66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82.66</w:t>
            </w:r>
          </w:p>
        </w:tc>
        <w:tc>
          <w:tcPr>
            <w:tcW w:w="1361" w:type="dxa"/>
            <w:vAlign w:val="center"/>
          </w:tcPr>
          <w:p>
            <w:pPr>
              <w:pStyle w:val="13"/>
            </w:pPr>
            <w:r>
              <w:t>82.66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41.66</w:t>
            </w:r>
          </w:p>
        </w:tc>
        <w:tc>
          <w:tcPr>
            <w:tcW w:w="1361" w:type="dxa"/>
            <w:vAlign w:val="center"/>
          </w:tcPr>
          <w:p>
            <w:pPr>
              <w:pStyle w:val="13"/>
            </w:pPr>
            <w:r>
              <w:t>41.66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41.00</w:t>
            </w: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18.00</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18.00</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18.00</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281001中共无极县委党校本级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317.76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217.10</w:t>
            </w:r>
          </w:p>
        </w:tc>
        <w:tc>
          <w:tcPr>
            <w:tcW w:w="1474" w:type="dxa"/>
            <w:vAlign w:val="center"/>
          </w:tcPr>
          <w:p>
            <w:pPr>
              <w:pStyle w:val="13"/>
            </w:pPr>
            <w:r>
              <w:t>217.10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82.66</w:t>
            </w:r>
          </w:p>
        </w:tc>
        <w:tc>
          <w:tcPr>
            <w:tcW w:w="1474" w:type="dxa"/>
            <w:vAlign w:val="center"/>
          </w:tcPr>
          <w:p>
            <w:pPr>
              <w:pStyle w:val="13"/>
            </w:pPr>
            <w:r>
              <w:t>82.66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18.00</w:t>
            </w:r>
          </w:p>
        </w:tc>
        <w:tc>
          <w:tcPr>
            <w:tcW w:w="1474" w:type="dxa"/>
            <w:vAlign w:val="center"/>
          </w:tcPr>
          <w:p>
            <w:pPr>
              <w:pStyle w:val="13"/>
            </w:pPr>
            <w:r>
              <w:t>18.00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317.76</w:t>
            </w:r>
          </w:p>
        </w:tc>
        <w:tc>
          <w:tcPr>
            <w:tcW w:w="3402" w:type="dxa"/>
            <w:vAlign w:val="center"/>
          </w:tcPr>
          <w:p>
            <w:pPr>
              <w:pStyle w:val="16"/>
            </w:pPr>
            <w:r>
              <w:t>本年支出合计</w:t>
            </w:r>
          </w:p>
        </w:tc>
        <w:tc>
          <w:tcPr>
            <w:tcW w:w="1474" w:type="dxa"/>
            <w:vAlign w:val="center"/>
          </w:tcPr>
          <w:p>
            <w:pPr>
              <w:pStyle w:val="17"/>
            </w:pPr>
            <w:r>
              <w:t>317.76</w:t>
            </w:r>
          </w:p>
        </w:tc>
        <w:tc>
          <w:tcPr>
            <w:tcW w:w="1474" w:type="dxa"/>
            <w:vAlign w:val="center"/>
          </w:tcPr>
          <w:p>
            <w:pPr>
              <w:pStyle w:val="17"/>
            </w:pPr>
            <w:r>
              <w:t>317.76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317.76</w:t>
            </w:r>
          </w:p>
        </w:tc>
        <w:tc>
          <w:tcPr>
            <w:tcW w:w="3402" w:type="dxa"/>
            <w:vAlign w:val="center"/>
          </w:tcPr>
          <w:p>
            <w:pPr>
              <w:pStyle w:val="16"/>
            </w:pPr>
            <w:r>
              <w:t>支出总计</w:t>
            </w:r>
          </w:p>
        </w:tc>
        <w:tc>
          <w:tcPr>
            <w:tcW w:w="1474" w:type="dxa"/>
            <w:vAlign w:val="center"/>
          </w:tcPr>
          <w:p>
            <w:pPr>
              <w:pStyle w:val="17"/>
            </w:pPr>
            <w:r>
              <w:t>317.76</w:t>
            </w:r>
          </w:p>
        </w:tc>
        <w:tc>
          <w:tcPr>
            <w:tcW w:w="1474" w:type="dxa"/>
            <w:vAlign w:val="center"/>
          </w:tcPr>
          <w:p>
            <w:pPr>
              <w:pStyle w:val="17"/>
            </w:pPr>
            <w:r>
              <w:t>317.76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317.76</w:t>
            </w:r>
          </w:p>
        </w:tc>
        <w:tc>
          <w:tcPr>
            <w:tcW w:w="2551" w:type="dxa"/>
            <w:vAlign w:val="center"/>
          </w:tcPr>
          <w:p>
            <w:pPr>
              <w:pStyle w:val="17"/>
            </w:pPr>
            <w:r>
              <w:t>316.56</w:t>
            </w:r>
          </w:p>
        </w:tc>
        <w:tc>
          <w:tcPr>
            <w:tcW w:w="2551" w:type="dxa"/>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217.10</w:t>
            </w:r>
          </w:p>
        </w:tc>
        <w:tc>
          <w:tcPr>
            <w:tcW w:w="2551" w:type="dxa"/>
            <w:vAlign w:val="center"/>
          </w:tcPr>
          <w:p>
            <w:pPr>
              <w:pStyle w:val="13"/>
            </w:pPr>
            <w:r>
              <w:t>215.90</w:t>
            </w: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20508</w:t>
            </w:r>
          </w:p>
        </w:tc>
        <w:tc>
          <w:tcPr>
            <w:tcW w:w="4535" w:type="dxa"/>
            <w:vAlign w:val="center"/>
          </w:tcPr>
          <w:p>
            <w:pPr>
              <w:pStyle w:val="14"/>
            </w:pPr>
            <w:r>
              <w:t>进修及培训</w:t>
            </w:r>
          </w:p>
        </w:tc>
        <w:tc>
          <w:tcPr>
            <w:tcW w:w="2551" w:type="dxa"/>
            <w:vAlign w:val="center"/>
          </w:tcPr>
          <w:p>
            <w:pPr>
              <w:pStyle w:val="13"/>
            </w:pPr>
            <w:r>
              <w:t>217.10</w:t>
            </w:r>
          </w:p>
        </w:tc>
        <w:tc>
          <w:tcPr>
            <w:tcW w:w="2551" w:type="dxa"/>
            <w:vAlign w:val="center"/>
          </w:tcPr>
          <w:p>
            <w:pPr>
              <w:pStyle w:val="13"/>
            </w:pPr>
            <w:r>
              <w:t>215.90</w:t>
            </w: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2050802</w:t>
            </w:r>
          </w:p>
        </w:tc>
        <w:tc>
          <w:tcPr>
            <w:tcW w:w="4535" w:type="dxa"/>
            <w:vAlign w:val="center"/>
          </w:tcPr>
          <w:p>
            <w:pPr>
              <w:pStyle w:val="14"/>
            </w:pPr>
            <w:r>
              <w:t>干部教育</w:t>
            </w:r>
          </w:p>
        </w:tc>
        <w:tc>
          <w:tcPr>
            <w:tcW w:w="2551" w:type="dxa"/>
            <w:vAlign w:val="center"/>
          </w:tcPr>
          <w:p>
            <w:pPr>
              <w:pStyle w:val="13"/>
            </w:pPr>
            <w:r>
              <w:t>217.10</w:t>
            </w:r>
          </w:p>
        </w:tc>
        <w:tc>
          <w:tcPr>
            <w:tcW w:w="2551" w:type="dxa"/>
            <w:vAlign w:val="center"/>
          </w:tcPr>
          <w:p>
            <w:pPr>
              <w:pStyle w:val="13"/>
            </w:pPr>
            <w:r>
              <w:t>215.90</w:t>
            </w: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82.66</w:t>
            </w:r>
          </w:p>
        </w:tc>
        <w:tc>
          <w:tcPr>
            <w:tcW w:w="2551" w:type="dxa"/>
            <w:vAlign w:val="center"/>
          </w:tcPr>
          <w:p>
            <w:pPr>
              <w:pStyle w:val="13"/>
            </w:pPr>
            <w:r>
              <w:t>82.66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82.66</w:t>
            </w:r>
          </w:p>
        </w:tc>
        <w:tc>
          <w:tcPr>
            <w:tcW w:w="2551" w:type="dxa"/>
            <w:vAlign w:val="center"/>
          </w:tcPr>
          <w:p>
            <w:pPr>
              <w:pStyle w:val="13"/>
            </w:pPr>
            <w:r>
              <w:t>82.66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41.66</w:t>
            </w:r>
          </w:p>
        </w:tc>
        <w:tc>
          <w:tcPr>
            <w:tcW w:w="2551" w:type="dxa"/>
            <w:vAlign w:val="center"/>
          </w:tcPr>
          <w:p>
            <w:pPr>
              <w:pStyle w:val="13"/>
            </w:pPr>
            <w:r>
              <w:t>41.66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41.00</w:t>
            </w:r>
          </w:p>
        </w:tc>
        <w:tc>
          <w:tcPr>
            <w:tcW w:w="2551" w:type="dxa"/>
            <w:vAlign w:val="center"/>
          </w:tcPr>
          <w:p>
            <w:pPr>
              <w:pStyle w:val="13"/>
            </w:pPr>
            <w:r>
              <w:t>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316.56</w:t>
            </w:r>
          </w:p>
        </w:tc>
        <w:tc>
          <w:tcPr>
            <w:tcW w:w="2551" w:type="dxa"/>
            <w:vAlign w:val="center"/>
          </w:tcPr>
          <w:p>
            <w:pPr>
              <w:pStyle w:val="17"/>
            </w:pPr>
            <w:r>
              <w:t>301.26</w:t>
            </w:r>
          </w:p>
        </w:tc>
        <w:tc>
          <w:tcPr>
            <w:tcW w:w="2551" w:type="dxa"/>
            <w:vAlign w:val="center"/>
          </w:tcPr>
          <w:p>
            <w:pPr>
              <w:pStyle w:val="17"/>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259.60</w:t>
            </w:r>
          </w:p>
        </w:tc>
        <w:tc>
          <w:tcPr>
            <w:tcW w:w="2551" w:type="dxa"/>
            <w:vAlign w:val="center"/>
          </w:tcPr>
          <w:p>
            <w:pPr>
              <w:pStyle w:val="13"/>
            </w:pPr>
            <w:r>
              <w:t>259.60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96.10</w:t>
            </w:r>
          </w:p>
        </w:tc>
        <w:tc>
          <w:tcPr>
            <w:tcW w:w="2551" w:type="dxa"/>
            <w:vAlign w:val="center"/>
          </w:tcPr>
          <w:p>
            <w:pPr>
              <w:pStyle w:val="13"/>
            </w:pPr>
            <w:r>
              <w:t>96.10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26.50</w:t>
            </w:r>
          </w:p>
        </w:tc>
        <w:tc>
          <w:tcPr>
            <w:tcW w:w="2551" w:type="dxa"/>
            <w:vAlign w:val="center"/>
          </w:tcPr>
          <w:p>
            <w:pPr>
              <w:pStyle w:val="13"/>
            </w:pPr>
            <w:r>
              <w:t>26.50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25.10</w:t>
            </w:r>
          </w:p>
        </w:tc>
        <w:tc>
          <w:tcPr>
            <w:tcW w:w="2551" w:type="dxa"/>
            <w:vAlign w:val="center"/>
          </w:tcPr>
          <w:p>
            <w:pPr>
              <w:pStyle w:val="13"/>
            </w:pPr>
            <w:r>
              <w:t>25.10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37.90</w:t>
            </w:r>
          </w:p>
        </w:tc>
        <w:tc>
          <w:tcPr>
            <w:tcW w:w="2551" w:type="dxa"/>
            <w:vAlign w:val="center"/>
          </w:tcPr>
          <w:p>
            <w:pPr>
              <w:pStyle w:val="13"/>
            </w:pPr>
            <w:r>
              <w:t>37.90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41.00</w:t>
            </w:r>
          </w:p>
        </w:tc>
        <w:tc>
          <w:tcPr>
            <w:tcW w:w="2551" w:type="dxa"/>
            <w:vAlign w:val="center"/>
          </w:tcPr>
          <w:p>
            <w:pPr>
              <w:pStyle w:val="13"/>
            </w:pPr>
            <w:r>
              <w:t>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15.30</w:t>
            </w:r>
          </w:p>
        </w:tc>
        <w:tc>
          <w:tcPr>
            <w:tcW w:w="2551" w:type="dxa"/>
            <w:vAlign w:val="center"/>
          </w:tcPr>
          <w:p>
            <w:pPr>
              <w:pStyle w:val="13"/>
            </w:pPr>
          </w:p>
        </w:tc>
        <w:tc>
          <w:tcPr>
            <w:tcW w:w="2551" w:type="dxa"/>
            <w:vAlign w:val="center"/>
          </w:tcPr>
          <w:p>
            <w:pPr>
              <w:pStyle w:val="13"/>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2.80</w:t>
            </w:r>
          </w:p>
        </w:tc>
        <w:tc>
          <w:tcPr>
            <w:tcW w:w="2551" w:type="dxa"/>
            <w:vAlign w:val="center"/>
          </w:tcPr>
          <w:p>
            <w:pPr>
              <w:pStyle w:val="13"/>
            </w:pPr>
          </w:p>
        </w:tc>
        <w:tc>
          <w:tcPr>
            <w:tcW w:w="2551"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41.66</w:t>
            </w:r>
          </w:p>
        </w:tc>
        <w:tc>
          <w:tcPr>
            <w:tcW w:w="2551" w:type="dxa"/>
            <w:vAlign w:val="center"/>
          </w:tcPr>
          <w:p>
            <w:pPr>
              <w:pStyle w:val="13"/>
            </w:pPr>
            <w:r>
              <w:t>41.66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41.66</w:t>
            </w:r>
          </w:p>
        </w:tc>
        <w:tc>
          <w:tcPr>
            <w:tcW w:w="2551" w:type="dxa"/>
            <w:vAlign w:val="center"/>
          </w:tcPr>
          <w:p>
            <w:pPr>
              <w:pStyle w:val="13"/>
            </w:pPr>
            <w:r>
              <w:t>41.66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281001中共无极县委党校本级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中共无极县委党校本级2023年单位预算信息公开情况说明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按照《预算法》、《地方预决算公开操作规程》和《关于进一步推进预算公开工作的实施意见》规定，现将中共无极县委党校本级2023年单位预算公开如下：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党校是在党委直接领导下培养党员领导干部和理论干部的学校，是党委的重要部门，是培训轮训党员领导干部的主渠道，是党的哲学社会科学研究机构，具体职责是：</w:t>
      </w:r>
    </w:p>
    <w:p>
      <w:pPr>
        <w:pStyle w:val="27"/>
      </w:pPr>
      <w:r>
        <w:t>1、培训基层党员和党政领导干部、公务员、企业领导人员等。</w:t>
      </w:r>
    </w:p>
    <w:p>
      <w:pPr>
        <w:pStyle w:val="27"/>
      </w:pPr>
      <w:r>
        <w:t>2、进行马克思主义基本理论研究，重点研究宣传习近平新时代中国特色社会主义思想。</w:t>
      </w:r>
    </w:p>
    <w:p>
      <w:pPr>
        <w:pStyle w:val="27"/>
      </w:pPr>
      <w:r>
        <w:t>3、承办县委和政府以及相关部门举办的专题研讨班。</w:t>
      </w:r>
    </w:p>
    <w:p>
      <w:pPr>
        <w:pStyle w:val="27"/>
      </w:pPr>
      <w:r>
        <w:t>4、开展重大理论和现实问题研究，承担县委和政府决策咨询服务。</w:t>
      </w:r>
    </w:p>
    <w:p>
      <w:pPr>
        <w:pStyle w:val="27"/>
      </w:pPr>
      <w:r>
        <w:t>5、开展同省内外有关机构和组织的合作与交流。</w:t>
      </w:r>
    </w:p>
    <w:p>
      <w:pPr>
        <w:pStyle w:val="27"/>
      </w:pPr>
      <w:r>
        <w:t>6、参与县委关于党校（行政学校）工作政策以及干部培训计划的制定工作。</w:t>
      </w:r>
    </w:p>
    <w:p>
      <w:pPr>
        <w:pStyle w:val="27"/>
      </w:pPr>
      <w:r>
        <w:t>7、对党校教师队伍的师资培训。</w:t>
      </w:r>
    </w:p>
    <w:p>
      <w:pPr>
        <w:pStyle w:val="27"/>
      </w:pPr>
      <w:r>
        <w:t>8、完成县委和政府及其他部门交办的各项工作任务。</w:t>
      </w:r>
    </w:p>
    <w:p>
      <w:pPr>
        <w:pStyle w:val="2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中共无极县委党校本级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val="en-US" w:eastAsia="zh-CN"/>
        </w:rPr>
        <w:t>县单位</w:t>
      </w:r>
      <w:r>
        <w:t>预算的编制实行综合预算管理，即全部收入和支出都反映在</w:t>
      </w:r>
      <w:r>
        <w:rPr>
          <w:rFonts w:hint="eastAsia"/>
          <w:lang w:val="en-US" w:eastAsia="zh-CN"/>
        </w:rPr>
        <w:t>单位</w:t>
      </w:r>
      <w:r>
        <w:t>预算中。</w:t>
      </w:r>
    </w:p>
    <w:p>
      <w:pPr>
        <w:pStyle w:val="20"/>
      </w:pPr>
      <w:r>
        <w:t xml:space="preserve">1、收入说明 </w:t>
      </w:r>
    </w:p>
    <w:p>
      <w:pPr>
        <w:pStyle w:val="20"/>
      </w:pPr>
      <w:r>
        <w:t>反映本</w:t>
      </w:r>
      <w:r>
        <w:rPr>
          <w:rFonts w:hint="eastAsia"/>
          <w:lang w:val="en-US" w:eastAsia="zh-CN"/>
        </w:rPr>
        <w:t>单位</w:t>
      </w:r>
      <w:r>
        <w:t>当年全部收入，202</w:t>
      </w:r>
      <w:r>
        <w:rPr>
          <w:rFonts w:hint="eastAsia"/>
          <w:lang w:val="en-US" w:eastAsia="zh-CN"/>
        </w:rPr>
        <w:t>3</w:t>
      </w:r>
      <w:r>
        <w:t>年</w:t>
      </w:r>
      <w:r>
        <w:rPr>
          <w:rFonts w:hint="eastAsia"/>
          <w:lang w:val="en-US" w:eastAsia="zh-CN"/>
        </w:rPr>
        <w:t>单位</w:t>
      </w:r>
      <w:r>
        <w:t>预算收入</w:t>
      </w:r>
      <w:r>
        <w:rPr>
          <w:rFonts w:hint="eastAsia"/>
          <w:lang w:val="en-US" w:eastAsia="zh-CN"/>
        </w:rPr>
        <w:t>317.76</w:t>
      </w:r>
      <w:r>
        <w:t>万元，其中：一般公共预算拨款</w:t>
      </w:r>
      <w:r>
        <w:rPr>
          <w:rFonts w:hint="eastAsia"/>
          <w:lang w:val="en-US" w:eastAsia="zh-CN"/>
        </w:rPr>
        <w:t>317.76</w:t>
      </w:r>
      <w:r>
        <w:t>万元，基金预算拨款0万元，财政专户核拨0万元，其他来源收入0万元。</w:t>
      </w:r>
    </w:p>
    <w:p>
      <w:pPr>
        <w:pStyle w:val="20"/>
      </w:pPr>
      <w:r>
        <w:t>2、支出说明</w:t>
      </w:r>
    </w:p>
    <w:p>
      <w:pPr>
        <w:pStyle w:val="20"/>
      </w:pPr>
      <w:r>
        <w:t>收支预算总表支出栏、基本支出表、项目支出表按经济分类和支出功能分类科目编制，反映党校年度单位预算中支出预算的总体情况。202</w:t>
      </w:r>
      <w:r>
        <w:rPr>
          <w:rFonts w:hint="eastAsia"/>
          <w:lang w:val="en-US" w:eastAsia="zh-CN"/>
        </w:rPr>
        <w:t>3</w:t>
      </w:r>
      <w:r>
        <w:t>年单位支出预算为</w:t>
      </w:r>
      <w:r>
        <w:rPr>
          <w:rFonts w:hint="eastAsia"/>
          <w:lang w:val="en-US" w:eastAsia="zh-CN"/>
        </w:rPr>
        <w:t>317.76</w:t>
      </w:r>
      <w:r>
        <w:t>万元，其中基本支出</w:t>
      </w:r>
      <w:r>
        <w:rPr>
          <w:rFonts w:hint="eastAsia"/>
          <w:lang w:val="en-US" w:eastAsia="zh-CN"/>
        </w:rPr>
        <w:t>316.56</w:t>
      </w:r>
      <w:r>
        <w:t>元，包括人员经费</w:t>
      </w:r>
      <w:r>
        <w:rPr>
          <w:rFonts w:hint="eastAsia"/>
          <w:lang w:val="en-US" w:eastAsia="zh-CN"/>
        </w:rPr>
        <w:t>301.26</w:t>
      </w:r>
      <w:r>
        <w:t>万元和日常公用经费</w:t>
      </w:r>
      <w:r>
        <w:rPr>
          <w:rFonts w:hint="eastAsia"/>
          <w:lang w:val="en-US" w:eastAsia="zh-CN"/>
        </w:rPr>
        <w:t>15.3</w:t>
      </w:r>
      <w:r>
        <w:t>万元；项目支出</w:t>
      </w:r>
      <w:r>
        <w:rPr>
          <w:rFonts w:hint="eastAsia"/>
          <w:lang w:eastAsia="zh-CN"/>
        </w:rPr>
        <w:t>1.2</w:t>
      </w:r>
      <w:r>
        <w:t>万元</w:t>
      </w:r>
      <w:r>
        <w:rPr>
          <w:rFonts w:hint="eastAsia"/>
          <w:lang w:eastAsia="zh-CN"/>
        </w:rPr>
        <w:t>，</w:t>
      </w:r>
      <w:r>
        <w:rPr>
          <w:rFonts w:hint="eastAsia"/>
          <w:lang w:val="en-US" w:eastAsia="zh-CN"/>
        </w:rPr>
        <w:t>主要是</w:t>
      </w:r>
      <w:r>
        <w:t>2023年党校云视频网络维护费</w:t>
      </w:r>
      <w:r>
        <w:rPr>
          <w:rFonts w:hint="eastAsia"/>
          <w:lang w:val="en-US" w:eastAsia="zh-CN"/>
        </w:rPr>
        <w:t>1.2万元。</w:t>
      </w:r>
    </w:p>
    <w:p>
      <w:pPr>
        <w:pStyle w:val="20"/>
      </w:pPr>
      <w:r>
        <w:t>3、比上年增减情况</w:t>
      </w:r>
    </w:p>
    <w:p>
      <w:pPr>
        <w:pStyle w:val="20"/>
        <w:rPr>
          <w:rFonts w:hint="default" w:eastAsia="方正仿宋_GBK"/>
          <w:lang w:val="en-US" w:eastAsia="zh-CN"/>
        </w:rPr>
      </w:pPr>
      <w:r>
        <w:t>202</w:t>
      </w:r>
      <w:r>
        <w:rPr>
          <w:rFonts w:hint="eastAsia"/>
          <w:lang w:val="en-US" w:eastAsia="zh-CN"/>
        </w:rPr>
        <w:t>3</w:t>
      </w:r>
      <w:r>
        <w:t>年</w:t>
      </w:r>
      <w:r>
        <w:rPr>
          <w:rFonts w:hint="eastAsia"/>
          <w:lang w:val="en-US" w:eastAsia="zh-CN"/>
        </w:rPr>
        <w:t>单位</w:t>
      </w:r>
      <w:r>
        <w:t>预算支出较202</w:t>
      </w:r>
      <w:r>
        <w:rPr>
          <w:rFonts w:hint="eastAsia"/>
          <w:lang w:val="en-US" w:eastAsia="zh-CN"/>
        </w:rPr>
        <w:t>2</w:t>
      </w:r>
      <w:r>
        <w:t>年</w:t>
      </w:r>
      <w:r>
        <w:rPr>
          <w:rFonts w:hint="eastAsia"/>
          <w:lang w:val="en-US" w:eastAsia="zh-CN"/>
        </w:rPr>
        <w:t>增加90.62</w:t>
      </w:r>
      <w:r>
        <w:t>万元，主要是基本支出</w:t>
      </w:r>
      <w:r>
        <w:rPr>
          <w:rFonts w:hint="eastAsia"/>
          <w:lang w:val="en-US" w:eastAsia="zh-CN"/>
        </w:rPr>
        <w:t>增加89.42</w:t>
      </w:r>
      <w:r>
        <w:t>万元，其中人员经费支出</w:t>
      </w:r>
      <w:r>
        <w:rPr>
          <w:rFonts w:hint="eastAsia"/>
          <w:lang w:val="en-US" w:eastAsia="zh-CN"/>
        </w:rPr>
        <w:t>增加85.76</w:t>
      </w:r>
      <w:r>
        <w:t>万元，公用经费</w:t>
      </w:r>
      <w:r>
        <w:rPr>
          <w:rFonts w:hint="eastAsia"/>
          <w:lang w:val="en-US" w:eastAsia="zh-CN"/>
        </w:rPr>
        <w:t>增加3.66</w:t>
      </w:r>
      <w:r>
        <w:t>万元，主要原因是有人员</w:t>
      </w:r>
      <w:r>
        <w:rPr>
          <w:rFonts w:hint="eastAsia"/>
          <w:lang w:val="en-US" w:eastAsia="zh-CN"/>
        </w:rPr>
        <w:t>增加</w:t>
      </w:r>
      <w:r>
        <w:t>调</w:t>
      </w:r>
      <w:r>
        <w:rPr>
          <w:rFonts w:hint="eastAsia"/>
          <w:lang w:val="en-US" w:eastAsia="zh-CN"/>
        </w:rPr>
        <w:t>入和社保预算口径不一致</w:t>
      </w:r>
      <w:r>
        <w:t>。</w:t>
      </w:r>
      <w:r>
        <w:rPr>
          <w:rFonts w:hint="eastAsia"/>
          <w:lang w:val="en-US" w:eastAsia="zh-CN"/>
        </w:rPr>
        <w:t>项目支出增加1.2万元，主要是上年无项目支出</w:t>
      </w:r>
      <w:bookmarkStart w:id="1" w:name="_GoBack"/>
      <w:r>
        <w:rPr>
          <w:rFonts w:hint="eastAsia"/>
          <w:lang w:val="en-US" w:eastAsia="zh-CN"/>
        </w:rPr>
        <w:t>，本年度增加</w:t>
      </w:r>
      <w:r>
        <w:t>2023年党校云视频网络维护费</w:t>
      </w:r>
      <w:r>
        <w:rPr>
          <w:rFonts w:hint="eastAsia"/>
          <w:lang w:val="en-US" w:eastAsia="zh-CN"/>
        </w:rPr>
        <w:t>1.2万元。</w:t>
      </w:r>
      <w:bookmarkEnd w:id="1"/>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w:t>
      </w:r>
      <w:r>
        <w:rPr>
          <w:rFonts w:hint="eastAsia" w:eastAsia="方正仿宋_GBK" w:cs="Times New Roman"/>
          <w:sz w:val="28"/>
          <w:szCs w:val="24"/>
          <w:lang w:val="en-US" w:eastAsia="zh-CN" w:bidi="ar-SA"/>
        </w:rPr>
        <w:t>15.3</w:t>
      </w:r>
      <w:r>
        <w:rPr>
          <w:rFonts w:ascii="Times New Roman" w:hAnsi="Times New Roman" w:eastAsia="方正仿宋_GBK" w:cs="Times New Roman"/>
          <w:sz w:val="28"/>
          <w:szCs w:val="24"/>
          <w:lang w:val="en-US" w:eastAsia="uk-UA" w:bidi="ar-SA"/>
        </w:rPr>
        <w:t>万元，主要用于保证机关正常运转的办公及印刷费、邮电费、差旅费、一般设备购置费、办公用房电费、日常维修费等支出。</w:t>
      </w:r>
      <w:r>
        <w:rPr>
          <w:rFonts w:hint="eastAsia" w:ascii="Times New Roman" w:hAnsi="Times New Roman" w:eastAsia="方正仿宋_GBK" w:cs="Times New Roman"/>
          <w:sz w:val="28"/>
          <w:szCs w:val="24"/>
          <w:lang w:val="en-US" w:eastAsia="zh-CN" w:bidi="ar-SA"/>
        </w:rPr>
        <w:t>与202</w:t>
      </w: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年度</w:t>
      </w:r>
      <w:r>
        <w:rPr>
          <w:rFonts w:hint="eastAsia" w:eastAsia="方正仿宋_GBK" w:cs="Times New Roman"/>
          <w:sz w:val="28"/>
          <w:szCs w:val="24"/>
          <w:lang w:val="en-US" w:eastAsia="zh-CN" w:bidi="ar-SA"/>
        </w:rPr>
        <w:t>增加3.6</w:t>
      </w:r>
      <w:r>
        <w:rPr>
          <w:rFonts w:hint="eastAsia" w:ascii="Times New Roman" w:hAnsi="Times New Roman" w:eastAsia="方正仿宋_GBK" w:cs="Times New Roman"/>
          <w:sz w:val="28"/>
          <w:szCs w:val="24"/>
          <w:lang w:val="en-US" w:eastAsia="zh-CN" w:bidi="ar-SA"/>
        </w:rPr>
        <w:t>6万元，主要是人员变动相应</w:t>
      </w:r>
      <w:r>
        <w:rPr>
          <w:rFonts w:hint="eastAsia"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zh-CN" w:bidi="ar-SA"/>
        </w:rPr>
        <w:t>费用。</w:t>
      </w:r>
      <w:r>
        <w:rPr>
          <w:rFonts w:ascii="黑体" w:hAnsi="黑体" w:eastAsia="黑体" w:cs="黑体"/>
          <w:color w:val="000000"/>
          <w:sz w:val="32"/>
        </w:rPr>
        <w:t>四、财政拨款“三公”经费预算情况及增减变化原因</w:t>
      </w:r>
    </w:p>
    <w:p>
      <w:pPr>
        <w:pStyle w:val="22"/>
        <w:rPr>
          <w:rFonts w:ascii="黑体" w:hAnsi="黑体" w:eastAsia="黑体" w:cs="黑体"/>
          <w:color w:val="000000"/>
          <w:sz w:val="32"/>
        </w:rPr>
      </w:pPr>
      <w:r>
        <w:rPr>
          <w:highlight w:val="none"/>
        </w:rPr>
        <w:t>202</w:t>
      </w:r>
      <w:r>
        <w:rPr>
          <w:rFonts w:hint="eastAsia"/>
          <w:highlight w:val="none"/>
          <w:lang w:val="en-US" w:eastAsia="zh-CN"/>
        </w:rPr>
        <w:t>3</w:t>
      </w:r>
      <w:r>
        <w:rPr>
          <w:highlight w:val="none"/>
        </w:rPr>
        <w:t>年，我</w:t>
      </w:r>
      <w:r>
        <w:rPr>
          <w:rFonts w:hint="eastAsia"/>
          <w:highlight w:val="none"/>
          <w:lang w:val="en-US" w:eastAsia="zh-CN"/>
        </w:rPr>
        <w:t>单位</w:t>
      </w:r>
      <w:r>
        <w:rPr>
          <w:highlight w:val="none"/>
        </w:rPr>
        <w:t>财政拨款“三公”经费预算安排</w:t>
      </w:r>
      <w:r>
        <w:rPr>
          <w:rFonts w:hint="eastAsia"/>
          <w:highlight w:val="none"/>
          <w:lang w:val="en-US" w:eastAsia="zh-CN"/>
        </w:rPr>
        <w:t>0</w:t>
      </w:r>
      <w:r>
        <w:rPr>
          <w:highlight w:val="none"/>
        </w:rPr>
        <w:t>万元，其中：因公出国（境）费0万元；公务用车购置及运维费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万元)。其中公务接待费0万元。</w:t>
      </w:r>
      <w:r>
        <w:rPr>
          <w:rFonts w:hint="eastAsia"/>
          <w:highlight w:val="none"/>
        </w:rPr>
        <w:t>与</w:t>
      </w:r>
      <w:r>
        <w:rPr>
          <w:highlight w:val="none"/>
        </w:rPr>
        <w:t>2021</w:t>
      </w:r>
      <w:r>
        <w:rPr>
          <w:rFonts w:hint="eastAsia"/>
          <w:highlight w:val="none"/>
        </w:rPr>
        <w:t>年相比持平无增减变化。</w:t>
      </w:r>
      <w:r>
        <w:rPr>
          <w:rFonts w:hint="eastAsia"/>
          <w:lang w:val="en-US" w:eastAsia="zh-CN"/>
        </w:rPr>
        <w:t>无增减变化原因为本单位无因公出国业务、无公车保有量、未产生公务接待费。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1、2023年党校云视频网络维护费绩效目标表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1.省市县三级党校（行政学院）教学资源、师资资源共享</w:t>
            </w:r>
          </w:p>
          <w:p>
            <w:pPr>
              <w:pStyle w:val="14"/>
            </w:pPr>
            <w:r>
              <w:t>2.提高党校办学水平</w:t>
            </w:r>
          </w:p>
          <w:p>
            <w:pPr>
              <w:pStyle w:val="14"/>
            </w:pPr>
            <w:r>
              <w:t>3.满足远程授课和视频会议需求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标准云视频接入终端</w:t>
            </w:r>
          </w:p>
        </w:tc>
        <w:tc>
          <w:tcPr>
            <w:tcW w:w="2835" w:type="dxa"/>
            <w:vAlign w:val="center"/>
          </w:tcPr>
          <w:p>
            <w:pPr>
              <w:pStyle w:val="14"/>
            </w:pPr>
            <w:r>
              <w:t>标准云视频接入终端</w:t>
            </w:r>
          </w:p>
        </w:tc>
        <w:tc>
          <w:tcPr>
            <w:tcW w:w="2551" w:type="dxa"/>
            <w:vAlign w:val="center"/>
          </w:tcPr>
          <w:p>
            <w:pPr>
              <w:pStyle w:val="14"/>
            </w:pPr>
            <w:r>
              <w:t>100%</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网络技术培训指导率</w:t>
            </w:r>
          </w:p>
        </w:tc>
        <w:tc>
          <w:tcPr>
            <w:tcW w:w="2835" w:type="dxa"/>
            <w:vAlign w:val="center"/>
          </w:tcPr>
          <w:p>
            <w:pPr>
              <w:pStyle w:val="14"/>
            </w:pPr>
            <w:r>
              <w:t>网络技术培训指导率</w:t>
            </w:r>
          </w:p>
        </w:tc>
        <w:tc>
          <w:tcPr>
            <w:tcW w:w="2551" w:type="dxa"/>
            <w:vAlign w:val="center"/>
          </w:tcPr>
          <w:p>
            <w:pPr>
              <w:pStyle w:val="14"/>
            </w:pPr>
            <w:r>
              <w:t>100%</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实现高效音频互通及远程授课</w:t>
            </w:r>
          </w:p>
        </w:tc>
        <w:tc>
          <w:tcPr>
            <w:tcW w:w="2835" w:type="dxa"/>
            <w:vAlign w:val="center"/>
          </w:tcPr>
          <w:p>
            <w:pPr>
              <w:pStyle w:val="14"/>
            </w:pPr>
            <w:r>
              <w:t>实现高效音频互通及远程授课</w:t>
            </w:r>
          </w:p>
        </w:tc>
        <w:tc>
          <w:tcPr>
            <w:tcW w:w="2551" w:type="dxa"/>
            <w:vAlign w:val="center"/>
          </w:tcPr>
          <w:p>
            <w:pPr>
              <w:pStyle w:val="14"/>
            </w:pPr>
            <w:r>
              <w:t>实现高效音频互通及远程授课</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高效、集约、绿色</w:t>
            </w:r>
          </w:p>
        </w:tc>
        <w:tc>
          <w:tcPr>
            <w:tcW w:w="2835" w:type="dxa"/>
            <w:vAlign w:val="center"/>
          </w:tcPr>
          <w:p>
            <w:pPr>
              <w:pStyle w:val="14"/>
            </w:pPr>
            <w:r>
              <w:t>高效、集约、绿色</w:t>
            </w:r>
          </w:p>
        </w:tc>
        <w:tc>
          <w:tcPr>
            <w:tcW w:w="2551" w:type="dxa"/>
            <w:vAlign w:val="center"/>
          </w:tcPr>
          <w:p>
            <w:pPr>
              <w:pStyle w:val="14"/>
            </w:pPr>
            <w:r>
              <w:t>高效、集约、绿色</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资源共享，降低培训、会议成本</w:t>
            </w:r>
          </w:p>
        </w:tc>
        <w:tc>
          <w:tcPr>
            <w:tcW w:w="2835" w:type="dxa"/>
            <w:vAlign w:val="center"/>
          </w:tcPr>
          <w:p>
            <w:pPr>
              <w:pStyle w:val="14"/>
            </w:pPr>
            <w:r>
              <w:t>资源共享，降低培训、会议成本</w:t>
            </w:r>
          </w:p>
        </w:tc>
        <w:tc>
          <w:tcPr>
            <w:tcW w:w="2551" w:type="dxa"/>
            <w:vAlign w:val="center"/>
          </w:tcPr>
          <w:p>
            <w:pPr>
              <w:pStyle w:val="14"/>
            </w:pPr>
            <w:r>
              <w:t>资源共享，降低培训、会议成本</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实现省市县三级党校（行政学院）资源共享</w:t>
            </w:r>
          </w:p>
        </w:tc>
        <w:tc>
          <w:tcPr>
            <w:tcW w:w="2835" w:type="dxa"/>
            <w:vAlign w:val="center"/>
          </w:tcPr>
          <w:p>
            <w:pPr>
              <w:pStyle w:val="14"/>
            </w:pPr>
            <w:r>
              <w:t>实现省市县三级党校（行政学院）资源共享</w:t>
            </w:r>
          </w:p>
        </w:tc>
        <w:tc>
          <w:tcPr>
            <w:tcW w:w="2551" w:type="dxa"/>
            <w:vAlign w:val="center"/>
          </w:tcPr>
          <w:p>
            <w:pPr>
              <w:pStyle w:val="14"/>
            </w:pPr>
            <w:r>
              <w:t>实现省市县三级党校（行政学院）资源共享</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绿色、集约、节能</w:t>
            </w:r>
          </w:p>
        </w:tc>
        <w:tc>
          <w:tcPr>
            <w:tcW w:w="2835" w:type="dxa"/>
            <w:vAlign w:val="center"/>
          </w:tcPr>
          <w:p>
            <w:pPr>
              <w:pStyle w:val="14"/>
            </w:pPr>
            <w:r>
              <w:t>绿色、集约、节能</w:t>
            </w:r>
          </w:p>
        </w:tc>
        <w:tc>
          <w:tcPr>
            <w:tcW w:w="2551" w:type="dxa"/>
            <w:vAlign w:val="center"/>
          </w:tcPr>
          <w:p>
            <w:pPr>
              <w:pStyle w:val="14"/>
            </w:pPr>
            <w:r>
              <w:t>绿色、集约、节能</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提升本级党校办学水平</w:t>
            </w:r>
          </w:p>
        </w:tc>
        <w:tc>
          <w:tcPr>
            <w:tcW w:w="2835" w:type="dxa"/>
            <w:vAlign w:val="center"/>
          </w:tcPr>
          <w:p>
            <w:pPr>
              <w:pStyle w:val="14"/>
            </w:pPr>
            <w:r>
              <w:t>本级党校办学水平提升情况</w:t>
            </w:r>
          </w:p>
        </w:tc>
        <w:tc>
          <w:tcPr>
            <w:tcW w:w="2551" w:type="dxa"/>
            <w:vAlign w:val="center"/>
          </w:tcPr>
          <w:p>
            <w:pPr>
              <w:pStyle w:val="14"/>
            </w:pPr>
            <w:r>
              <w:t>本级党校办学水平提升明显</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参训人员满意率</w:t>
            </w:r>
          </w:p>
        </w:tc>
        <w:tc>
          <w:tcPr>
            <w:tcW w:w="2835" w:type="dxa"/>
            <w:vAlign w:val="center"/>
          </w:tcPr>
          <w:p>
            <w:pPr>
              <w:pStyle w:val="14"/>
            </w:pPr>
            <w:r>
              <w:t>参训人员满意率</w:t>
            </w:r>
          </w:p>
        </w:tc>
        <w:tc>
          <w:tcPr>
            <w:tcW w:w="2551" w:type="dxa"/>
            <w:vAlign w:val="center"/>
          </w:tcPr>
          <w:p>
            <w:pPr>
              <w:pStyle w:val="14"/>
            </w:pPr>
            <w:r>
              <w:t>≥90%</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参会单位满意度（%）</w:t>
            </w:r>
          </w:p>
        </w:tc>
        <w:tc>
          <w:tcPr>
            <w:tcW w:w="2835" w:type="dxa"/>
            <w:vAlign w:val="center"/>
          </w:tcPr>
          <w:p>
            <w:pPr>
              <w:pStyle w:val="14"/>
            </w:pPr>
            <w:r>
              <w:t>参会单位满意度（%）</w:t>
            </w:r>
          </w:p>
        </w:tc>
        <w:tc>
          <w:tcPr>
            <w:tcW w:w="2551" w:type="dxa"/>
            <w:vAlign w:val="center"/>
          </w:tcPr>
          <w:p>
            <w:pPr>
              <w:pStyle w:val="14"/>
            </w:pPr>
            <w:r>
              <w:t>≥90%</w:t>
            </w:r>
          </w:p>
        </w:tc>
        <w:tc>
          <w:tcPr>
            <w:tcW w:w="2268"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培训及会议需要</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2023年，中共无极县委党校本级安排政府采购预算0.00万元。具体内容见下表。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281001中共无极县委党校本级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eastAsia" w:eastAsia="方正仿宋_GBK"/>
          <w:lang w:eastAsia="zh-CN"/>
        </w:rPr>
      </w:pPr>
      <w:r>
        <w:rPr>
          <w:rFonts w:eastAsia="方正仿宋_GBK" w:cs="Times New Roman"/>
          <w:color w:val="000000"/>
          <w:sz w:val="28"/>
        </w:rPr>
        <w:t>中共无极县委党校本级上年末固定资产金额为71.73万元（详见下表）。本年度拟购置固定资产总额为0.00万元</w:t>
      </w:r>
      <w:r>
        <w:rPr>
          <w:rFonts w:hint="eastAsia" w:eastAsia="方正仿宋_GBK" w:cs="Times New Roman"/>
          <w:color w:val="000000"/>
          <w:sz w:val="28"/>
          <w:lang w:eastAsia="zh-CN"/>
        </w:rPr>
        <w:t>。</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281001中共无极县委党校本级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1143</w:t>
            </w:r>
          </w:p>
        </w:tc>
        <w:tc>
          <w:tcPr>
            <w:tcW w:w="2835" w:type="dxa"/>
            <w:vAlign w:val="center"/>
          </w:tcPr>
          <w:p>
            <w:pPr>
              <w:pStyle w:val="13"/>
            </w:pPr>
            <w:r>
              <w:t>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1143</w:t>
            </w:r>
          </w:p>
        </w:tc>
        <w:tc>
          <w:tcPr>
            <w:tcW w:w="2835" w:type="dxa"/>
            <w:vAlign w:val="center"/>
          </w:tcPr>
          <w:p>
            <w:pPr>
              <w:pStyle w:val="13"/>
            </w:pPr>
            <w:r>
              <w:t>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50.90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val="en-US"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6D02"/>
    <w:rsid w:val="004737EA"/>
    <w:rsid w:val="00D17D11"/>
    <w:rsid w:val="00F36D02"/>
    <w:rsid w:val="070D2974"/>
    <w:rsid w:val="078E4168"/>
    <w:rsid w:val="0AD805CE"/>
    <w:rsid w:val="0BEA556B"/>
    <w:rsid w:val="0E3E08ED"/>
    <w:rsid w:val="0F2F76D1"/>
    <w:rsid w:val="114640E8"/>
    <w:rsid w:val="19915589"/>
    <w:rsid w:val="1A8C4B73"/>
    <w:rsid w:val="1A8C739D"/>
    <w:rsid w:val="1D5C4674"/>
    <w:rsid w:val="1D9C1E98"/>
    <w:rsid w:val="21802A28"/>
    <w:rsid w:val="22BF7329"/>
    <w:rsid w:val="26E63652"/>
    <w:rsid w:val="2C707E9C"/>
    <w:rsid w:val="2CCE1585"/>
    <w:rsid w:val="32650F03"/>
    <w:rsid w:val="36166166"/>
    <w:rsid w:val="361E40BF"/>
    <w:rsid w:val="39FB442E"/>
    <w:rsid w:val="3BAA163C"/>
    <w:rsid w:val="3DB83198"/>
    <w:rsid w:val="3EC8162B"/>
    <w:rsid w:val="42D4384F"/>
    <w:rsid w:val="44833115"/>
    <w:rsid w:val="4B32481C"/>
    <w:rsid w:val="4B3A64C8"/>
    <w:rsid w:val="4F5A3EC5"/>
    <w:rsid w:val="4F6F19FD"/>
    <w:rsid w:val="506121A2"/>
    <w:rsid w:val="51582167"/>
    <w:rsid w:val="52CC63BC"/>
    <w:rsid w:val="5B761F8B"/>
    <w:rsid w:val="65441BB2"/>
    <w:rsid w:val="6A73731E"/>
    <w:rsid w:val="6E5E5EFD"/>
    <w:rsid w:val="76151AFF"/>
    <w:rsid w:val="7E1749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2023-05-15T13:57:32Z</dcterms:created>
  <dcterms:modified xsi:type="dcterms:W3CDTF">2023-05-15T05:57:32Z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2023-05-15T13:57:36Z</dcterms:created>
  <dcterms:modified xsi:type="dcterms:W3CDTF">2023-05-15T05:57:36Z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2023-05-15T13:57:37Z</dcterms:created>
  <dcterms:modified xsi:type="dcterms:W3CDTF">2023-05-15T05:57:37Z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2023-05-15T13:57:32Z</dcterms:created>
  <dcterms:modified xsi:type="dcterms:W3CDTF">2023-05-15T05:57:32Z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2023-05-15T13:57:36Z</dcterms:created>
  <dcterms:modified xsi:type="dcterms:W3CDTF">2023-05-15T05:57:36Z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2023-05-15T13:57:32Z</dcterms:created>
  <dcterms:modified xsi:type="dcterms:W3CDTF">2023-05-15T05:57:32Z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2023-05-15T13:57:32Z</dcterms:created>
  <dcterms:modified xsi:type="dcterms:W3CDTF">2023-05-15T05:57:31Z</dcterms:modified>
</cp:coreProperties>
</file>

<file path=customXml/itemProps1.xml><?xml version="1.0" encoding="utf-8"?>
<ds:datastoreItem xmlns:ds="http://schemas.openxmlformats.org/officeDocument/2006/customXml" ds:itemID="{BD236A8A-8A46-45D9-98AD-60A78199D8C6}">
  <ds:schemaRefs/>
</ds:datastoreItem>
</file>

<file path=customXml/itemProps10.xml><?xml version="1.0" encoding="utf-8"?>
<ds:datastoreItem xmlns:ds="http://schemas.openxmlformats.org/officeDocument/2006/customXml" ds:itemID="{97FBB0C8-870B-46EB-B528-F2409BA7A27C}">
  <ds:schemaRefs/>
</ds:datastoreItem>
</file>

<file path=customXml/itemProps11.xml><?xml version="1.0" encoding="utf-8"?>
<ds:datastoreItem xmlns:ds="http://schemas.openxmlformats.org/officeDocument/2006/customXml" ds:itemID="{504AC7AC-5C72-44BB-82F2-3C0D4B13BCE2}">
  <ds:schemaRefs/>
</ds:datastoreItem>
</file>

<file path=customXml/itemProps12.xml><?xml version="1.0" encoding="utf-8"?>
<ds:datastoreItem xmlns:ds="http://schemas.openxmlformats.org/officeDocument/2006/customXml" ds:itemID="{2712DA2E-31A1-457B-81B1-1F9D76FBA17B}">
  <ds:schemaRefs/>
</ds:datastoreItem>
</file>

<file path=customXml/itemProps13.xml><?xml version="1.0" encoding="utf-8"?>
<ds:datastoreItem xmlns:ds="http://schemas.openxmlformats.org/officeDocument/2006/customXml" ds:itemID="{E08366FD-A3E0-4ABC-9177-68B9AE81BEA9}">
  <ds:schemaRefs/>
</ds:datastoreItem>
</file>

<file path=customXml/itemProps14.xml><?xml version="1.0" encoding="utf-8"?>
<ds:datastoreItem xmlns:ds="http://schemas.openxmlformats.org/officeDocument/2006/customXml" ds:itemID="{3A60060E-A294-427A-8FB4-D426A58FF219}">
  <ds:schemaRefs/>
</ds:datastoreItem>
</file>

<file path=customXml/itemProps2.xml><?xml version="1.0" encoding="utf-8"?>
<ds:datastoreItem xmlns:ds="http://schemas.openxmlformats.org/officeDocument/2006/customXml" ds:itemID="{9C488BEC-9E57-4B9C-A280-CE0350C1F5CE}">
  <ds:schemaRefs/>
</ds:datastoreItem>
</file>

<file path=customXml/itemProps3.xml><?xml version="1.0" encoding="utf-8"?>
<ds:datastoreItem xmlns:ds="http://schemas.openxmlformats.org/officeDocument/2006/customXml" ds:itemID="{EB397655-AB3A-4A80-8FD5-0BA61FA8AF05}">
  <ds:schemaRefs/>
</ds:datastoreItem>
</file>

<file path=customXml/itemProps4.xml><?xml version="1.0" encoding="utf-8"?>
<ds:datastoreItem xmlns:ds="http://schemas.openxmlformats.org/officeDocument/2006/customXml" ds:itemID="{6748BE76-C308-45FD-91C5-289DB60AA334}">
  <ds:schemaRefs/>
</ds:datastoreItem>
</file>

<file path=customXml/itemProps5.xml><?xml version="1.0" encoding="utf-8"?>
<ds:datastoreItem xmlns:ds="http://schemas.openxmlformats.org/officeDocument/2006/customXml" ds:itemID="{5A85F9D3-33B5-41FC-BACA-69724FBF5C2F}">
  <ds:schemaRefs/>
</ds:datastoreItem>
</file>

<file path=customXml/itemProps6.xml><?xml version="1.0" encoding="utf-8"?>
<ds:datastoreItem xmlns:ds="http://schemas.openxmlformats.org/officeDocument/2006/customXml" ds:itemID="{0D5DF0DA-64F3-4A5B-86B8-5DFB3949F39B}">
  <ds:schemaRefs/>
</ds:datastoreItem>
</file>

<file path=customXml/itemProps7.xml><?xml version="1.0" encoding="utf-8"?>
<ds:datastoreItem xmlns:ds="http://schemas.openxmlformats.org/officeDocument/2006/customXml" ds:itemID="{779B1A1B-4320-45E5-ACEE-B955BC9ABCFA}">
  <ds:schemaRefs/>
</ds:datastoreItem>
</file>

<file path=customXml/itemProps8.xml><?xml version="1.0" encoding="utf-8"?>
<ds:datastoreItem xmlns:ds="http://schemas.openxmlformats.org/officeDocument/2006/customXml" ds:itemID="{1253BF31-99E6-4A95-A4D9-5ADFC5591E1D}">
  <ds:schemaRefs/>
</ds:datastoreItem>
</file>

<file path=customXml/itemProps9.xml><?xml version="1.0" encoding="utf-8"?>
<ds:datastoreItem xmlns:ds="http://schemas.openxmlformats.org/officeDocument/2006/customXml" ds:itemID="{17CB3FCE-F9A7-4F6E-9E8D-87B1542FDAC4}">
  <ds:schemaRefs/>
</ds:datastoreItem>
</file>

<file path=docProps/app.xml><?xml version="1.0" encoding="utf-8"?>
<Properties xmlns="http://schemas.openxmlformats.org/officeDocument/2006/extended-properties" xmlns:vt="http://schemas.openxmlformats.org/officeDocument/2006/docPropsVTypes">
  <Template>Normal</Template>
  <Pages>47</Pages>
  <Words>2700</Words>
  <Characters>15390</Characters>
  <Lines>128</Lines>
  <Paragraphs>36</Paragraphs>
  <TotalTime>0</TotalTime>
  <ScaleCrop>false</ScaleCrop>
  <LinksUpToDate>false</LinksUpToDate>
  <CharactersWithSpaces>18054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Dangxiao</dc:creator>
  <cp:lastModifiedBy>Administrator</cp:lastModifiedBy>
  <dcterms:modified xsi:type="dcterms:W3CDTF">2023-09-03T03:26:33Z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FC1E8576879249828333DA1AC199AA18</vt:lpwstr>
  </property>
</Properties>
</file>