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rPr>
          <w:sz w:val="44"/>
          <w:szCs w:val="44"/>
        </w:rPr>
      </w:pPr>
      <w:r>
        <w:rPr>
          <w:rFonts w:hint="eastAsia" w:ascii="方正小标宋_GBK" w:hAnsi="方正小标宋_GBK" w:eastAsia="方正小标宋_GBK" w:cs="方正小标宋_GBK"/>
          <w:color w:val="000000"/>
          <w:sz w:val="44"/>
          <w:szCs w:val="44"/>
          <w:lang w:val="en-US" w:eastAsia="zh-CN"/>
        </w:rPr>
        <w:t>2022年部门预算公开信息表</w:t>
      </w:r>
      <w:r>
        <w:rPr>
          <w:rFonts w:ascii="方正小标宋_GBK" w:hAnsi="方正小标宋_GBK" w:eastAsia="方正小标宋_GBK" w:cs="方正小标宋_GBK"/>
          <w:color w:val="000000"/>
          <w:sz w:val="44"/>
          <w:szCs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241无极县档案馆</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145.96</w:t>
            </w:r>
          </w:p>
        </w:tc>
        <w:tc>
          <w:tcPr>
            <w:tcW w:w="1971" w:type="dxa"/>
            <w:vAlign w:val="center"/>
          </w:tcPr>
          <w:p>
            <w:pPr>
              <w:pStyle w:val="14"/>
            </w:pPr>
            <w:r>
              <w:t>一、一般公共服务支出</w:t>
            </w:r>
          </w:p>
        </w:tc>
        <w:tc>
          <w:tcPr>
            <w:tcW w:w="1971" w:type="dxa"/>
            <w:vAlign w:val="center"/>
          </w:tcPr>
          <w:p>
            <w:pPr>
              <w:pStyle w:val="13"/>
            </w:pPr>
            <w:r>
              <w:t>124.40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145.96</w:t>
            </w:r>
          </w:p>
        </w:tc>
        <w:tc>
          <w:tcPr>
            <w:tcW w:w="1971" w:type="dxa"/>
            <w:vAlign w:val="center"/>
          </w:tcPr>
          <w:p>
            <w:pPr>
              <w:pStyle w:val="16"/>
            </w:pPr>
            <w:r>
              <w:t>本年支出合计</w:t>
            </w:r>
          </w:p>
        </w:tc>
        <w:tc>
          <w:tcPr>
            <w:tcW w:w="1971" w:type="dxa"/>
            <w:vAlign w:val="center"/>
          </w:tcPr>
          <w:p>
            <w:pPr>
              <w:pStyle w:val="17"/>
            </w:pPr>
            <w:r>
              <w:t>145.96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145.96</w:t>
            </w:r>
          </w:p>
        </w:tc>
        <w:tc>
          <w:tcPr>
            <w:tcW w:w="1971" w:type="dxa"/>
            <w:vAlign w:val="center"/>
          </w:tcPr>
          <w:p>
            <w:pPr>
              <w:pStyle w:val="16"/>
            </w:pPr>
            <w:r>
              <w:t>支出总计</w:t>
            </w:r>
          </w:p>
        </w:tc>
        <w:tc>
          <w:tcPr>
            <w:tcW w:w="1971" w:type="dxa"/>
            <w:vAlign w:val="center"/>
          </w:tcPr>
          <w:p>
            <w:pPr>
              <w:pStyle w:val="17"/>
            </w:pPr>
            <w:r>
              <w:t>145.96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241无极县档案馆</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145.96</w:t>
            </w:r>
          </w:p>
        </w:tc>
        <w:tc>
          <w:tcPr>
            <w:tcW w:w="758" w:type="dxa"/>
            <w:vAlign w:val="center"/>
          </w:tcPr>
          <w:p>
            <w:pPr>
              <w:pStyle w:val="17"/>
            </w:pPr>
            <w:r>
              <w:t>145.96</w:t>
            </w:r>
          </w:p>
        </w:tc>
        <w:tc>
          <w:tcPr>
            <w:tcW w:w="758" w:type="dxa"/>
            <w:vAlign w:val="center"/>
          </w:tcPr>
          <w:p>
            <w:pPr>
              <w:pStyle w:val="17"/>
            </w:pPr>
            <w:r>
              <w:t>145.96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20126</w:t>
            </w:r>
          </w:p>
        </w:tc>
        <w:tc>
          <w:tcPr>
            <w:tcW w:w="758" w:type="dxa"/>
            <w:vAlign w:val="center"/>
          </w:tcPr>
          <w:p>
            <w:pPr>
              <w:pStyle w:val="14"/>
            </w:pPr>
            <w:r>
              <w:t>档案事务</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2012601</w:t>
            </w:r>
          </w:p>
        </w:tc>
        <w:tc>
          <w:tcPr>
            <w:tcW w:w="758" w:type="dxa"/>
            <w:vAlign w:val="center"/>
          </w:tcPr>
          <w:p>
            <w:pPr>
              <w:pStyle w:val="14"/>
            </w:pPr>
            <w:r>
              <w:t>行政运行</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145.96</w:t>
            </w:r>
          </w:p>
        </w:tc>
        <w:tc>
          <w:tcPr>
            <w:tcW w:w="1095" w:type="dxa"/>
            <w:vAlign w:val="center"/>
          </w:tcPr>
          <w:p>
            <w:pPr>
              <w:pStyle w:val="17"/>
            </w:pPr>
            <w:r>
              <w:t>145.96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124.40</w:t>
            </w:r>
          </w:p>
        </w:tc>
        <w:tc>
          <w:tcPr>
            <w:tcW w:w="1095" w:type="dxa"/>
            <w:vAlign w:val="center"/>
          </w:tcPr>
          <w:p>
            <w:pPr>
              <w:pStyle w:val="13"/>
            </w:pPr>
            <w:r>
              <w:t>124.40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20126</w:t>
            </w:r>
          </w:p>
        </w:tc>
        <w:tc>
          <w:tcPr>
            <w:tcW w:w="1095" w:type="dxa"/>
            <w:vAlign w:val="center"/>
          </w:tcPr>
          <w:p>
            <w:pPr>
              <w:pStyle w:val="14"/>
            </w:pPr>
            <w:r>
              <w:t>档案事务</w:t>
            </w:r>
          </w:p>
        </w:tc>
        <w:tc>
          <w:tcPr>
            <w:tcW w:w="1095" w:type="dxa"/>
            <w:vAlign w:val="center"/>
          </w:tcPr>
          <w:p>
            <w:pPr>
              <w:pStyle w:val="13"/>
            </w:pPr>
            <w:r>
              <w:t>124.40</w:t>
            </w:r>
          </w:p>
        </w:tc>
        <w:tc>
          <w:tcPr>
            <w:tcW w:w="1095" w:type="dxa"/>
            <w:vAlign w:val="center"/>
          </w:tcPr>
          <w:p>
            <w:pPr>
              <w:pStyle w:val="13"/>
            </w:pPr>
            <w:r>
              <w:t>124.40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2012601</w:t>
            </w:r>
          </w:p>
        </w:tc>
        <w:tc>
          <w:tcPr>
            <w:tcW w:w="1095" w:type="dxa"/>
            <w:vAlign w:val="center"/>
          </w:tcPr>
          <w:p>
            <w:pPr>
              <w:pStyle w:val="14"/>
            </w:pPr>
            <w:r>
              <w:t>行政运行</w:t>
            </w:r>
          </w:p>
        </w:tc>
        <w:tc>
          <w:tcPr>
            <w:tcW w:w="1095" w:type="dxa"/>
            <w:vAlign w:val="center"/>
          </w:tcPr>
          <w:p>
            <w:pPr>
              <w:pStyle w:val="13"/>
            </w:pPr>
            <w:r>
              <w:t>124.40</w:t>
            </w:r>
          </w:p>
        </w:tc>
        <w:tc>
          <w:tcPr>
            <w:tcW w:w="1095" w:type="dxa"/>
            <w:vAlign w:val="center"/>
          </w:tcPr>
          <w:p>
            <w:pPr>
              <w:pStyle w:val="13"/>
            </w:pPr>
            <w:r>
              <w:t>124.40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15.26</w:t>
            </w:r>
          </w:p>
        </w:tc>
        <w:tc>
          <w:tcPr>
            <w:tcW w:w="1095" w:type="dxa"/>
            <w:vAlign w:val="center"/>
          </w:tcPr>
          <w:p>
            <w:pPr>
              <w:pStyle w:val="13"/>
            </w:pPr>
            <w:r>
              <w:t>15.26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15.26</w:t>
            </w:r>
          </w:p>
        </w:tc>
        <w:tc>
          <w:tcPr>
            <w:tcW w:w="1095" w:type="dxa"/>
            <w:vAlign w:val="center"/>
          </w:tcPr>
          <w:p>
            <w:pPr>
              <w:pStyle w:val="13"/>
            </w:pPr>
            <w:r>
              <w:t>15.26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15.26</w:t>
            </w:r>
          </w:p>
        </w:tc>
        <w:tc>
          <w:tcPr>
            <w:tcW w:w="1095" w:type="dxa"/>
            <w:vAlign w:val="center"/>
          </w:tcPr>
          <w:p>
            <w:pPr>
              <w:pStyle w:val="13"/>
            </w:pPr>
            <w:r>
              <w:t>15.26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6.30</w:t>
            </w:r>
          </w:p>
        </w:tc>
        <w:tc>
          <w:tcPr>
            <w:tcW w:w="1095" w:type="dxa"/>
            <w:vAlign w:val="center"/>
          </w:tcPr>
          <w:p>
            <w:pPr>
              <w:pStyle w:val="13"/>
            </w:pPr>
            <w:r>
              <w:t>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6.30</w:t>
            </w:r>
          </w:p>
        </w:tc>
        <w:tc>
          <w:tcPr>
            <w:tcW w:w="1095" w:type="dxa"/>
            <w:vAlign w:val="center"/>
          </w:tcPr>
          <w:p>
            <w:pPr>
              <w:pStyle w:val="13"/>
            </w:pPr>
            <w:r>
              <w:t>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6.30</w:t>
            </w:r>
          </w:p>
        </w:tc>
        <w:tc>
          <w:tcPr>
            <w:tcW w:w="1095" w:type="dxa"/>
            <w:vAlign w:val="center"/>
          </w:tcPr>
          <w:p>
            <w:pPr>
              <w:pStyle w:val="13"/>
            </w:pPr>
            <w:r>
              <w:t>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145.96</w:t>
            </w:r>
          </w:p>
        </w:tc>
        <w:tc>
          <w:tcPr>
            <w:tcW w:w="1232" w:type="dxa"/>
            <w:vAlign w:val="center"/>
          </w:tcPr>
          <w:p>
            <w:pPr>
              <w:pStyle w:val="14"/>
            </w:pPr>
            <w:r>
              <w:t>一、一般公共服务支出</w:t>
            </w:r>
          </w:p>
        </w:tc>
        <w:tc>
          <w:tcPr>
            <w:tcW w:w="1232" w:type="dxa"/>
            <w:vAlign w:val="center"/>
          </w:tcPr>
          <w:p>
            <w:pPr>
              <w:pStyle w:val="13"/>
            </w:pPr>
            <w:r>
              <w:t>124.40</w:t>
            </w:r>
          </w:p>
        </w:tc>
        <w:tc>
          <w:tcPr>
            <w:tcW w:w="1232" w:type="dxa"/>
            <w:vAlign w:val="center"/>
          </w:tcPr>
          <w:p>
            <w:pPr>
              <w:pStyle w:val="13"/>
            </w:pPr>
            <w:r>
              <w:t>124.40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15.26</w:t>
            </w:r>
          </w:p>
        </w:tc>
        <w:tc>
          <w:tcPr>
            <w:tcW w:w="1232" w:type="dxa"/>
            <w:vAlign w:val="center"/>
          </w:tcPr>
          <w:p>
            <w:pPr>
              <w:pStyle w:val="13"/>
            </w:pPr>
            <w:r>
              <w:t>15.26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6.30</w:t>
            </w:r>
          </w:p>
        </w:tc>
        <w:tc>
          <w:tcPr>
            <w:tcW w:w="1232" w:type="dxa"/>
            <w:vAlign w:val="center"/>
          </w:tcPr>
          <w:p>
            <w:pPr>
              <w:pStyle w:val="13"/>
            </w:pPr>
            <w:r>
              <w:t>6.30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145.96</w:t>
            </w:r>
          </w:p>
        </w:tc>
        <w:tc>
          <w:tcPr>
            <w:tcW w:w="1232" w:type="dxa"/>
            <w:vAlign w:val="center"/>
          </w:tcPr>
          <w:p>
            <w:pPr>
              <w:pStyle w:val="16"/>
            </w:pPr>
            <w:r>
              <w:t>本年支出合计</w:t>
            </w:r>
          </w:p>
        </w:tc>
        <w:tc>
          <w:tcPr>
            <w:tcW w:w="1232" w:type="dxa"/>
            <w:vAlign w:val="center"/>
          </w:tcPr>
          <w:p>
            <w:pPr>
              <w:pStyle w:val="17"/>
            </w:pPr>
            <w:r>
              <w:t>145.96</w:t>
            </w:r>
          </w:p>
        </w:tc>
        <w:tc>
          <w:tcPr>
            <w:tcW w:w="1232" w:type="dxa"/>
            <w:vAlign w:val="center"/>
          </w:tcPr>
          <w:p>
            <w:pPr>
              <w:pStyle w:val="17"/>
            </w:pPr>
            <w:r>
              <w:t>145.96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145.96</w:t>
            </w:r>
          </w:p>
        </w:tc>
        <w:tc>
          <w:tcPr>
            <w:tcW w:w="1232" w:type="dxa"/>
            <w:vAlign w:val="center"/>
          </w:tcPr>
          <w:p>
            <w:pPr>
              <w:pStyle w:val="16"/>
            </w:pPr>
            <w:r>
              <w:t>支出总计</w:t>
            </w:r>
          </w:p>
        </w:tc>
        <w:tc>
          <w:tcPr>
            <w:tcW w:w="1232" w:type="dxa"/>
            <w:vAlign w:val="center"/>
          </w:tcPr>
          <w:p>
            <w:pPr>
              <w:pStyle w:val="17"/>
            </w:pPr>
            <w:r>
              <w:t>145.96</w:t>
            </w:r>
          </w:p>
        </w:tc>
        <w:tc>
          <w:tcPr>
            <w:tcW w:w="1232" w:type="dxa"/>
            <w:vAlign w:val="center"/>
          </w:tcPr>
          <w:p>
            <w:pPr>
              <w:pStyle w:val="17"/>
            </w:pPr>
            <w:r>
              <w:t>145.96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145.96</w:t>
            </w:r>
          </w:p>
        </w:tc>
        <w:tc>
          <w:tcPr>
            <w:tcW w:w="1643" w:type="dxa"/>
            <w:vAlign w:val="center"/>
          </w:tcPr>
          <w:p>
            <w:pPr>
              <w:pStyle w:val="17"/>
            </w:pPr>
            <w:r>
              <w:t>145.96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124.40</w:t>
            </w:r>
          </w:p>
        </w:tc>
        <w:tc>
          <w:tcPr>
            <w:tcW w:w="1643" w:type="dxa"/>
            <w:vAlign w:val="center"/>
          </w:tcPr>
          <w:p>
            <w:pPr>
              <w:pStyle w:val="13"/>
            </w:pPr>
            <w:r>
              <w:t>124.40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20126</w:t>
            </w:r>
          </w:p>
        </w:tc>
        <w:tc>
          <w:tcPr>
            <w:tcW w:w="1643" w:type="dxa"/>
            <w:vAlign w:val="center"/>
          </w:tcPr>
          <w:p>
            <w:pPr>
              <w:pStyle w:val="14"/>
            </w:pPr>
            <w:r>
              <w:t>档案事务</w:t>
            </w:r>
          </w:p>
        </w:tc>
        <w:tc>
          <w:tcPr>
            <w:tcW w:w="1643" w:type="dxa"/>
            <w:vAlign w:val="center"/>
          </w:tcPr>
          <w:p>
            <w:pPr>
              <w:pStyle w:val="13"/>
            </w:pPr>
            <w:r>
              <w:t>124.40</w:t>
            </w:r>
          </w:p>
        </w:tc>
        <w:tc>
          <w:tcPr>
            <w:tcW w:w="1643" w:type="dxa"/>
            <w:vAlign w:val="center"/>
          </w:tcPr>
          <w:p>
            <w:pPr>
              <w:pStyle w:val="13"/>
            </w:pPr>
            <w:r>
              <w:t>124.40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2012601</w:t>
            </w:r>
          </w:p>
        </w:tc>
        <w:tc>
          <w:tcPr>
            <w:tcW w:w="1643" w:type="dxa"/>
            <w:vAlign w:val="center"/>
          </w:tcPr>
          <w:p>
            <w:pPr>
              <w:pStyle w:val="14"/>
            </w:pPr>
            <w:r>
              <w:t>行政运行</w:t>
            </w:r>
          </w:p>
        </w:tc>
        <w:tc>
          <w:tcPr>
            <w:tcW w:w="1643" w:type="dxa"/>
            <w:vAlign w:val="center"/>
          </w:tcPr>
          <w:p>
            <w:pPr>
              <w:pStyle w:val="13"/>
            </w:pPr>
            <w:r>
              <w:t>124.40</w:t>
            </w:r>
          </w:p>
        </w:tc>
        <w:tc>
          <w:tcPr>
            <w:tcW w:w="1643" w:type="dxa"/>
            <w:vAlign w:val="center"/>
          </w:tcPr>
          <w:p>
            <w:pPr>
              <w:pStyle w:val="13"/>
            </w:pPr>
            <w:r>
              <w:t>124.40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145.96</w:t>
            </w:r>
          </w:p>
        </w:tc>
        <w:tc>
          <w:tcPr>
            <w:tcW w:w="1643" w:type="dxa"/>
            <w:vAlign w:val="center"/>
          </w:tcPr>
          <w:p>
            <w:pPr>
              <w:pStyle w:val="17"/>
            </w:pPr>
            <w:r>
              <w:t>132.96</w:t>
            </w:r>
          </w:p>
        </w:tc>
        <w:tc>
          <w:tcPr>
            <w:tcW w:w="1643" w:type="dxa"/>
            <w:vAlign w:val="center"/>
          </w:tcPr>
          <w:p>
            <w:pPr>
              <w:pStyle w:val="17"/>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125.16</w:t>
            </w:r>
          </w:p>
        </w:tc>
        <w:tc>
          <w:tcPr>
            <w:tcW w:w="1643" w:type="dxa"/>
            <w:vAlign w:val="center"/>
          </w:tcPr>
          <w:p>
            <w:pPr>
              <w:pStyle w:val="13"/>
            </w:pPr>
            <w:r>
              <w:t>125.16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19.00</w:t>
            </w:r>
          </w:p>
        </w:tc>
        <w:tc>
          <w:tcPr>
            <w:tcW w:w="1643" w:type="dxa"/>
            <w:vAlign w:val="center"/>
          </w:tcPr>
          <w:p>
            <w:pPr>
              <w:pStyle w:val="13"/>
            </w:pPr>
            <w:r>
              <w:t>19.00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29.70</w:t>
            </w:r>
          </w:p>
        </w:tc>
        <w:tc>
          <w:tcPr>
            <w:tcW w:w="1643" w:type="dxa"/>
            <w:vAlign w:val="center"/>
          </w:tcPr>
          <w:p>
            <w:pPr>
              <w:pStyle w:val="13"/>
            </w:pPr>
            <w:r>
              <w:t>29.70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9.40</w:t>
            </w:r>
          </w:p>
        </w:tc>
        <w:tc>
          <w:tcPr>
            <w:tcW w:w="1643" w:type="dxa"/>
            <w:vAlign w:val="center"/>
          </w:tcPr>
          <w:p>
            <w:pPr>
              <w:pStyle w:val="13"/>
            </w:pPr>
            <w:r>
              <w:t>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0.50</w:t>
            </w:r>
          </w:p>
        </w:tc>
        <w:tc>
          <w:tcPr>
            <w:tcW w:w="1643" w:type="dxa"/>
            <w:vAlign w:val="center"/>
          </w:tcPr>
          <w:p>
            <w:pPr>
              <w:pStyle w:val="13"/>
            </w:pPr>
            <w:r>
              <w:t>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7.80</w:t>
            </w:r>
          </w:p>
        </w:tc>
        <w:tc>
          <w:tcPr>
            <w:tcW w:w="1643" w:type="dxa"/>
            <w:vAlign w:val="center"/>
          </w:tcPr>
          <w:p>
            <w:pPr>
              <w:pStyle w:val="13"/>
            </w:pPr>
            <w:r>
              <w:t>7.80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7.80</w:t>
            </w:r>
          </w:p>
        </w:tc>
        <w:tc>
          <w:tcPr>
            <w:tcW w:w="1643" w:type="dxa"/>
            <w:vAlign w:val="center"/>
          </w:tcPr>
          <w:p>
            <w:pPr>
              <w:pStyle w:val="13"/>
            </w:pPr>
            <w:r>
              <w:t>7.80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无极县档案馆2022年部门预算信息公开情况说明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无极县档案馆2022年部门预算信息公开情况说明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按照《预算法》、《地方预决算公开操作规程》和《关于进一步推进预算公开工作的实施意见》规定，现将无极县档案馆2022年部门预算公开如下：</w:t>
      </w:r>
    </w:p>
    <w:p>
      <w:pPr>
        <w:spacing w:before="10" w:after="10" w:line="360" w:lineRule="auto"/>
        <w:ind w:firstLine="640"/>
        <w:jc w:val="left"/>
        <w:outlineLvl w:val="2"/>
        <w:rPr>
          <w:rFonts w:ascii="Times New Roman" w:hAnsi="Times New Roman" w:eastAsia="方正仿宋_GBK" w:cs="Times New Roman"/>
          <w:color w:val="000000"/>
          <w:sz w:val="28"/>
        </w:rPr>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19"/>
      </w:pPr>
      <w:r>
        <w:t>二、负责集中统一管理县机关的重要档案资料，保守党和国家的机密，维护档案的完整，确保档案资料的安全。</w:t>
      </w:r>
    </w:p>
    <w:p>
      <w:pPr>
        <w:pStyle w:val="19"/>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19"/>
      </w:pPr>
      <w:r>
        <w:t>四、制订全县档案工作人员队伍建设规划，组织全县档案专业教育和档案专业培训工作。</w:t>
      </w:r>
    </w:p>
    <w:p>
      <w:pPr>
        <w:pStyle w:val="19"/>
      </w:pPr>
      <w:r>
        <w:t>五、负责规划和推动全县档案宣传工作，组织全县档案工作的经验交流。</w:t>
      </w:r>
    </w:p>
    <w:p>
      <w:pPr>
        <w:pStyle w:val="19"/>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无极县档案馆本级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w:t>
      </w:r>
    </w:p>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ind w:left="0" w:leftChars="0" w:firstLine="560" w:firstLineChars="200"/>
      </w:pPr>
      <w:r>
        <w:t>1、收入说明</w:t>
      </w:r>
    </w:p>
    <w:p>
      <w:pPr>
        <w:pStyle w:val="20"/>
      </w:pPr>
      <w:r>
        <w:t>反映本部门当年全部收入，2022年预算收入总计145.96万元。其中，一般公共预算收入145.96万元、政府性基金收入0万元、国有资本经营预算收入0万元、财政专户核拨收入0万元，其他来源收入0万元。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年度部门预算中支出预算的总体情况。2022年预算支出145.96万元。其中，人员经费支出132.96万元，正常公用经费13万元，项目支出0万元，全部为本级支出。</w:t>
      </w:r>
    </w:p>
    <w:p>
      <w:pPr>
        <w:pStyle w:val="20"/>
      </w:pPr>
      <w:r>
        <w:t>3、比上年增减情况</w:t>
      </w:r>
    </w:p>
    <w:p>
      <w:pPr>
        <w:pStyle w:val="20"/>
      </w:pPr>
      <w:r>
        <w:t>2022年部门预算收支安排145.96万元，其中基本支出145.96万元，包括人员经费132.96万元和日常公用经费13万元，较2021年减少157.54万元，原因项目支出减少157.54万元，其他支出无增减变化.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2022年中共无极县档案馆机关运行经费安排13万元，主要用于保证机关正常运转的办公及印刷费、邮电费、差旅费、水电费、福利费、一般设备购置费、日常维修费、培训费等支出。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ind w:left="0" w:leftChars="0" w:firstLine="560" w:firstLineChars="200"/>
      </w:pPr>
      <w:r>
        <w:t>2022年</w:t>
      </w:r>
      <w:r>
        <w:rPr>
          <w:rFonts w:hint="eastAsia"/>
          <w:lang w:val="en-US" w:eastAsia="zh-CN"/>
        </w:rPr>
        <w:t>本部门</w:t>
      </w:r>
      <w:r>
        <w:t>“三公”经费预算安排0.0万元，与上年持平无增减变化。其中：因公出国经费预算0万元</w:t>
      </w:r>
      <w:r>
        <w:rPr>
          <w:rFonts w:hint="eastAsia"/>
          <w:lang w:val="en-US" w:eastAsia="zh-CN"/>
        </w:rPr>
        <w:t>,与上年持平，原因为未安排</w:t>
      </w:r>
      <w:r>
        <w:t>出国</w:t>
      </w:r>
      <w:r>
        <w:rPr>
          <w:rFonts w:hint="eastAsia"/>
          <w:lang w:eastAsia="zh-CN"/>
        </w:rPr>
        <w:t>（境）</w:t>
      </w:r>
      <w:r>
        <w:t>经费</w:t>
      </w:r>
      <w:r>
        <w:rPr>
          <w:rFonts w:hint="eastAsia"/>
          <w:lang w:eastAsia="zh-CN"/>
        </w:rPr>
        <w:t>；</w:t>
      </w:r>
      <w:r>
        <w:t>预算公务车购置经费预算0万元</w:t>
      </w:r>
      <w:r>
        <w:rPr>
          <w:rFonts w:hint="eastAsia"/>
          <w:lang w:eastAsia="zh-CN"/>
        </w:rPr>
        <w:t>，</w:t>
      </w:r>
      <w:r>
        <w:rPr>
          <w:rFonts w:hint="eastAsia"/>
          <w:lang w:val="en-US" w:eastAsia="zh-CN"/>
        </w:rPr>
        <w:t>与上年持平，原因为未安排公务车购置经费；</w:t>
      </w:r>
      <w:r>
        <w:t>公务车运行经费预算0万元，</w:t>
      </w:r>
      <w:r>
        <w:rPr>
          <w:rFonts w:hint="eastAsia"/>
          <w:lang w:val="en-US" w:eastAsia="zh-CN"/>
        </w:rPr>
        <w:t>与上年持平，原因为本部门没公务用车；</w:t>
      </w:r>
      <w:r>
        <w:t>公务接待预算0万元,</w:t>
      </w:r>
      <w:r>
        <w:rPr>
          <w:rFonts w:hint="eastAsia"/>
          <w:lang w:val="en-US" w:eastAsia="zh-CN"/>
        </w:rPr>
        <w:t>与上年持平，原因为未安排公务接待经费；</w:t>
      </w:r>
      <w:bookmarkStart w:id="18" w:name="_GoBack"/>
      <w:bookmarkEnd w:id="18"/>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有计划、有步骤地开展对馆藏重点档案的抢救工作，确保档案的有效管理和使用。2、抓好档案接收进馆，不断丰富档案门类，积极接收具有参考价值的各类档案，努力征集具有地方特色的档案资料进馆。3、强化档案为领导决策和部门工作服务，围绕县委、县政府中心工作，选好题，收集好材料，主动为各级领导提供参考。4、加强档案安全工作，建立健全各项规章制度，制定必要的应急预案，确定专人专管。抓好库房保管条件的改造，消除安全隐患。</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重点档案抢救工作</w:t>
      </w:r>
    </w:p>
    <w:p>
      <w:pPr>
        <w:pStyle w:val="24"/>
      </w:pPr>
      <w:r>
        <w:t>绩效目标：开展对馆藏重点档案的抢救工作</w:t>
      </w:r>
      <w:r>
        <w:tab/>
      </w:r>
    </w:p>
    <w:p>
      <w:pPr>
        <w:pStyle w:val="24"/>
      </w:pPr>
      <w:r>
        <w:t>绩效指标：重点档案抢救率≥90%</w:t>
      </w:r>
    </w:p>
    <w:p>
      <w:pPr>
        <w:pStyle w:val="24"/>
      </w:pPr>
      <w:r>
        <w:rPr>
          <w:rFonts w:hint="eastAsia"/>
          <w:lang w:val="en-US" w:eastAsia="zh-CN"/>
        </w:rPr>
        <w:t>2、</w:t>
      </w:r>
      <w:r>
        <w:t>档案接收、整理工作</w:t>
      </w:r>
    </w:p>
    <w:p>
      <w:pPr>
        <w:pStyle w:val="24"/>
      </w:pPr>
      <w:r>
        <w:t>绩效目标：档案整理、移交、接收、管理工作</w:t>
      </w:r>
    </w:p>
    <w:p>
      <w:pPr>
        <w:pStyle w:val="24"/>
      </w:pPr>
      <w:r>
        <w:t>绩效指标：档案整理、移交、接收、管理、保存完成90%</w:t>
      </w:r>
    </w:p>
    <w:p>
      <w:pPr>
        <w:pStyle w:val="24"/>
      </w:pPr>
      <w:r>
        <w:rPr>
          <w:rFonts w:hint="eastAsia"/>
          <w:lang w:val="en-US" w:eastAsia="zh-CN"/>
        </w:rPr>
        <w:t>3、</w:t>
      </w:r>
      <w:r>
        <w:t>档案查阅利用工作</w:t>
      </w:r>
    </w:p>
    <w:p>
      <w:pPr>
        <w:pStyle w:val="24"/>
      </w:pPr>
      <w:r>
        <w:t>绩效目标：主动为社会和各级领导提供利用</w:t>
      </w:r>
    </w:p>
    <w:p>
      <w:pPr>
        <w:pStyle w:val="24"/>
      </w:pPr>
      <w:r>
        <w:t>绩效指标：档案查准确数量占备查档案总量的95%</w:t>
      </w:r>
    </w:p>
    <w:p>
      <w:pPr>
        <w:pStyle w:val="24"/>
      </w:pPr>
      <w:r>
        <w:rPr>
          <w:rFonts w:hint="eastAsia"/>
          <w:lang w:val="en-US" w:eastAsia="zh-CN"/>
        </w:rPr>
        <w:t>4、</w:t>
      </w:r>
      <w:r>
        <w:t>档案接收、整理工作</w:t>
      </w:r>
    </w:p>
    <w:p>
      <w:pPr>
        <w:pStyle w:val="24"/>
      </w:pPr>
      <w:r>
        <w:t>绩效目标：档案整理、移交、接收、管理工作</w:t>
      </w:r>
    </w:p>
    <w:p>
      <w:pPr>
        <w:pStyle w:val="24"/>
      </w:pPr>
      <w:r>
        <w:t>绩效指标：档案整理、移交、接收、管理、保存完成90%</w:t>
      </w:r>
    </w:p>
    <w:p>
      <w:pPr>
        <w:pStyle w:val="24"/>
      </w:pPr>
      <w:r>
        <w:rPr>
          <w:rFonts w:hint="eastAsia"/>
          <w:lang w:val="en-US" w:eastAsia="zh-CN"/>
        </w:rPr>
        <w:t>5、</w:t>
      </w:r>
      <w:r>
        <w:t>档案查阅利用工作</w:t>
      </w:r>
    </w:p>
    <w:p>
      <w:pPr>
        <w:pStyle w:val="24"/>
      </w:pPr>
      <w:r>
        <w:t>绩效目标：主动为社会和各级领导提供利用</w:t>
      </w:r>
    </w:p>
    <w:p>
      <w:pPr>
        <w:pStyle w:val="24"/>
      </w:pPr>
      <w:r>
        <w:t>绩效指标：档案查准确数量占备查档案总量的95%</w:t>
      </w:r>
    </w:p>
    <w:p>
      <w:pPr>
        <w:pStyle w:val="24"/>
      </w:pPr>
      <w:r>
        <w:rPr>
          <w:rFonts w:hint="eastAsia"/>
          <w:lang w:val="en-US" w:eastAsia="zh-CN"/>
        </w:rPr>
        <w:t>6、</w:t>
      </w:r>
      <w:r>
        <w:t>档案安全工作</w:t>
      </w:r>
    </w:p>
    <w:p>
      <w:pPr>
        <w:pStyle w:val="24"/>
      </w:pPr>
      <w:r>
        <w:t>绩效目标：加强档案安全工作，改善库房保管条件，消除安全隐患</w:t>
      </w:r>
    </w:p>
    <w:p>
      <w:pPr>
        <w:pStyle w:val="24"/>
      </w:pPr>
      <w:r>
        <w:t>绩效指标：档案资料完好数量占档案资料总量的95%</w:t>
      </w:r>
    </w:p>
    <w:p>
      <w:pPr>
        <w:pStyle w:val="24"/>
      </w:pPr>
      <w:r>
        <w:rPr>
          <w:rFonts w:hint="eastAsia"/>
          <w:lang w:val="en-US" w:eastAsia="zh-CN"/>
        </w:rPr>
        <w:t>7、</w:t>
      </w:r>
      <w:r>
        <w:t>档案安全工作</w:t>
      </w:r>
    </w:p>
    <w:p>
      <w:pPr>
        <w:pStyle w:val="24"/>
      </w:pPr>
      <w:r>
        <w:t>绩效目标：加强档案安全工作，改善库房保管条件，消除安全隐患</w:t>
      </w:r>
    </w:p>
    <w:p>
      <w:pPr>
        <w:pStyle w:val="24"/>
      </w:pPr>
      <w:r>
        <w:t>绩效指标：档案资料完好数量占档案资料总量的95%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1、完善制度建设。制定完善预算绩效管理制度、资金管理办法、工作保障制度等，为全年预算绩效目标的实现奠定制度基础。</w:t>
      </w:r>
    </w:p>
    <w:p>
      <w:pPr>
        <w:pStyle w:val="25"/>
      </w:pPr>
      <w:r>
        <w:t>2、加强支出管理。通过优化支出结构、编细编实预算、加快履行政府采购手续、尽快启动项目、及时支付资金、6月底前细化代编预算、按规定及时下达资金等多种措施，确保支出进度达标。</w:t>
      </w:r>
    </w:p>
    <w:p>
      <w:pPr>
        <w:pStyle w:val="25"/>
      </w:pPr>
      <w:r>
        <w:t>3、加强绩效运行监控。按要求开展绩效运行监控，发现问题及时采取措施，确保绩效目标如期保质实现。</w:t>
      </w:r>
    </w:p>
    <w:p>
      <w:pPr>
        <w:pStyle w:val="25"/>
      </w:pPr>
      <w:r>
        <w:t>4、做好绩效自评。按要求开展上年度部门预算绩效自评和重点评价工作，对评价中发现的问题及时整改，调整优化支出结构，提高财政资金使用效益。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5、规范财务资产管理。完善财务管理制度，严格审批程序，加强固定资产登记、使用和报废处置管理，做到支出合理，物尽其用。</w:t>
      </w:r>
    </w:p>
    <w:p>
      <w:pPr>
        <w:pStyle w:val="25"/>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640" w:firstLineChars="200"/>
        <w:jc w:val="left"/>
        <w:outlineLvl w:val="9"/>
        <w:rPr>
          <w:rFonts w:hint="eastAsia" w:ascii="方正楷体_GBK" w:hAnsi="方正楷体_GBK" w:eastAsia="方正楷体_GBK" w:cs="方正楷体_GBK"/>
          <w:b w:val="0"/>
          <w:bCs/>
          <w:color w:val="000000"/>
          <w:sz w:val="32"/>
          <w:lang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val="0"/>
          <w:bCs/>
          <w:color w:val="000000"/>
          <w:sz w:val="32"/>
          <w:lang w:eastAsia="zh-CN"/>
        </w:rPr>
        <w:t>无</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2022年，无极县档案馆安排政府采购预算0.00万元。具体内容见下表。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241无极县档案馆</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无极县档案馆（含所属单位）上年末固定资产金额为105.00万元（详见下表）。本年度拟购置固定资产总额为0.00万元</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241无极县档案馆</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105.00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C781C4"/>
    <w:multiLevelType w:val="singleLevel"/>
    <w:tmpl w:val="35C781C4"/>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ZmMWQ1YjEyYTlkMzhlYWY0NDA3MmU0MjllNjQxYWIifQ=="/>
  </w:docVars>
  <w:rsids>
    <w:rsidRoot w:val="00000000"/>
    <w:rsid w:val="01552022"/>
    <w:rsid w:val="0CA9232D"/>
    <w:rsid w:val="0EE70017"/>
    <w:rsid w:val="1BDF6273"/>
    <w:rsid w:val="1FD20098"/>
    <w:rsid w:val="230A15A1"/>
    <w:rsid w:val="26F71BBE"/>
    <w:rsid w:val="34E16505"/>
    <w:rsid w:val="39DD4AF4"/>
    <w:rsid w:val="4AB80EF1"/>
    <w:rsid w:val="4D5C5D31"/>
    <w:rsid w:val="4F77217A"/>
    <w:rsid w:val="4F9D69E0"/>
    <w:rsid w:val="50813480"/>
    <w:rsid w:val="511C3C09"/>
    <w:rsid w:val="6F964D6C"/>
    <w:rsid w:val="74A33A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2022-06-22T16:26:30Z</dcterms:created>
  <dcterms:modified xsi:type="dcterms:W3CDTF">2022-06-22T08:26:30Z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2022-06-22T16:26:32Z</dcterms:created>
  <dcterms:modified xsi:type="dcterms:W3CDTF">2022-06-22T08:26:32Z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2022-06-22T16:26:32Z</dcterms:created>
  <dcterms:modified xsi:type="dcterms:W3CDTF">2022-06-22T08:26:32Z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2022-06-22T16:26:30Z</dcterms:created>
  <dcterms:modified xsi:type="dcterms:W3CDTF">2022-06-22T08:26:30Z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2022-06-22T16:26:30Z</dcterms:created>
  <dcterms:modified xsi:type="dcterms:W3CDTF">2022-06-22T08:26:30Z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9c7b49a-c872-4ea8-ae25-a4f6dc1dfa3b}">
  <ds:schemaRefs/>
</ds:datastoreItem>
</file>

<file path=customXml/itemProps10.xml><?xml version="1.0" encoding="utf-8"?>
<ds:datastoreItem xmlns:ds="http://schemas.openxmlformats.org/officeDocument/2006/customXml" ds:itemID="{da1a9a1c-d23b-4b39-bf2c-48eb148c9092}">
  <ds:schemaRefs/>
</ds:datastoreItem>
</file>

<file path=customXml/itemProps2.xml><?xml version="1.0" encoding="utf-8"?>
<ds:datastoreItem xmlns:ds="http://schemas.openxmlformats.org/officeDocument/2006/customXml" ds:itemID="{cfd5f516-3613-4cd4-85ca-32005519039b}">
  <ds:schemaRefs/>
</ds:datastoreItem>
</file>

<file path=customXml/itemProps3.xml><?xml version="1.0" encoding="utf-8"?>
<ds:datastoreItem xmlns:ds="http://schemas.openxmlformats.org/officeDocument/2006/customXml" ds:itemID="{b1fe8373-85e4-471b-8dca-8ab028aba110}">
  <ds:schemaRefs/>
</ds:datastoreItem>
</file>

<file path=customXml/itemProps4.xml><?xml version="1.0" encoding="utf-8"?>
<ds:datastoreItem xmlns:ds="http://schemas.openxmlformats.org/officeDocument/2006/customXml" ds:itemID="{c01bd338-14e2-4415-851f-1d2a366f717a}">
  <ds:schemaRefs/>
</ds:datastoreItem>
</file>

<file path=customXml/itemProps5.xml><?xml version="1.0" encoding="utf-8"?>
<ds:datastoreItem xmlns:ds="http://schemas.openxmlformats.org/officeDocument/2006/customXml" ds:itemID="{35f86ee3-0a84-4ef9-97cc-651f569fdda0}">
  <ds:schemaRefs/>
</ds:datastoreItem>
</file>

<file path=customXml/itemProps6.xml><?xml version="1.0" encoding="utf-8"?>
<ds:datastoreItem xmlns:ds="http://schemas.openxmlformats.org/officeDocument/2006/customXml" ds:itemID="{79c0cdec-c15f-4424-8d54-3aff7f5d7aba}">
  <ds:schemaRefs/>
</ds:datastoreItem>
</file>

<file path=customXml/itemProps7.xml><?xml version="1.0" encoding="utf-8"?>
<ds:datastoreItem xmlns:ds="http://schemas.openxmlformats.org/officeDocument/2006/customXml" ds:itemID="{2c2dc036-0cae-460b-8482-b410767a0323}">
  <ds:schemaRefs/>
</ds:datastoreItem>
</file>

<file path=customXml/itemProps8.xml><?xml version="1.0" encoding="utf-8"?>
<ds:datastoreItem xmlns:ds="http://schemas.openxmlformats.org/officeDocument/2006/customXml" ds:itemID="{d153ef0a-20a9-4bd9-baa5-3c4e2c5f8129}">
  <ds:schemaRefs/>
</ds:datastoreItem>
</file>

<file path=customXml/itemProps9.xml><?xml version="1.0" encoding="utf-8"?>
<ds:datastoreItem xmlns:ds="http://schemas.openxmlformats.org/officeDocument/2006/customXml" ds:itemID="{ec628931-77b9-4325-82b9-0af156080f33}">
  <ds:schemaRefs/>
</ds:datastoreItem>
</file>

<file path=docProps/app.xml><?xml version="1.0" encoding="utf-8"?>
<Properties xmlns="http://schemas.openxmlformats.org/officeDocument/2006/extended-properties" xmlns:vt="http://schemas.openxmlformats.org/officeDocument/2006/docPropsVTypes">
  <Pages>34</Pages>
  <Words>5726</Words>
  <Characters>6639</Characters>
  <TotalTime>1</TotalTime>
  <ScaleCrop>false</ScaleCrop>
  <LinksUpToDate>false</LinksUpToDate>
  <CharactersWithSpaces>6788</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2022-06-22T16:26:00Z</dcterms:created>
  <dc:creator>ze</dc:creator>
  <cp:lastModifiedBy>lenovo</cp:lastModifiedBy>
  <dcterms:modified xsi:type="dcterms:W3CDTF">2023-08-31T08:24:36Z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0857F3157E5048B188E253724502DBDA</vt:lpwstr>
  </property>
</Properties>
</file>