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w:t>
      </w:r>
      <w:r>
        <w:rPr>
          <w:rFonts w:hint="eastAsia" w:ascii="黑体" w:hAnsi="黑体" w:eastAsia="黑体" w:cs="黑体"/>
          <w:b/>
          <w:color w:val="000000"/>
          <w:sz w:val="44"/>
          <w:lang w:val="en-US" w:eastAsia="zh-CN"/>
        </w:rPr>
        <w:t>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一、无极县档案馆本级收支预算</w:t>
      </w:r>
      <w:r>
        <w:tab/>
      </w:r>
      <w:r>
        <w:fldChar w:fldCharType="begin"/>
      </w:r>
      <w:r>
        <w:instrText xml:space="preserve">PAGEREF _Toc_4_4_0000000019 \h</w:instrText>
      </w:r>
      <w:r>
        <w:fldChar w:fldCharType="separate"/>
      </w:r>
      <w:r>
        <w:t>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无极县档案馆本级收支预算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241001无极县档案馆本级</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195.76</w:t>
            </w:r>
          </w:p>
        </w:tc>
        <w:tc>
          <w:tcPr>
            <w:tcW w:w="4535" w:type="dxa"/>
            <w:vAlign w:val="center"/>
          </w:tcPr>
          <w:p>
            <w:pPr>
              <w:pStyle w:val="14"/>
            </w:pPr>
            <w:r>
              <w:t>一、一般公共服务支出</w:t>
            </w:r>
          </w:p>
        </w:tc>
        <w:tc>
          <w:tcPr>
            <w:tcW w:w="2126" w:type="dxa"/>
            <w:vAlign w:val="center"/>
          </w:tcPr>
          <w:p>
            <w:pPr>
              <w:pStyle w:val="13"/>
            </w:pPr>
            <w:r>
              <w:t>149.92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33.44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12.40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195.76</w:t>
            </w:r>
          </w:p>
        </w:tc>
        <w:tc>
          <w:tcPr>
            <w:tcW w:w="4535" w:type="dxa"/>
            <w:vAlign w:val="center"/>
          </w:tcPr>
          <w:p>
            <w:pPr>
              <w:pStyle w:val="16"/>
            </w:pPr>
            <w:r>
              <w:t>本年支出合计</w:t>
            </w:r>
          </w:p>
        </w:tc>
        <w:tc>
          <w:tcPr>
            <w:tcW w:w="2126" w:type="dxa"/>
            <w:vAlign w:val="center"/>
          </w:tcPr>
          <w:p>
            <w:pPr>
              <w:pStyle w:val="17"/>
            </w:pPr>
            <w:r>
              <w:t>195.76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195.76</w:t>
            </w:r>
          </w:p>
        </w:tc>
        <w:tc>
          <w:tcPr>
            <w:tcW w:w="4535" w:type="dxa"/>
            <w:vAlign w:val="center"/>
          </w:tcPr>
          <w:p>
            <w:pPr>
              <w:pStyle w:val="16"/>
            </w:pPr>
            <w:r>
              <w:t>支出总计</w:t>
            </w:r>
          </w:p>
        </w:tc>
        <w:tc>
          <w:tcPr>
            <w:tcW w:w="2126" w:type="dxa"/>
            <w:vAlign w:val="center"/>
          </w:tcPr>
          <w:p>
            <w:pPr>
              <w:pStyle w:val="17"/>
            </w:pPr>
            <w:r>
              <w:t>195.76</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241001无极县档案馆本级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195.76</w:t>
            </w:r>
          </w:p>
        </w:tc>
        <w:tc>
          <w:tcPr>
            <w:tcW w:w="1134" w:type="dxa"/>
            <w:vAlign w:val="center"/>
          </w:tcPr>
          <w:p>
            <w:pPr>
              <w:pStyle w:val="17"/>
            </w:pPr>
            <w:r>
              <w:t>195.76</w:t>
            </w:r>
          </w:p>
        </w:tc>
        <w:tc>
          <w:tcPr>
            <w:tcW w:w="1134" w:type="dxa"/>
            <w:vAlign w:val="center"/>
          </w:tcPr>
          <w:p>
            <w:pPr>
              <w:pStyle w:val="17"/>
            </w:pPr>
            <w:r>
              <w:t>195.76</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149.92</w:t>
            </w:r>
          </w:p>
        </w:tc>
        <w:tc>
          <w:tcPr>
            <w:tcW w:w="1134" w:type="dxa"/>
            <w:vAlign w:val="center"/>
          </w:tcPr>
          <w:p>
            <w:pPr>
              <w:pStyle w:val="13"/>
            </w:pPr>
            <w:r>
              <w:t>149.92</w:t>
            </w:r>
          </w:p>
        </w:tc>
        <w:tc>
          <w:tcPr>
            <w:tcW w:w="1134" w:type="dxa"/>
            <w:vAlign w:val="center"/>
          </w:tcPr>
          <w:p>
            <w:pPr>
              <w:pStyle w:val="13"/>
            </w:pPr>
            <w:r>
              <w:t>149.92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20126</w:t>
            </w:r>
          </w:p>
        </w:tc>
        <w:tc>
          <w:tcPr>
            <w:tcW w:w="1559" w:type="dxa"/>
            <w:vAlign w:val="center"/>
          </w:tcPr>
          <w:p>
            <w:pPr>
              <w:pStyle w:val="14"/>
            </w:pPr>
            <w:r>
              <w:t>档案事务</w:t>
            </w:r>
          </w:p>
        </w:tc>
        <w:tc>
          <w:tcPr>
            <w:tcW w:w="1134" w:type="dxa"/>
            <w:vAlign w:val="center"/>
          </w:tcPr>
          <w:p>
            <w:pPr>
              <w:pStyle w:val="13"/>
            </w:pPr>
            <w:r>
              <w:t>149.92</w:t>
            </w:r>
          </w:p>
        </w:tc>
        <w:tc>
          <w:tcPr>
            <w:tcW w:w="1134" w:type="dxa"/>
            <w:vAlign w:val="center"/>
          </w:tcPr>
          <w:p>
            <w:pPr>
              <w:pStyle w:val="13"/>
            </w:pPr>
            <w:r>
              <w:t>149.92</w:t>
            </w:r>
          </w:p>
        </w:tc>
        <w:tc>
          <w:tcPr>
            <w:tcW w:w="1134" w:type="dxa"/>
            <w:vAlign w:val="center"/>
          </w:tcPr>
          <w:p>
            <w:pPr>
              <w:pStyle w:val="13"/>
            </w:pPr>
            <w:r>
              <w:t>149.92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2012601</w:t>
            </w:r>
          </w:p>
        </w:tc>
        <w:tc>
          <w:tcPr>
            <w:tcW w:w="1559" w:type="dxa"/>
            <w:vAlign w:val="center"/>
          </w:tcPr>
          <w:p>
            <w:pPr>
              <w:pStyle w:val="14"/>
            </w:pPr>
            <w:r>
              <w:t>行政运行</w:t>
            </w:r>
          </w:p>
        </w:tc>
        <w:tc>
          <w:tcPr>
            <w:tcW w:w="1134" w:type="dxa"/>
            <w:vAlign w:val="center"/>
          </w:tcPr>
          <w:p>
            <w:pPr>
              <w:pStyle w:val="13"/>
            </w:pPr>
            <w:r>
              <w:t>149.92</w:t>
            </w:r>
          </w:p>
        </w:tc>
        <w:tc>
          <w:tcPr>
            <w:tcW w:w="1134" w:type="dxa"/>
            <w:vAlign w:val="center"/>
          </w:tcPr>
          <w:p>
            <w:pPr>
              <w:pStyle w:val="13"/>
            </w:pPr>
            <w:r>
              <w:t>149.92</w:t>
            </w:r>
          </w:p>
        </w:tc>
        <w:tc>
          <w:tcPr>
            <w:tcW w:w="1134" w:type="dxa"/>
            <w:vAlign w:val="center"/>
          </w:tcPr>
          <w:p>
            <w:pPr>
              <w:pStyle w:val="13"/>
            </w:pPr>
            <w:r>
              <w:t>149.92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33.44</w:t>
            </w:r>
          </w:p>
        </w:tc>
        <w:tc>
          <w:tcPr>
            <w:tcW w:w="1134" w:type="dxa"/>
            <w:vAlign w:val="center"/>
          </w:tcPr>
          <w:p>
            <w:pPr>
              <w:pStyle w:val="13"/>
            </w:pPr>
            <w:r>
              <w:t>33.44</w:t>
            </w:r>
          </w:p>
        </w:tc>
        <w:tc>
          <w:tcPr>
            <w:tcW w:w="1134" w:type="dxa"/>
            <w:vAlign w:val="center"/>
          </w:tcPr>
          <w:p>
            <w:pPr>
              <w:pStyle w:val="13"/>
            </w:pPr>
            <w:r>
              <w:t>33.44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33.44</w:t>
            </w:r>
          </w:p>
        </w:tc>
        <w:tc>
          <w:tcPr>
            <w:tcW w:w="1134" w:type="dxa"/>
            <w:vAlign w:val="center"/>
          </w:tcPr>
          <w:p>
            <w:pPr>
              <w:pStyle w:val="13"/>
            </w:pPr>
            <w:r>
              <w:t>33.44</w:t>
            </w:r>
          </w:p>
        </w:tc>
        <w:tc>
          <w:tcPr>
            <w:tcW w:w="1134" w:type="dxa"/>
            <w:vAlign w:val="center"/>
          </w:tcPr>
          <w:p>
            <w:pPr>
              <w:pStyle w:val="13"/>
            </w:pPr>
            <w:r>
              <w:t>33.44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28.66</w:t>
            </w:r>
          </w:p>
        </w:tc>
        <w:tc>
          <w:tcPr>
            <w:tcW w:w="1134" w:type="dxa"/>
            <w:vAlign w:val="center"/>
          </w:tcPr>
          <w:p>
            <w:pPr>
              <w:pStyle w:val="13"/>
            </w:pPr>
            <w:r>
              <w:t>28.66</w:t>
            </w:r>
          </w:p>
        </w:tc>
        <w:tc>
          <w:tcPr>
            <w:tcW w:w="1134" w:type="dxa"/>
            <w:vAlign w:val="center"/>
          </w:tcPr>
          <w:p>
            <w:pPr>
              <w:pStyle w:val="13"/>
            </w:pPr>
            <w:r>
              <w:t>28.66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4.78</w:t>
            </w:r>
          </w:p>
        </w:tc>
        <w:tc>
          <w:tcPr>
            <w:tcW w:w="1134" w:type="dxa"/>
            <w:vAlign w:val="center"/>
          </w:tcPr>
          <w:p>
            <w:pPr>
              <w:pStyle w:val="13"/>
            </w:pPr>
            <w:r>
              <w:t>4.78</w:t>
            </w:r>
          </w:p>
        </w:tc>
        <w:tc>
          <w:tcPr>
            <w:tcW w:w="1134" w:type="dxa"/>
            <w:vAlign w:val="center"/>
          </w:tcPr>
          <w:p>
            <w:pPr>
              <w:pStyle w:val="13"/>
            </w:pPr>
            <w:r>
              <w:t>4.78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12.40</w:t>
            </w:r>
          </w:p>
        </w:tc>
        <w:tc>
          <w:tcPr>
            <w:tcW w:w="1134" w:type="dxa"/>
            <w:vAlign w:val="center"/>
          </w:tcPr>
          <w:p>
            <w:pPr>
              <w:pStyle w:val="13"/>
            </w:pPr>
            <w:r>
              <w:t>12.40</w:t>
            </w:r>
          </w:p>
        </w:tc>
        <w:tc>
          <w:tcPr>
            <w:tcW w:w="1134" w:type="dxa"/>
            <w:vAlign w:val="center"/>
          </w:tcPr>
          <w:p>
            <w:pPr>
              <w:pStyle w:val="13"/>
            </w:pPr>
            <w:r>
              <w:t>12.40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12.40</w:t>
            </w:r>
          </w:p>
        </w:tc>
        <w:tc>
          <w:tcPr>
            <w:tcW w:w="1134" w:type="dxa"/>
            <w:vAlign w:val="center"/>
          </w:tcPr>
          <w:p>
            <w:pPr>
              <w:pStyle w:val="13"/>
            </w:pPr>
            <w:r>
              <w:t>12.40</w:t>
            </w:r>
          </w:p>
        </w:tc>
        <w:tc>
          <w:tcPr>
            <w:tcW w:w="1134" w:type="dxa"/>
            <w:vAlign w:val="center"/>
          </w:tcPr>
          <w:p>
            <w:pPr>
              <w:pStyle w:val="13"/>
            </w:pPr>
            <w:r>
              <w:t>12.40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12.40</w:t>
            </w:r>
          </w:p>
        </w:tc>
        <w:tc>
          <w:tcPr>
            <w:tcW w:w="1134" w:type="dxa"/>
            <w:vAlign w:val="center"/>
          </w:tcPr>
          <w:p>
            <w:pPr>
              <w:pStyle w:val="13"/>
            </w:pPr>
            <w:r>
              <w:t>12.40</w:t>
            </w:r>
          </w:p>
        </w:tc>
        <w:tc>
          <w:tcPr>
            <w:tcW w:w="1134" w:type="dxa"/>
            <w:vAlign w:val="center"/>
          </w:tcPr>
          <w:p>
            <w:pPr>
              <w:pStyle w:val="13"/>
            </w:pPr>
            <w:r>
              <w:t>12.40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241001无极县档案馆本级</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195.76</w:t>
            </w:r>
          </w:p>
        </w:tc>
        <w:tc>
          <w:tcPr>
            <w:tcW w:w="1361" w:type="dxa"/>
            <w:vAlign w:val="center"/>
          </w:tcPr>
          <w:p>
            <w:pPr>
              <w:pStyle w:val="17"/>
            </w:pPr>
            <w:r>
              <w:t>195.76</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149.92</w:t>
            </w:r>
          </w:p>
        </w:tc>
        <w:tc>
          <w:tcPr>
            <w:tcW w:w="1361" w:type="dxa"/>
            <w:vAlign w:val="center"/>
          </w:tcPr>
          <w:p>
            <w:pPr>
              <w:pStyle w:val="13"/>
            </w:pPr>
            <w:r>
              <w:t>149.92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20126</w:t>
            </w:r>
          </w:p>
        </w:tc>
        <w:tc>
          <w:tcPr>
            <w:tcW w:w="4535" w:type="dxa"/>
            <w:vAlign w:val="center"/>
          </w:tcPr>
          <w:p>
            <w:pPr>
              <w:pStyle w:val="14"/>
            </w:pPr>
            <w:r>
              <w:t>档案事务</w:t>
            </w:r>
          </w:p>
        </w:tc>
        <w:tc>
          <w:tcPr>
            <w:tcW w:w="1361" w:type="dxa"/>
            <w:vAlign w:val="center"/>
          </w:tcPr>
          <w:p>
            <w:pPr>
              <w:pStyle w:val="13"/>
            </w:pPr>
            <w:r>
              <w:t>149.92</w:t>
            </w:r>
          </w:p>
        </w:tc>
        <w:tc>
          <w:tcPr>
            <w:tcW w:w="1361" w:type="dxa"/>
            <w:vAlign w:val="center"/>
          </w:tcPr>
          <w:p>
            <w:pPr>
              <w:pStyle w:val="13"/>
            </w:pPr>
            <w:r>
              <w:t>149.92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2012601</w:t>
            </w:r>
          </w:p>
        </w:tc>
        <w:tc>
          <w:tcPr>
            <w:tcW w:w="4535" w:type="dxa"/>
            <w:vAlign w:val="center"/>
          </w:tcPr>
          <w:p>
            <w:pPr>
              <w:pStyle w:val="14"/>
            </w:pPr>
            <w:r>
              <w:t>行政运行</w:t>
            </w:r>
          </w:p>
        </w:tc>
        <w:tc>
          <w:tcPr>
            <w:tcW w:w="1361" w:type="dxa"/>
            <w:vAlign w:val="center"/>
          </w:tcPr>
          <w:p>
            <w:pPr>
              <w:pStyle w:val="13"/>
            </w:pPr>
            <w:r>
              <w:t>149.92</w:t>
            </w:r>
          </w:p>
        </w:tc>
        <w:tc>
          <w:tcPr>
            <w:tcW w:w="1361" w:type="dxa"/>
            <w:vAlign w:val="center"/>
          </w:tcPr>
          <w:p>
            <w:pPr>
              <w:pStyle w:val="13"/>
            </w:pPr>
            <w:r>
              <w:t>149.92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33.44</w:t>
            </w:r>
          </w:p>
        </w:tc>
        <w:tc>
          <w:tcPr>
            <w:tcW w:w="1361" w:type="dxa"/>
            <w:vAlign w:val="center"/>
          </w:tcPr>
          <w:p>
            <w:pPr>
              <w:pStyle w:val="13"/>
            </w:pPr>
            <w:r>
              <w:t>33.44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33.44</w:t>
            </w:r>
          </w:p>
        </w:tc>
        <w:tc>
          <w:tcPr>
            <w:tcW w:w="1361" w:type="dxa"/>
            <w:vAlign w:val="center"/>
          </w:tcPr>
          <w:p>
            <w:pPr>
              <w:pStyle w:val="13"/>
            </w:pPr>
            <w:r>
              <w:t>33.44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28.66</w:t>
            </w:r>
          </w:p>
        </w:tc>
        <w:tc>
          <w:tcPr>
            <w:tcW w:w="1361" w:type="dxa"/>
            <w:vAlign w:val="center"/>
          </w:tcPr>
          <w:p>
            <w:pPr>
              <w:pStyle w:val="13"/>
            </w:pPr>
            <w:r>
              <w:t>28.66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4.78</w:t>
            </w:r>
          </w:p>
        </w:tc>
        <w:tc>
          <w:tcPr>
            <w:tcW w:w="1361" w:type="dxa"/>
            <w:vAlign w:val="center"/>
          </w:tcPr>
          <w:p>
            <w:pPr>
              <w:pStyle w:val="13"/>
            </w:pPr>
            <w:r>
              <w:t>4.78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12.40</w:t>
            </w:r>
          </w:p>
        </w:tc>
        <w:tc>
          <w:tcPr>
            <w:tcW w:w="1361" w:type="dxa"/>
            <w:vAlign w:val="center"/>
          </w:tcPr>
          <w:p>
            <w:pPr>
              <w:pStyle w:val="13"/>
            </w:pPr>
            <w:r>
              <w:t>12.40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12.40</w:t>
            </w:r>
          </w:p>
        </w:tc>
        <w:tc>
          <w:tcPr>
            <w:tcW w:w="1361" w:type="dxa"/>
            <w:vAlign w:val="center"/>
          </w:tcPr>
          <w:p>
            <w:pPr>
              <w:pStyle w:val="13"/>
            </w:pPr>
            <w:r>
              <w:t>12.40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12.40</w:t>
            </w:r>
          </w:p>
        </w:tc>
        <w:tc>
          <w:tcPr>
            <w:tcW w:w="1361" w:type="dxa"/>
            <w:vAlign w:val="center"/>
          </w:tcPr>
          <w:p>
            <w:pPr>
              <w:pStyle w:val="13"/>
            </w:pPr>
            <w:r>
              <w:t>12.40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241001无极县档案馆本级</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195.76</w:t>
            </w:r>
          </w:p>
        </w:tc>
        <w:tc>
          <w:tcPr>
            <w:tcW w:w="3402" w:type="dxa"/>
            <w:vAlign w:val="center"/>
          </w:tcPr>
          <w:p>
            <w:pPr>
              <w:pStyle w:val="14"/>
            </w:pPr>
            <w:r>
              <w:t>一、一般公共服务支出</w:t>
            </w:r>
          </w:p>
        </w:tc>
        <w:tc>
          <w:tcPr>
            <w:tcW w:w="1474" w:type="dxa"/>
            <w:vAlign w:val="center"/>
          </w:tcPr>
          <w:p>
            <w:pPr>
              <w:pStyle w:val="13"/>
            </w:pPr>
            <w:r>
              <w:t>149.92</w:t>
            </w:r>
          </w:p>
        </w:tc>
        <w:tc>
          <w:tcPr>
            <w:tcW w:w="1474" w:type="dxa"/>
            <w:vAlign w:val="center"/>
          </w:tcPr>
          <w:p>
            <w:pPr>
              <w:pStyle w:val="13"/>
            </w:pPr>
            <w:r>
              <w:t>149.92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33.44</w:t>
            </w:r>
          </w:p>
        </w:tc>
        <w:tc>
          <w:tcPr>
            <w:tcW w:w="1474" w:type="dxa"/>
            <w:vAlign w:val="center"/>
          </w:tcPr>
          <w:p>
            <w:pPr>
              <w:pStyle w:val="13"/>
            </w:pPr>
            <w:r>
              <w:t>33.44</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12.40</w:t>
            </w:r>
          </w:p>
        </w:tc>
        <w:tc>
          <w:tcPr>
            <w:tcW w:w="1474" w:type="dxa"/>
            <w:vAlign w:val="center"/>
          </w:tcPr>
          <w:p>
            <w:pPr>
              <w:pStyle w:val="13"/>
            </w:pPr>
            <w:r>
              <w:t>12.40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195.76</w:t>
            </w:r>
          </w:p>
        </w:tc>
        <w:tc>
          <w:tcPr>
            <w:tcW w:w="3402" w:type="dxa"/>
            <w:vAlign w:val="center"/>
          </w:tcPr>
          <w:p>
            <w:pPr>
              <w:pStyle w:val="16"/>
            </w:pPr>
            <w:r>
              <w:t>本年支出合计</w:t>
            </w:r>
          </w:p>
        </w:tc>
        <w:tc>
          <w:tcPr>
            <w:tcW w:w="1474" w:type="dxa"/>
            <w:vAlign w:val="center"/>
          </w:tcPr>
          <w:p>
            <w:pPr>
              <w:pStyle w:val="17"/>
            </w:pPr>
            <w:r>
              <w:t>195.76</w:t>
            </w:r>
          </w:p>
        </w:tc>
        <w:tc>
          <w:tcPr>
            <w:tcW w:w="1474" w:type="dxa"/>
            <w:vAlign w:val="center"/>
          </w:tcPr>
          <w:p>
            <w:pPr>
              <w:pStyle w:val="17"/>
            </w:pPr>
            <w:r>
              <w:t>195.76</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195.76</w:t>
            </w:r>
          </w:p>
        </w:tc>
        <w:tc>
          <w:tcPr>
            <w:tcW w:w="3402" w:type="dxa"/>
            <w:vAlign w:val="center"/>
          </w:tcPr>
          <w:p>
            <w:pPr>
              <w:pStyle w:val="16"/>
            </w:pPr>
            <w:r>
              <w:t>支出总计</w:t>
            </w:r>
          </w:p>
        </w:tc>
        <w:tc>
          <w:tcPr>
            <w:tcW w:w="1474" w:type="dxa"/>
            <w:vAlign w:val="center"/>
          </w:tcPr>
          <w:p>
            <w:pPr>
              <w:pStyle w:val="17"/>
            </w:pPr>
            <w:r>
              <w:t>195.76</w:t>
            </w:r>
          </w:p>
        </w:tc>
        <w:tc>
          <w:tcPr>
            <w:tcW w:w="1474" w:type="dxa"/>
            <w:vAlign w:val="center"/>
          </w:tcPr>
          <w:p>
            <w:pPr>
              <w:pStyle w:val="17"/>
            </w:pPr>
            <w:r>
              <w:t>195.76</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241001无极县档案馆本级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195.76</w:t>
            </w:r>
          </w:p>
        </w:tc>
        <w:tc>
          <w:tcPr>
            <w:tcW w:w="2551" w:type="dxa"/>
            <w:vAlign w:val="center"/>
          </w:tcPr>
          <w:p>
            <w:pPr>
              <w:pStyle w:val="17"/>
            </w:pPr>
            <w:r>
              <w:t>195.76</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149.92</w:t>
            </w:r>
          </w:p>
        </w:tc>
        <w:tc>
          <w:tcPr>
            <w:tcW w:w="2551" w:type="dxa"/>
            <w:vAlign w:val="center"/>
          </w:tcPr>
          <w:p>
            <w:pPr>
              <w:pStyle w:val="13"/>
            </w:pPr>
            <w:r>
              <w:t>149.92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20126</w:t>
            </w:r>
          </w:p>
        </w:tc>
        <w:tc>
          <w:tcPr>
            <w:tcW w:w="4535" w:type="dxa"/>
            <w:vAlign w:val="center"/>
          </w:tcPr>
          <w:p>
            <w:pPr>
              <w:pStyle w:val="14"/>
            </w:pPr>
            <w:r>
              <w:t>档案事务</w:t>
            </w:r>
          </w:p>
        </w:tc>
        <w:tc>
          <w:tcPr>
            <w:tcW w:w="2551" w:type="dxa"/>
            <w:vAlign w:val="center"/>
          </w:tcPr>
          <w:p>
            <w:pPr>
              <w:pStyle w:val="13"/>
            </w:pPr>
            <w:r>
              <w:t>149.92</w:t>
            </w:r>
          </w:p>
        </w:tc>
        <w:tc>
          <w:tcPr>
            <w:tcW w:w="2551" w:type="dxa"/>
            <w:vAlign w:val="center"/>
          </w:tcPr>
          <w:p>
            <w:pPr>
              <w:pStyle w:val="13"/>
            </w:pPr>
            <w:r>
              <w:t>149.92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2012601</w:t>
            </w:r>
          </w:p>
        </w:tc>
        <w:tc>
          <w:tcPr>
            <w:tcW w:w="4535" w:type="dxa"/>
            <w:vAlign w:val="center"/>
          </w:tcPr>
          <w:p>
            <w:pPr>
              <w:pStyle w:val="14"/>
            </w:pPr>
            <w:r>
              <w:t>行政运行</w:t>
            </w:r>
          </w:p>
        </w:tc>
        <w:tc>
          <w:tcPr>
            <w:tcW w:w="2551" w:type="dxa"/>
            <w:vAlign w:val="center"/>
          </w:tcPr>
          <w:p>
            <w:pPr>
              <w:pStyle w:val="13"/>
            </w:pPr>
            <w:r>
              <w:t>149.92</w:t>
            </w:r>
          </w:p>
        </w:tc>
        <w:tc>
          <w:tcPr>
            <w:tcW w:w="2551" w:type="dxa"/>
            <w:vAlign w:val="center"/>
          </w:tcPr>
          <w:p>
            <w:pPr>
              <w:pStyle w:val="13"/>
            </w:pPr>
            <w:r>
              <w:t>149.92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33.44</w:t>
            </w:r>
          </w:p>
        </w:tc>
        <w:tc>
          <w:tcPr>
            <w:tcW w:w="2551" w:type="dxa"/>
            <w:vAlign w:val="center"/>
          </w:tcPr>
          <w:p>
            <w:pPr>
              <w:pStyle w:val="13"/>
            </w:pPr>
            <w:r>
              <w:t>33.44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33.44</w:t>
            </w:r>
          </w:p>
        </w:tc>
        <w:tc>
          <w:tcPr>
            <w:tcW w:w="2551" w:type="dxa"/>
            <w:vAlign w:val="center"/>
          </w:tcPr>
          <w:p>
            <w:pPr>
              <w:pStyle w:val="13"/>
            </w:pPr>
            <w:r>
              <w:t>33.44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28.66</w:t>
            </w:r>
          </w:p>
        </w:tc>
        <w:tc>
          <w:tcPr>
            <w:tcW w:w="2551" w:type="dxa"/>
            <w:vAlign w:val="center"/>
          </w:tcPr>
          <w:p>
            <w:pPr>
              <w:pStyle w:val="13"/>
            </w:pPr>
            <w:r>
              <w:t>28.66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4.78</w:t>
            </w:r>
          </w:p>
        </w:tc>
        <w:tc>
          <w:tcPr>
            <w:tcW w:w="2551" w:type="dxa"/>
            <w:vAlign w:val="center"/>
          </w:tcPr>
          <w:p>
            <w:pPr>
              <w:pStyle w:val="13"/>
            </w:pPr>
            <w:r>
              <w:t>4.78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12.40</w:t>
            </w:r>
          </w:p>
        </w:tc>
        <w:tc>
          <w:tcPr>
            <w:tcW w:w="2551" w:type="dxa"/>
            <w:vAlign w:val="center"/>
          </w:tcPr>
          <w:p>
            <w:pPr>
              <w:pStyle w:val="13"/>
            </w:pPr>
            <w:r>
              <w:t>12.40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12.40</w:t>
            </w:r>
          </w:p>
        </w:tc>
        <w:tc>
          <w:tcPr>
            <w:tcW w:w="2551" w:type="dxa"/>
            <w:vAlign w:val="center"/>
          </w:tcPr>
          <w:p>
            <w:pPr>
              <w:pStyle w:val="13"/>
            </w:pPr>
            <w:r>
              <w:t>12.40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12.40</w:t>
            </w:r>
          </w:p>
        </w:tc>
        <w:tc>
          <w:tcPr>
            <w:tcW w:w="2551" w:type="dxa"/>
            <w:vAlign w:val="center"/>
          </w:tcPr>
          <w:p>
            <w:pPr>
              <w:pStyle w:val="13"/>
            </w:pPr>
            <w:r>
              <w:t>12.40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241001无极县档案馆本级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195.76</w:t>
            </w:r>
          </w:p>
        </w:tc>
        <w:tc>
          <w:tcPr>
            <w:tcW w:w="2551" w:type="dxa"/>
            <w:vAlign w:val="center"/>
          </w:tcPr>
          <w:p>
            <w:pPr>
              <w:pStyle w:val="17"/>
            </w:pPr>
            <w:r>
              <w:t>180.85</w:t>
            </w:r>
          </w:p>
        </w:tc>
        <w:tc>
          <w:tcPr>
            <w:tcW w:w="2551" w:type="dxa"/>
            <w:vAlign w:val="center"/>
          </w:tcPr>
          <w:p>
            <w:pPr>
              <w:pStyle w:val="17"/>
            </w:pPr>
            <w:r>
              <w:t>14.91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149.61</w:t>
            </w:r>
          </w:p>
        </w:tc>
        <w:tc>
          <w:tcPr>
            <w:tcW w:w="2551" w:type="dxa"/>
            <w:vAlign w:val="center"/>
          </w:tcPr>
          <w:p>
            <w:pPr>
              <w:pStyle w:val="13"/>
            </w:pPr>
            <w:r>
              <w:t>149.61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45.83</w:t>
            </w:r>
          </w:p>
        </w:tc>
        <w:tc>
          <w:tcPr>
            <w:tcW w:w="2551" w:type="dxa"/>
            <w:vAlign w:val="center"/>
          </w:tcPr>
          <w:p>
            <w:pPr>
              <w:pStyle w:val="13"/>
            </w:pPr>
            <w:r>
              <w:t>45.83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19.07</w:t>
            </w:r>
          </w:p>
        </w:tc>
        <w:tc>
          <w:tcPr>
            <w:tcW w:w="2551" w:type="dxa"/>
            <w:vAlign w:val="center"/>
          </w:tcPr>
          <w:p>
            <w:pPr>
              <w:pStyle w:val="13"/>
            </w:pPr>
            <w:r>
              <w:t>19.07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29.27</w:t>
            </w:r>
          </w:p>
        </w:tc>
        <w:tc>
          <w:tcPr>
            <w:tcW w:w="2551" w:type="dxa"/>
            <w:vAlign w:val="center"/>
          </w:tcPr>
          <w:p>
            <w:pPr>
              <w:pStyle w:val="13"/>
            </w:pPr>
            <w:r>
              <w:t>29.27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9.00</w:t>
            </w:r>
          </w:p>
        </w:tc>
        <w:tc>
          <w:tcPr>
            <w:tcW w:w="2551" w:type="dxa"/>
            <w:vAlign w:val="center"/>
          </w:tcPr>
          <w:p>
            <w:pPr>
              <w:pStyle w:val="13"/>
            </w:pPr>
            <w:r>
              <w:t>9.00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28.66</w:t>
            </w:r>
          </w:p>
        </w:tc>
        <w:tc>
          <w:tcPr>
            <w:tcW w:w="2551" w:type="dxa"/>
            <w:vAlign w:val="center"/>
          </w:tcPr>
          <w:p>
            <w:pPr>
              <w:pStyle w:val="13"/>
            </w:pPr>
            <w:r>
              <w:t>28.66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4.78</w:t>
            </w:r>
          </w:p>
        </w:tc>
        <w:tc>
          <w:tcPr>
            <w:tcW w:w="2551" w:type="dxa"/>
            <w:vAlign w:val="center"/>
          </w:tcPr>
          <w:p>
            <w:pPr>
              <w:pStyle w:val="13"/>
            </w:pPr>
            <w:r>
              <w:t>4.78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12.40</w:t>
            </w:r>
          </w:p>
        </w:tc>
        <w:tc>
          <w:tcPr>
            <w:tcW w:w="2551" w:type="dxa"/>
            <w:vAlign w:val="center"/>
          </w:tcPr>
          <w:p>
            <w:pPr>
              <w:pStyle w:val="13"/>
            </w:pPr>
            <w:r>
              <w:t>12.40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0.60</w:t>
            </w:r>
          </w:p>
        </w:tc>
        <w:tc>
          <w:tcPr>
            <w:tcW w:w="2551" w:type="dxa"/>
            <w:vAlign w:val="center"/>
          </w:tcPr>
          <w:p>
            <w:pPr>
              <w:pStyle w:val="13"/>
            </w:pPr>
            <w:r>
              <w:t>0.60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14.91</w:t>
            </w:r>
          </w:p>
        </w:tc>
        <w:tc>
          <w:tcPr>
            <w:tcW w:w="2551" w:type="dxa"/>
            <w:vAlign w:val="center"/>
          </w:tcPr>
          <w:p>
            <w:pPr>
              <w:pStyle w:val="13"/>
            </w:pPr>
          </w:p>
        </w:tc>
        <w:tc>
          <w:tcPr>
            <w:tcW w:w="2551" w:type="dxa"/>
            <w:vAlign w:val="center"/>
          </w:tcPr>
          <w:p>
            <w:pPr>
              <w:pStyle w:val="13"/>
            </w:pPr>
            <w:r>
              <w:t>14.91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6.00</w:t>
            </w:r>
          </w:p>
        </w:tc>
        <w:tc>
          <w:tcPr>
            <w:tcW w:w="2551" w:type="dxa"/>
            <w:vAlign w:val="center"/>
          </w:tcPr>
          <w:p>
            <w:pPr>
              <w:pStyle w:val="13"/>
            </w:pPr>
          </w:p>
        </w:tc>
        <w:tc>
          <w:tcPr>
            <w:tcW w:w="2551" w:type="dxa"/>
            <w:vAlign w:val="center"/>
          </w:tcPr>
          <w:p>
            <w:pPr>
              <w:pStyle w:val="13"/>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3.96</w:t>
            </w:r>
          </w:p>
        </w:tc>
        <w:tc>
          <w:tcPr>
            <w:tcW w:w="2551" w:type="dxa"/>
            <w:vAlign w:val="center"/>
          </w:tcPr>
          <w:p>
            <w:pPr>
              <w:pStyle w:val="13"/>
            </w:pPr>
          </w:p>
        </w:tc>
        <w:tc>
          <w:tcPr>
            <w:tcW w:w="2551" w:type="dxa"/>
            <w:vAlign w:val="center"/>
          </w:tcPr>
          <w:p>
            <w:pPr>
              <w:pStyle w:val="13"/>
            </w:pPr>
            <w:r>
              <w:t>3.96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4.95</w:t>
            </w:r>
          </w:p>
        </w:tc>
        <w:tc>
          <w:tcPr>
            <w:tcW w:w="2551" w:type="dxa"/>
            <w:vAlign w:val="center"/>
          </w:tcPr>
          <w:p>
            <w:pPr>
              <w:pStyle w:val="13"/>
            </w:pPr>
          </w:p>
        </w:tc>
        <w:tc>
          <w:tcPr>
            <w:tcW w:w="2551" w:type="dxa"/>
            <w:vAlign w:val="center"/>
          </w:tcPr>
          <w:p>
            <w:pPr>
              <w:pStyle w:val="13"/>
            </w:pPr>
            <w:r>
              <w:t>4.95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31.24</w:t>
            </w:r>
          </w:p>
        </w:tc>
        <w:tc>
          <w:tcPr>
            <w:tcW w:w="2551" w:type="dxa"/>
            <w:vAlign w:val="center"/>
          </w:tcPr>
          <w:p>
            <w:pPr>
              <w:pStyle w:val="13"/>
            </w:pPr>
            <w:r>
              <w:t>31.24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31.24</w:t>
            </w:r>
          </w:p>
        </w:tc>
        <w:tc>
          <w:tcPr>
            <w:tcW w:w="2551" w:type="dxa"/>
            <w:vAlign w:val="center"/>
          </w:tcPr>
          <w:p>
            <w:pPr>
              <w:pStyle w:val="13"/>
            </w:pPr>
            <w:r>
              <w:t>31.24</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241001无极县档案馆本级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241001无极县档案馆本级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241001无极县档案馆本级</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无极县档案馆本级2023年单位预算信息公开情况说明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按照《预算法》、《地方预决算公开操作规程》和《关于进一步推进预算公开工作的实施意见》规定，现将无极县档案馆本级2023年单位预算公开如下：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一、根据有关档案工作的政策、法规，制订本县档案工作规章、办法、条例、实施细则，并监督检查实施；组织、指导、检查、监督、协调本县机关各部门、镇、村、街道办事处、社区、事业单位和其他组织的档案业务工作。</w:t>
      </w:r>
    </w:p>
    <w:p>
      <w:pPr>
        <w:pStyle w:val="27"/>
      </w:pPr>
      <w:r>
        <w:t>二、负责集中统一管理县机关的重要档案资料，保守党和国家的机密，维护档案的完整，确保档案资料的安全。</w:t>
      </w:r>
    </w:p>
    <w:p>
      <w:pPr>
        <w:pStyle w:val="27"/>
      </w:pPr>
      <w:r>
        <w:t>三、负责接收、征集、整理、编目、保管县机关的重要档案资料；组织档案技术研究，推动档案管理科学化和现代化建设；做好档案史料编研，为社会提供利用；负责调查、收集、征集散存在社会的档案文件和史料。</w:t>
      </w:r>
    </w:p>
    <w:p>
      <w:pPr>
        <w:pStyle w:val="27"/>
      </w:pPr>
      <w:r>
        <w:t>四、制订全县档案工作人员队伍建设规划，组织全县档案专业教育和档案专业培训工作。</w:t>
      </w:r>
    </w:p>
    <w:p>
      <w:pPr>
        <w:pStyle w:val="27"/>
      </w:pPr>
      <w:r>
        <w:t>五、负责规划和推动全县档案宣传工作，组织全县档案工作的经验交流。</w:t>
      </w:r>
    </w:p>
    <w:p>
      <w:pPr>
        <w:pStyle w:val="27"/>
      </w:pPr>
      <w:r>
        <w:t>六、承办县委、县人民政府交办的其他事宜。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无极县档案馆本级</w:t>
            </w:r>
          </w:p>
        </w:tc>
        <w:tc>
          <w:tcPr>
            <w:tcW w:w="1843" w:type="dxa"/>
            <w:vAlign w:val="center"/>
          </w:tcPr>
          <w:p>
            <w:pPr>
              <w:pStyle w:val="15"/>
            </w:pPr>
            <w:r>
              <w:t>事业</w:t>
            </w:r>
          </w:p>
        </w:tc>
        <w:tc>
          <w:tcPr>
            <w:tcW w:w="2126" w:type="dxa"/>
            <w:vAlign w:val="center"/>
          </w:tcPr>
          <w:p>
            <w:pPr>
              <w:pStyle w:val="15"/>
            </w:pPr>
            <w:r>
              <w:t>正科级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单位预算的编制实行综合预算管理，即全部收入和支出都反映在</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w:t>
      </w:r>
    </w:p>
    <w:p>
      <w:pPr>
        <w:pStyle w:val="28"/>
      </w:pPr>
      <w:r>
        <w:t>1、收入说明</w:t>
      </w:r>
    </w:p>
    <w:p>
      <w:pPr>
        <w:pStyle w:val="28"/>
      </w:pPr>
      <w:r>
        <w:t>反映本</w:t>
      </w:r>
      <w:r>
        <w:rPr>
          <w:rFonts w:hint="eastAsia"/>
          <w:lang w:val="en-US" w:eastAsia="zh-CN"/>
        </w:rPr>
        <w:t>单位</w:t>
      </w:r>
      <w:r>
        <w:t>当年全部收入，2023年</w:t>
      </w:r>
      <w:r>
        <w:rPr>
          <w:rFonts w:hint="eastAsia"/>
          <w:lang w:val="en-US" w:eastAsia="zh-CN"/>
        </w:rPr>
        <w:t>单位</w:t>
      </w:r>
      <w:r>
        <w:t>预算收入总计195.7</w:t>
      </w:r>
      <w:r>
        <w:rPr>
          <w:rFonts w:hint="eastAsia"/>
          <w:lang w:val="en-US" w:eastAsia="zh-CN"/>
        </w:rPr>
        <w:t>6</w:t>
      </w:r>
      <w:r>
        <w:t>万元。其中，一般公共预算收入195.7</w:t>
      </w:r>
      <w:r>
        <w:rPr>
          <w:rFonts w:hint="eastAsia"/>
          <w:lang w:val="en-US" w:eastAsia="zh-CN"/>
        </w:rPr>
        <w:t>6</w:t>
      </w:r>
      <w:r>
        <w:t>万元、政府性基金收入0万元、国有资本经营预算收入0万元、财政专户核拨收入0万元，其他来源收入0万元。</w:t>
      </w:r>
    </w:p>
    <w:p>
      <w:pPr>
        <w:pStyle w:val="28"/>
      </w:pPr>
      <w:r>
        <w:t>2、支出说明</w:t>
      </w:r>
    </w:p>
    <w:p>
      <w:pPr>
        <w:pStyle w:val="28"/>
        <w:rPr>
          <w:rFonts w:hint="eastAsia" w:eastAsia="方正仿宋_GBK"/>
          <w:lang w:eastAsia="zh-CN"/>
        </w:rPr>
      </w:pPr>
      <w:r>
        <w:t>收支预算总表支出栏、基本支出表、项目支出表按经济分类和支出功能分类科目编制，反映本</w:t>
      </w:r>
      <w:r>
        <w:rPr>
          <w:rFonts w:hint="eastAsia"/>
          <w:lang w:val="en-US" w:eastAsia="zh-CN"/>
        </w:rPr>
        <w:t>单位</w:t>
      </w:r>
      <w:r>
        <w:t>年度</w:t>
      </w:r>
      <w:r>
        <w:rPr>
          <w:rFonts w:hint="eastAsia"/>
          <w:lang w:val="en-US" w:eastAsia="zh-CN"/>
        </w:rPr>
        <w:t>单位</w:t>
      </w:r>
      <w:r>
        <w:t>预算中支出预算的总体情况。2023年</w:t>
      </w:r>
      <w:r>
        <w:rPr>
          <w:rFonts w:hint="eastAsia"/>
          <w:lang w:val="en-US" w:eastAsia="zh-CN"/>
        </w:rPr>
        <w:t>单位</w:t>
      </w:r>
      <w:r>
        <w:t>预算支出195.7</w:t>
      </w:r>
      <w:r>
        <w:rPr>
          <w:rFonts w:hint="eastAsia"/>
          <w:lang w:val="en-US" w:eastAsia="zh-CN"/>
        </w:rPr>
        <w:t>6</w:t>
      </w:r>
      <w:r>
        <w:t>万元。其中，</w:t>
      </w:r>
      <w:r>
        <w:rPr>
          <w:rFonts w:hint="eastAsia"/>
          <w:lang w:val="en-US" w:eastAsia="zh-CN"/>
        </w:rPr>
        <w:t>基本支出195.76万元 ，包括</w:t>
      </w:r>
      <w:r>
        <w:t>人员经费支出</w:t>
      </w:r>
      <w:r>
        <w:rPr>
          <w:rFonts w:hint="eastAsia"/>
          <w:lang w:val="en-US" w:eastAsia="zh-CN"/>
        </w:rPr>
        <w:t>180.85</w:t>
      </w:r>
      <w:r>
        <w:t>万元，公用经费</w:t>
      </w:r>
      <w:r>
        <w:rPr>
          <w:rFonts w:hint="eastAsia"/>
          <w:lang w:val="en-US" w:eastAsia="zh-CN"/>
        </w:rPr>
        <w:t>14.91</w:t>
      </w:r>
      <w:r>
        <w:t>万元</w:t>
      </w:r>
      <w:r>
        <w:rPr>
          <w:rFonts w:hint="eastAsia"/>
          <w:lang w:eastAsia="zh-CN"/>
        </w:rPr>
        <w:t>；</w:t>
      </w:r>
      <w:r>
        <w:t>项目支出0万元</w:t>
      </w:r>
      <w:r>
        <w:rPr>
          <w:rFonts w:hint="eastAsia"/>
          <w:lang w:eastAsia="zh-CN"/>
        </w:rPr>
        <w:t>。</w:t>
      </w:r>
    </w:p>
    <w:p>
      <w:pPr>
        <w:pStyle w:val="28"/>
      </w:pPr>
      <w:r>
        <w:t>3、比上年增减情况</w:t>
      </w:r>
    </w:p>
    <w:p>
      <w:pPr>
        <w:pStyle w:val="20"/>
        <w:rPr>
          <w:rFonts w:hint="eastAsia" w:eastAsia="方正仿宋_GBK"/>
          <w:highlight w:val="none"/>
          <w:lang w:eastAsia="zh-CN"/>
        </w:rPr>
      </w:pPr>
      <w:r>
        <w:rPr>
          <w:highlight w:val="none"/>
        </w:rPr>
        <w:t>2023年</w:t>
      </w:r>
      <w:r>
        <w:rPr>
          <w:rFonts w:hint="eastAsia"/>
          <w:highlight w:val="none"/>
          <w:lang w:val="en-US" w:eastAsia="zh-CN"/>
        </w:rPr>
        <w:t>单位</w:t>
      </w:r>
      <w:r>
        <w:rPr>
          <w:highlight w:val="none"/>
        </w:rPr>
        <w:t>预算收支安排</w:t>
      </w:r>
      <w:r>
        <w:rPr>
          <w:rFonts w:hint="eastAsia"/>
          <w:highlight w:val="none"/>
          <w:lang w:val="en-US" w:eastAsia="zh-CN"/>
        </w:rPr>
        <w:t>195.76</w:t>
      </w:r>
      <w:r>
        <w:rPr>
          <w:highlight w:val="none"/>
        </w:rPr>
        <w:t>万元，其中基本支出</w:t>
      </w:r>
      <w:r>
        <w:rPr>
          <w:rFonts w:hint="eastAsia"/>
          <w:highlight w:val="none"/>
          <w:lang w:val="en-US" w:eastAsia="zh-CN"/>
        </w:rPr>
        <w:t>195.76</w:t>
      </w:r>
      <w:r>
        <w:rPr>
          <w:highlight w:val="none"/>
        </w:rPr>
        <w:t>万元，较2022年增加49.8万元，</w:t>
      </w:r>
      <w:r>
        <w:rPr>
          <w:rFonts w:hint="eastAsia"/>
          <w:highlight w:val="none"/>
          <w:lang w:val="en-US" w:eastAsia="zh-CN"/>
        </w:rPr>
        <w:t>主要是人员经费增加</w:t>
      </w:r>
      <w:r>
        <w:rPr>
          <w:rFonts w:hint="eastAsia"/>
          <w:highlight w:val="none"/>
          <w:lang w:eastAsia="zh-CN"/>
        </w:rPr>
        <w:t>；</w:t>
      </w:r>
      <w:r>
        <w:rPr>
          <w:highlight w:val="none"/>
        </w:rPr>
        <w:t>其他支出无增减变化</w:t>
      </w:r>
      <w:r>
        <w:rPr>
          <w:rFonts w:hint="eastAsia"/>
          <w:highlight w:val="none"/>
          <w:lang w:eastAsia="zh-CN"/>
        </w:rP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2023年</w:t>
      </w:r>
      <w:r>
        <w:rPr>
          <w:rFonts w:hint="eastAsia"/>
          <w:lang w:val="en-US" w:eastAsia="zh-CN"/>
        </w:rPr>
        <w:t>本单位</w:t>
      </w:r>
      <w:r>
        <w:t>运行经费安排</w:t>
      </w:r>
      <w:r>
        <w:rPr>
          <w:rFonts w:hint="eastAsia"/>
          <w:lang w:val="en-US" w:eastAsia="zh-CN"/>
        </w:rPr>
        <w:t>14.91</w:t>
      </w:r>
      <w:r>
        <w:t>万元，主要用于保证机关正常运转的办公及印刷费、邮电费、差旅费、水电费、福利费、一般设备购置费、日常维修费、培训费等支出。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ind w:left="0" w:leftChars="0" w:firstLine="560" w:firstLineChars="200"/>
      </w:pPr>
      <w:r>
        <w:t>202</w:t>
      </w:r>
      <w:r>
        <w:rPr>
          <w:rFonts w:hint="eastAsia"/>
          <w:lang w:val="en-US" w:eastAsia="zh-CN"/>
        </w:rPr>
        <w:t>3</w:t>
      </w:r>
      <w:r>
        <w:t>年</w:t>
      </w:r>
      <w:r>
        <w:rPr>
          <w:rFonts w:hint="eastAsia"/>
          <w:lang w:val="en-US" w:eastAsia="zh-CN"/>
        </w:rPr>
        <w:t>本单位</w:t>
      </w:r>
      <w:r>
        <w:t>“三公”经费预算安排0.0万元，与上年持平无增减变化。其中：因公出国经费预算0万元</w:t>
      </w:r>
      <w:r>
        <w:rPr>
          <w:rFonts w:hint="eastAsia"/>
          <w:lang w:val="en-US" w:eastAsia="zh-CN"/>
        </w:rPr>
        <w:t>,与上年持平，原因为未安排</w:t>
      </w:r>
      <w:r>
        <w:t>出国</w:t>
      </w:r>
      <w:r>
        <w:rPr>
          <w:rFonts w:hint="eastAsia"/>
          <w:lang w:eastAsia="zh-CN"/>
        </w:rPr>
        <w:t>（境）</w:t>
      </w:r>
      <w:r>
        <w:t>经费</w:t>
      </w:r>
      <w:r>
        <w:rPr>
          <w:rFonts w:hint="eastAsia"/>
          <w:lang w:eastAsia="zh-CN"/>
        </w:rPr>
        <w:t>；</w:t>
      </w:r>
      <w:r>
        <w:t>预算公务车购置经费预算0万元</w:t>
      </w:r>
      <w:r>
        <w:rPr>
          <w:rFonts w:hint="eastAsia"/>
          <w:lang w:eastAsia="zh-CN"/>
        </w:rPr>
        <w:t>，</w:t>
      </w:r>
      <w:r>
        <w:rPr>
          <w:rFonts w:hint="eastAsia"/>
          <w:lang w:val="en-US" w:eastAsia="zh-CN"/>
        </w:rPr>
        <w:t>与上年持平，原因为未安排公务车购置经费；</w:t>
      </w:r>
      <w:r>
        <w:t>公务车运行经费预算0万元，</w:t>
      </w:r>
      <w:r>
        <w:rPr>
          <w:rFonts w:hint="eastAsia"/>
          <w:lang w:val="en-US" w:eastAsia="zh-CN"/>
        </w:rPr>
        <w:t>与上年持平，原因为本单位没公务用车；</w:t>
      </w:r>
      <w:r>
        <w:t>公务接待预算0万元,</w:t>
      </w:r>
      <w:r>
        <w:rPr>
          <w:rFonts w:hint="eastAsia"/>
          <w:lang w:val="en-US" w:eastAsia="zh-CN"/>
        </w:rPr>
        <w:t>与上年持平，原因为未安排公务接待经费；</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预算绩效信息</w:t>
      </w:r>
    </w:p>
    <w:p>
      <w:pPr>
        <w:numPr>
          <w:numId w:val="0"/>
        </w:numPr>
        <w:spacing w:before="10" w:after="10" w:line="240" w:lineRule="auto"/>
        <w:jc w:val="left"/>
        <w:outlineLvl w:val="5"/>
        <w:rPr>
          <w:rFonts w:ascii="黑体" w:hAnsi="黑体" w:eastAsia="黑体" w:cs="黑体"/>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1、有计划、有步骤地开展对馆藏重点档案的抢救工作，确保档案的有效管理和使用。2、抓好档案接收进馆，不断丰富档案门类，积极接收具有参考价值的各类档案，努力征集具有地方特色的档案资料进馆。3、强化档案为领导决策和部门工作服务，围绕县委、县政府中心工作，选好题，收集好材料，主动为各级领导提供参考。4、加强档案安全工作，建立健全各项规章制度，制定必要的应急预案，确定专人专管。抓好库房保管条件的改造，消除安全隐患。</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（一）重点档案抢救工作</w:t>
      </w:r>
    </w:p>
    <w:p>
      <w:pPr>
        <w:pStyle w:val="24"/>
      </w:pPr>
      <w:r>
        <w:t>绩效目标：开展对馆藏重点档案的抢救工作</w:t>
      </w:r>
      <w:r>
        <w:tab/>
      </w:r>
    </w:p>
    <w:p>
      <w:pPr>
        <w:pStyle w:val="24"/>
      </w:pPr>
      <w:r>
        <w:t>绩效指标：重点档案抢救率≥90%</w:t>
      </w:r>
    </w:p>
    <w:p>
      <w:pPr>
        <w:pStyle w:val="24"/>
      </w:pPr>
      <w:r>
        <w:t>（二）档案接收、整理工作</w:t>
      </w:r>
    </w:p>
    <w:p>
      <w:pPr>
        <w:pStyle w:val="24"/>
      </w:pPr>
      <w:r>
        <w:t>绩效目标：档案整理、移交、接收、管理工作</w:t>
      </w:r>
    </w:p>
    <w:p>
      <w:pPr>
        <w:pStyle w:val="24"/>
      </w:pPr>
      <w:r>
        <w:t>绩效指标：档案整理、移交、接收、管理、保存完成90%</w:t>
      </w:r>
    </w:p>
    <w:p>
      <w:pPr>
        <w:pStyle w:val="24"/>
      </w:pPr>
      <w:r>
        <w:t>（三）档案查阅利用工作</w:t>
      </w:r>
    </w:p>
    <w:p>
      <w:pPr>
        <w:pStyle w:val="24"/>
      </w:pPr>
      <w:r>
        <w:t>绩效目标：主动为社会和各级领导提供利用</w:t>
      </w:r>
    </w:p>
    <w:p>
      <w:pPr>
        <w:pStyle w:val="24"/>
      </w:pPr>
      <w:r>
        <w:t>绩效指标：档案查准确数量占备查档案总量的95%</w:t>
      </w:r>
    </w:p>
    <w:p>
      <w:pPr>
        <w:pStyle w:val="24"/>
      </w:pPr>
      <w:r>
        <w:t>（四）档案接收、整理工作</w:t>
      </w:r>
    </w:p>
    <w:p>
      <w:pPr>
        <w:pStyle w:val="24"/>
      </w:pPr>
      <w:r>
        <w:t>绩效目标：档案整理、移交、接收、管理工作</w:t>
      </w:r>
    </w:p>
    <w:p>
      <w:pPr>
        <w:pStyle w:val="24"/>
      </w:pPr>
      <w:r>
        <w:t>绩效指标：档案整理、移交、接收、管理、保存完成90%</w:t>
      </w:r>
    </w:p>
    <w:p>
      <w:pPr>
        <w:pStyle w:val="24"/>
      </w:pPr>
      <w:r>
        <w:t>（五）档案查阅利用工作</w:t>
      </w:r>
    </w:p>
    <w:p>
      <w:pPr>
        <w:pStyle w:val="24"/>
      </w:pPr>
      <w:r>
        <w:t>绩效目标：主动为社会和各级领导提供利用</w:t>
      </w:r>
    </w:p>
    <w:p>
      <w:pPr>
        <w:pStyle w:val="24"/>
      </w:pPr>
      <w:r>
        <w:t>绩效指标：档案查准确数量占备查档案总量的95%</w:t>
      </w:r>
    </w:p>
    <w:p>
      <w:pPr>
        <w:pStyle w:val="24"/>
      </w:pPr>
      <w:r>
        <w:t>（六）档案安全工作</w:t>
      </w:r>
    </w:p>
    <w:p>
      <w:pPr>
        <w:pStyle w:val="24"/>
      </w:pPr>
      <w:r>
        <w:t>绩效目标：加强档案安全工作，改善库房保管条件，消除安全隐患</w:t>
      </w:r>
    </w:p>
    <w:p>
      <w:pPr>
        <w:pStyle w:val="24"/>
      </w:pPr>
      <w:r>
        <w:t>绩效指标：档案资料完好数量占档案资料总量的95%</w:t>
      </w:r>
    </w:p>
    <w:p>
      <w:pPr>
        <w:pStyle w:val="24"/>
      </w:pPr>
      <w:r>
        <w:t>（七）档案安全工作</w:t>
      </w:r>
    </w:p>
    <w:p>
      <w:pPr>
        <w:pStyle w:val="24"/>
      </w:pPr>
      <w:r>
        <w:t>绩效目标：加强档案安全工作，改善库房保管条件，消除安全隐患</w:t>
      </w:r>
    </w:p>
    <w:p>
      <w:pPr>
        <w:pStyle w:val="24"/>
      </w:pPr>
      <w:r>
        <w:t>绩效指标：档案资料完好数量占档案资料总量的95%</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1、完善制度建设。制定完善预算绩效管理制度、资金管理办法、工作保障制度等，为全年预算绩效目标的实现奠定制度基础。</w:t>
      </w:r>
    </w:p>
    <w:p>
      <w:pPr>
        <w:pStyle w:val="25"/>
      </w:pPr>
      <w:r>
        <w:t>2、加强支出管理。通过优化支出结构、编细编实预算、加快履行政府采购手续、尽快启动项目、及时支付资金、6月底前细化代编预算、按规定及时下达资金等多种措施，确保支出进度达标。</w:t>
      </w:r>
    </w:p>
    <w:p>
      <w:pPr>
        <w:pStyle w:val="25"/>
      </w:pPr>
      <w:r>
        <w:t>3、加强绩效运行监控。按要求开展绩效运行监控，发现问题及时采取措施，确保绩效目标如期保质实现。</w:t>
      </w:r>
    </w:p>
    <w:p>
      <w:pPr>
        <w:pStyle w:val="25"/>
      </w:pPr>
      <w:r>
        <w:t>4、做好绩效自评。按要求开展上年度部门预算绩效自评和重点评价工作，对评价中发现的问题及时整改，调整优化支出结构，提高财政资金使用效益。</w:t>
      </w:r>
    </w:p>
    <w:p>
      <w:pPr>
        <w:pStyle w:val="25"/>
      </w:pPr>
      <w:r>
        <w:t>5、规范财务资产管理。完善财务管理制度，严格审批程序，加强固定资产登记、使用和报废处置管理，做到支出合理，物尽其用。</w:t>
      </w:r>
    </w:p>
    <w:p>
      <w:pPr>
        <w:pStyle w:val="25"/>
      </w:pPr>
      <w:r>
        <w:t>6、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5"/>
      </w:pPr>
      <w:r>
        <w:t>7、加强宣传培训调研等。加强人员培训，提高本部门职工业务素质；加强调研，提出优化财政资金配置、提高资金使用效益的意见意见；加大宣传力度，强化预算绩效管理意识，促进预算绩效管理水平进一步提升。</w:t>
      </w:r>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第二部分  专项资金绩效目标</w:t>
      </w:r>
    </w:p>
    <w:p>
      <w:pPr>
        <w:spacing w:before="0" w:after="0" w:line="240" w:lineRule="auto"/>
        <w:ind w:firstLine="640"/>
        <w:jc w:val="left"/>
        <w:outlineLvl w:val="9"/>
        <w:rPr>
          <w:rFonts w:hint="eastAsia" w:ascii="方正楷体_GBK" w:hAnsi="方正楷体_GBK" w:eastAsia="方正楷体_GBK" w:cs="方正楷体_GBK"/>
          <w:b w:val="0"/>
          <w:bCs/>
          <w:color w:val="000000"/>
          <w:sz w:val="32"/>
          <w:lang w:val="en-US" w:eastAsia="zh-CN"/>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pPr>
        <w:numPr>
          <w:ilvl w:val="0"/>
          <w:numId w:val="2"/>
        </w:num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预算项目绩效目标</w:t>
      </w:r>
    </w:p>
    <w:p>
      <w:pPr>
        <w:numPr>
          <w:ilvl w:val="0"/>
          <w:numId w:val="0"/>
        </w:numPr>
        <w:spacing w:before="0" w:after="0" w:line="240" w:lineRule="auto"/>
        <w:ind w:firstLine="560" w:firstLineChars="200"/>
        <w:jc w:val="left"/>
        <w:outlineLvl w:val="9"/>
        <w:rPr>
          <w:rFonts w:hint="eastAsia" w:ascii="Times New Roman" w:hAnsi="Times New Roman" w:eastAsia="方正仿宋_GBK" w:cs="Times New Roman"/>
          <w:sz w:val="28"/>
          <w:szCs w:val="24"/>
          <w:lang w:val="en-US" w:eastAsia="zh-CN" w:bidi="ar-SA"/>
        </w:rPr>
      </w:pPr>
    </w:p>
    <w:p>
      <w:pPr>
        <w:numPr>
          <w:ilvl w:val="0"/>
          <w:numId w:val="0"/>
        </w:numPr>
        <w:spacing w:before="0" w:after="0" w:line="240" w:lineRule="auto"/>
        <w:ind w:firstLine="560" w:firstLineChars="200"/>
        <w:jc w:val="left"/>
        <w:outlineLvl w:val="9"/>
        <w:rPr>
          <w:rFonts w:hint="default"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eastAsia="方正仿宋_GBK" w:cs="Times New Roman"/>
          <w:sz w:val="28"/>
          <w:szCs w:val="24"/>
          <w:lang w:val="en-US" w:eastAsia="zh-CN" w:bidi="ar-SA"/>
        </w:rPr>
        <w:t>无</w:t>
      </w:r>
    </w:p>
    <w:p>
      <w:pPr>
        <w:spacing w:before="10" w:after="10" w:line="240" w:lineRule="auto"/>
        <w:ind w:firstLine="640"/>
        <w:jc w:val="left"/>
        <w:outlineLvl w:val="5"/>
      </w:pPr>
      <w:bookmarkStart w:id="1" w:name="_GoBack"/>
      <w:bookmarkEnd w:id="1"/>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2023年，无极县档案馆本级安排政府采购预算0.00万元。具体内容见下表。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241001无极县档案馆本级</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无极县档案馆本级上年末固定资产金额为</w:t>
      </w:r>
      <w:r>
        <w:rPr>
          <w:rFonts w:hint="eastAsia" w:eastAsia="方正仿宋_GBK" w:cs="Times New Roman"/>
          <w:b w:val="0"/>
          <w:color w:val="000000"/>
          <w:sz w:val="28"/>
          <w:lang w:val="en-US" w:eastAsia="zh-CN"/>
        </w:rPr>
        <w:t>105.08</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0</w:t>
      </w:r>
      <w:r>
        <w:rPr>
          <w:rFonts w:ascii="Times New Roman" w:hAnsi="Times New Roman" w:eastAsia="方正仿宋_GBK" w:cs="Times New Roman"/>
          <w:b w:val="0"/>
          <w:color w:val="000000"/>
          <w:sz w:val="28"/>
        </w:rPr>
        <w:t>万元</w:t>
      </w:r>
      <w:r>
        <w:rPr>
          <w:rFonts w:hint="eastAsia" w:eastAsia="方正仿宋_GBK" w:cs="Times New Roman"/>
          <w:b w:val="0"/>
          <w:color w:val="000000"/>
          <w:sz w:val="28"/>
          <w:lang w:eastAsia="zh-CN"/>
        </w:rPr>
        <w:t>。</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241001无极县档案馆本级</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rPr>
                <w:rFonts w:hint="default" w:eastAsia="方正书宋_GBK"/>
                <w:lang w:val="en-US" w:eastAsia="zh-CN"/>
              </w:rPr>
            </w:pPr>
            <w:r>
              <w:rPr>
                <w:rFonts w:hint="eastAsia"/>
                <w:lang w:val="en-US" w:eastAsia="zh-CN"/>
              </w:rPr>
              <w:t>105.08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rPr>
                <w:rFonts w:hint="default" w:eastAsia="方正书宋_GBK"/>
                <w:lang w:val="en-US" w:eastAsia="zh-CN"/>
              </w:rPr>
            </w:pPr>
            <w:r>
              <w:rPr>
                <w:rFonts w:hint="eastAsia"/>
                <w:lang w:val="en-US" w:eastAsia="zh-CN"/>
              </w:rPr>
              <w:t>105.08</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026B4A4"/>
    <w:multiLevelType w:val="singleLevel"/>
    <w:tmpl w:val="F026B4A4"/>
    <w:lvl w:ilvl="0" w:tentative="0">
      <w:start w:val="3"/>
      <w:numFmt w:val="chineseCounting"/>
      <w:suff w:val="space"/>
      <w:lvlText w:val="第%1部分"/>
      <w:lvlJc w:val="left"/>
      <w:rPr>
        <w:rFonts w:hint="eastAsia"/>
      </w:rPr>
    </w:lvl>
  </w:abstractNum>
  <w:abstractNum w:abstractNumId="1">
    <w:nsid w:val="1CB98974"/>
    <w:multiLevelType w:val="singleLevel"/>
    <w:tmpl w:val="1CB98974"/>
    <w:lvl w:ilvl="0" w:tentative="0">
      <w:start w:val="5"/>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mZmMWQ1YjEyYTlkMzhlYWY0NDA3MmU0MjllNjQxYWIifQ=="/>
  </w:docVars>
  <w:rsids>
    <w:rsidRoot w:val="00000000"/>
    <w:rsid w:val="04AE0562"/>
    <w:rsid w:val="08B35053"/>
    <w:rsid w:val="0BB7271A"/>
    <w:rsid w:val="10DD3E69"/>
    <w:rsid w:val="144602A7"/>
    <w:rsid w:val="174B6352"/>
    <w:rsid w:val="241B55B0"/>
    <w:rsid w:val="28124ACC"/>
    <w:rsid w:val="2EB765A5"/>
    <w:rsid w:val="30E50B1D"/>
    <w:rsid w:val="31EC3FAF"/>
    <w:rsid w:val="423C446D"/>
    <w:rsid w:val="449924DA"/>
    <w:rsid w:val="4F42133E"/>
    <w:rsid w:val="562B5104"/>
    <w:rsid w:val="578C5C56"/>
    <w:rsid w:val="5A733572"/>
    <w:rsid w:val="675D1C3B"/>
    <w:rsid w:val="71CA3EA6"/>
    <w:rsid w:val="785F64A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2023-04-24T16:54:16Z</dcterms:created>
  <dcterms:modified xsi:type="dcterms:W3CDTF">2023-04-24T08:54:16Z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2023-04-24T16:54:17Z</dcterms:created>
  <dcterms:modified xsi:type="dcterms:W3CDTF">2023-04-24T08:54:17Z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2023-04-24T16:54:12Z</dcterms:created>
  <dcterms:modified xsi:type="dcterms:W3CDTF">2023-04-24T08:54:11Z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2023-04-24T16:54:12Z</dcterms:created>
  <dcterms:modified xsi:type="dcterms:W3CDTF">2023-04-24T08:54:12Z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2023-04-24T16:54:12Z</dcterms:created>
  <dcterms:modified xsi:type="dcterms:W3CDTF">2023-04-24T08:54:12Z</dcterms:modified>
</cp:coreProperties>
</file>

<file path=customXml/itemProps1.xml><?xml version="1.0" encoding="utf-8"?>
<ds:datastoreItem xmlns:ds="http://schemas.openxmlformats.org/officeDocument/2006/customXml" ds:itemID="{d4ef878d-972a-4dc0-b820-8f34478f001d}">
  <ds:schemaRefs/>
</ds:datastoreItem>
</file>

<file path=customXml/itemProps10.xml><?xml version="1.0" encoding="utf-8"?>
<ds:datastoreItem xmlns:ds="http://schemas.openxmlformats.org/officeDocument/2006/customXml" ds:itemID="{c385c7fa-efe7-49d7-8521-dacc3ac6287f}">
  <ds:schemaRefs/>
</ds:datastoreItem>
</file>

<file path=customXml/itemProps2.xml><?xml version="1.0" encoding="utf-8"?>
<ds:datastoreItem xmlns:ds="http://schemas.openxmlformats.org/officeDocument/2006/customXml" ds:itemID="{3af9e50d-e7a6-463f-8ae7-ef863f0cd8d8}">
  <ds:schemaRefs/>
</ds:datastoreItem>
</file>

<file path=customXml/itemProps3.xml><?xml version="1.0" encoding="utf-8"?>
<ds:datastoreItem xmlns:ds="http://schemas.openxmlformats.org/officeDocument/2006/customXml" ds:itemID="{463f0327-46e8-4da4-9963-fbc4902c9500}">
  <ds:schemaRefs/>
</ds:datastoreItem>
</file>

<file path=customXml/itemProps4.xml><?xml version="1.0" encoding="utf-8"?>
<ds:datastoreItem xmlns:ds="http://schemas.openxmlformats.org/officeDocument/2006/customXml" ds:itemID="{57a43733-3916-49d0-a3c2-37c28256e42e}">
  <ds:schemaRefs/>
</ds:datastoreItem>
</file>

<file path=customXml/itemProps5.xml><?xml version="1.0" encoding="utf-8"?>
<ds:datastoreItem xmlns:ds="http://schemas.openxmlformats.org/officeDocument/2006/customXml" ds:itemID="{56779e8d-1706-4944-83b2-fa3824bc1a2e}">
  <ds:schemaRefs/>
</ds:datastoreItem>
</file>

<file path=customXml/itemProps6.xml><?xml version="1.0" encoding="utf-8"?>
<ds:datastoreItem xmlns:ds="http://schemas.openxmlformats.org/officeDocument/2006/customXml" ds:itemID="{f496a540-d741-4acf-ad80-d73464dcac59}">
  <ds:schemaRefs/>
</ds:datastoreItem>
</file>

<file path=customXml/itemProps7.xml><?xml version="1.0" encoding="utf-8"?>
<ds:datastoreItem xmlns:ds="http://schemas.openxmlformats.org/officeDocument/2006/customXml" ds:itemID="{124c7670-8d20-443e-9fcb-766307fdd00b}">
  <ds:schemaRefs/>
</ds:datastoreItem>
</file>

<file path=customXml/itemProps8.xml><?xml version="1.0" encoding="utf-8"?>
<ds:datastoreItem xmlns:ds="http://schemas.openxmlformats.org/officeDocument/2006/customXml" ds:itemID="{5c76a34e-8591-414c-81a2-52964e210183}">
  <ds:schemaRefs/>
</ds:datastoreItem>
</file>

<file path=customXml/itemProps9.xml><?xml version="1.0" encoding="utf-8"?>
<ds:datastoreItem xmlns:ds="http://schemas.openxmlformats.org/officeDocument/2006/customXml" ds:itemID="{50207206-0042-4050-b5aa-fd2071104fe3}">
  <ds:schemaRefs/>
</ds:datastoreItem>
</file>

<file path=docProps/app.xml><?xml version="1.0" encoding="utf-8"?>
<Properties xmlns="http://schemas.openxmlformats.org/officeDocument/2006/extended-properties" xmlns:vt="http://schemas.openxmlformats.org/officeDocument/2006/docPropsVTypes">
  <Pages>29</Pages>
  <Words>4398</Words>
  <Characters>5391</Characters>
  <TotalTime>0</TotalTime>
  <ScaleCrop>false</ScaleCrop>
  <LinksUpToDate>false</LinksUpToDate>
  <CharactersWithSpaces>5507</CharactersWithSpaces>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2023-04-24T16:54:00Z</dcterms:created>
  <dc:creator>Administrator</dc:creator>
  <cp:lastModifiedBy>Administrator</cp:lastModifiedBy>
  <dcterms:modified xsi:type="dcterms:W3CDTF">2023-09-03T03:05:12Z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6BE9F90E5D2446D3932D9450FC649C8D</vt:lpwstr>
  </property>
</Properties>
</file>