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一、无极县科学技术协会本级收支预算</w:t>
      </w:r>
      <w:r>
        <w:tab/>
      </w:r>
      <w:r>
        <w:fldChar w:fldCharType="begin"/>
      </w:r>
      <w:r>
        <w:instrText xml:space="preserve">PAGEREF _Toc_4_4_0000000019 \h</w:instrText>
      </w:r>
      <w:r>
        <w:fldChar w:fldCharType="separate"/>
      </w:r>
      <w:r>
        <w:t>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bookmarkStart w:id="0" w:name="_Toc_4_4_0000000019"/>
      <w:r>
        <w:rPr>
          <w:rFonts w:ascii="方正小标宋_GBK" w:hAnsi="方正小标宋_GBK" w:eastAsia="方正小标宋_GBK" w:cs="方正小标宋_GBK"/>
          <w:b w:val="0"/>
          <w:color w:val="000000"/>
          <w:sz w:val="44"/>
        </w:rPr>
        <w:t>一、无极县科学技术协会本级收支预算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731001无极县科学技术协会本级</w:t>
            </w:r>
          </w:p>
        </w:tc>
        <w:tc>
          <w:tcPr>
            <w:tcW w:w="2959" w:type="dxa"/>
            <w:tcBorders>
              <w:top w:val="single" w:color="FFFFFF" w:sz="6" w:space="0"/>
              <w:left w:val="single" w:color="FFFFFF" w:sz="6" w:space="0"/>
              <w:right w:val="single" w:color="FFFFFF" w:sz="6" w:space="0"/>
            </w:tcBorders>
            <w:vAlign w:val="center"/>
          </w:tcPr>
          <w:p>
            <w:pPr>
              <w:pStyle w:val="10"/>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80.68</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r>
              <w:t>67.17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r>
              <w:t>13.51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80.68</w:t>
            </w:r>
          </w:p>
        </w:tc>
        <w:tc>
          <w:tcPr>
            <w:tcW w:w="2959" w:type="dxa"/>
            <w:vAlign w:val="center"/>
          </w:tcPr>
          <w:p>
            <w:pPr>
              <w:pStyle w:val="16"/>
            </w:pPr>
            <w:r>
              <w:t>本年支出合计</w:t>
            </w:r>
          </w:p>
        </w:tc>
        <w:tc>
          <w:tcPr>
            <w:tcW w:w="2959" w:type="dxa"/>
            <w:vAlign w:val="center"/>
          </w:tcPr>
          <w:p>
            <w:pPr>
              <w:pStyle w:val="17"/>
            </w:pPr>
            <w:r>
              <w:t>80.68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80.68</w:t>
            </w:r>
          </w:p>
        </w:tc>
        <w:tc>
          <w:tcPr>
            <w:tcW w:w="2959" w:type="dxa"/>
            <w:vAlign w:val="center"/>
          </w:tcPr>
          <w:p>
            <w:pPr>
              <w:pStyle w:val="16"/>
            </w:pPr>
            <w:r>
              <w:t>支出总计</w:t>
            </w:r>
          </w:p>
        </w:tc>
        <w:tc>
          <w:tcPr>
            <w:tcW w:w="2959" w:type="dxa"/>
            <w:vAlign w:val="center"/>
          </w:tcPr>
          <w:p>
            <w:pPr>
              <w:pStyle w:val="17"/>
            </w:pPr>
            <w:r>
              <w:t>80.68</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731001无极县科学技术协会本级</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80.68</w:t>
            </w:r>
          </w:p>
        </w:tc>
        <w:tc>
          <w:tcPr>
            <w:tcW w:w="758" w:type="dxa"/>
            <w:vAlign w:val="center"/>
          </w:tcPr>
          <w:p>
            <w:pPr>
              <w:pStyle w:val="17"/>
            </w:pPr>
            <w:r>
              <w:t>80.68</w:t>
            </w:r>
          </w:p>
        </w:tc>
        <w:tc>
          <w:tcPr>
            <w:tcW w:w="758" w:type="dxa"/>
            <w:vAlign w:val="center"/>
          </w:tcPr>
          <w:p>
            <w:pPr>
              <w:pStyle w:val="17"/>
            </w:pPr>
            <w:r>
              <w:t>80.68</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206</w:t>
            </w:r>
          </w:p>
        </w:tc>
        <w:tc>
          <w:tcPr>
            <w:tcW w:w="758" w:type="dxa"/>
            <w:vAlign w:val="center"/>
          </w:tcPr>
          <w:p>
            <w:pPr>
              <w:pStyle w:val="14"/>
            </w:pPr>
            <w:r>
              <w:t>科学技术支出</w:t>
            </w:r>
          </w:p>
        </w:tc>
        <w:tc>
          <w:tcPr>
            <w:tcW w:w="758" w:type="dxa"/>
            <w:vAlign w:val="center"/>
          </w:tcPr>
          <w:p>
            <w:pPr>
              <w:pStyle w:val="13"/>
            </w:pPr>
            <w:r>
              <w:t>67.17</w:t>
            </w:r>
          </w:p>
        </w:tc>
        <w:tc>
          <w:tcPr>
            <w:tcW w:w="758" w:type="dxa"/>
            <w:vAlign w:val="center"/>
          </w:tcPr>
          <w:p>
            <w:pPr>
              <w:pStyle w:val="13"/>
            </w:pPr>
            <w:r>
              <w:t>67.17</w:t>
            </w:r>
          </w:p>
        </w:tc>
        <w:tc>
          <w:tcPr>
            <w:tcW w:w="758" w:type="dxa"/>
            <w:vAlign w:val="center"/>
          </w:tcPr>
          <w:p>
            <w:pPr>
              <w:pStyle w:val="13"/>
            </w:pPr>
            <w:r>
              <w:t>67.17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20607</w:t>
            </w:r>
          </w:p>
        </w:tc>
        <w:tc>
          <w:tcPr>
            <w:tcW w:w="758" w:type="dxa"/>
            <w:vAlign w:val="center"/>
          </w:tcPr>
          <w:p>
            <w:pPr>
              <w:pStyle w:val="14"/>
            </w:pPr>
            <w:r>
              <w:t>科学技术普及</w:t>
            </w:r>
          </w:p>
        </w:tc>
        <w:tc>
          <w:tcPr>
            <w:tcW w:w="758" w:type="dxa"/>
            <w:vAlign w:val="center"/>
          </w:tcPr>
          <w:p>
            <w:pPr>
              <w:pStyle w:val="13"/>
            </w:pPr>
            <w:r>
              <w:t>67.17</w:t>
            </w:r>
          </w:p>
        </w:tc>
        <w:tc>
          <w:tcPr>
            <w:tcW w:w="758" w:type="dxa"/>
            <w:vAlign w:val="center"/>
          </w:tcPr>
          <w:p>
            <w:pPr>
              <w:pStyle w:val="13"/>
            </w:pPr>
            <w:r>
              <w:t>67.17</w:t>
            </w:r>
          </w:p>
        </w:tc>
        <w:tc>
          <w:tcPr>
            <w:tcW w:w="758" w:type="dxa"/>
            <w:vAlign w:val="center"/>
          </w:tcPr>
          <w:p>
            <w:pPr>
              <w:pStyle w:val="13"/>
            </w:pPr>
            <w:r>
              <w:t>67.17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2060701</w:t>
            </w:r>
          </w:p>
        </w:tc>
        <w:tc>
          <w:tcPr>
            <w:tcW w:w="758" w:type="dxa"/>
            <w:vAlign w:val="center"/>
          </w:tcPr>
          <w:p>
            <w:pPr>
              <w:pStyle w:val="14"/>
            </w:pPr>
            <w:r>
              <w:t>机构运行</w:t>
            </w:r>
          </w:p>
        </w:tc>
        <w:tc>
          <w:tcPr>
            <w:tcW w:w="758" w:type="dxa"/>
            <w:vAlign w:val="center"/>
          </w:tcPr>
          <w:p>
            <w:pPr>
              <w:pStyle w:val="13"/>
            </w:pPr>
            <w:r>
              <w:t>67.17</w:t>
            </w:r>
          </w:p>
        </w:tc>
        <w:tc>
          <w:tcPr>
            <w:tcW w:w="758" w:type="dxa"/>
            <w:vAlign w:val="center"/>
          </w:tcPr>
          <w:p>
            <w:pPr>
              <w:pStyle w:val="13"/>
            </w:pPr>
            <w:r>
              <w:t>67.17</w:t>
            </w:r>
          </w:p>
        </w:tc>
        <w:tc>
          <w:tcPr>
            <w:tcW w:w="758" w:type="dxa"/>
            <w:vAlign w:val="center"/>
          </w:tcPr>
          <w:p>
            <w:pPr>
              <w:pStyle w:val="13"/>
            </w:pPr>
            <w:r>
              <w:t>67.17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13.51</w:t>
            </w:r>
          </w:p>
        </w:tc>
        <w:tc>
          <w:tcPr>
            <w:tcW w:w="758" w:type="dxa"/>
            <w:vAlign w:val="center"/>
          </w:tcPr>
          <w:p>
            <w:pPr>
              <w:pStyle w:val="13"/>
            </w:pPr>
            <w:r>
              <w:t>13.51</w:t>
            </w:r>
          </w:p>
        </w:tc>
        <w:tc>
          <w:tcPr>
            <w:tcW w:w="758" w:type="dxa"/>
            <w:vAlign w:val="center"/>
          </w:tcPr>
          <w:p>
            <w:pPr>
              <w:pStyle w:val="13"/>
            </w:pPr>
            <w:r>
              <w:t>13.51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13.51</w:t>
            </w:r>
          </w:p>
        </w:tc>
        <w:tc>
          <w:tcPr>
            <w:tcW w:w="758" w:type="dxa"/>
            <w:vAlign w:val="center"/>
          </w:tcPr>
          <w:p>
            <w:pPr>
              <w:pStyle w:val="13"/>
            </w:pPr>
            <w:r>
              <w:t>13.51</w:t>
            </w:r>
          </w:p>
        </w:tc>
        <w:tc>
          <w:tcPr>
            <w:tcW w:w="758" w:type="dxa"/>
            <w:vAlign w:val="center"/>
          </w:tcPr>
          <w:p>
            <w:pPr>
              <w:pStyle w:val="13"/>
            </w:pPr>
            <w:r>
              <w:t>13.51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13.51</w:t>
            </w:r>
          </w:p>
        </w:tc>
        <w:tc>
          <w:tcPr>
            <w:tcW w:w="758" w:type="dxa"/>
            <w:vAlign w:val="center"/>
          </w:tcPr>
          <w:p>
            <w:pPr>
              <w:pStyle w:val="13"/>
            </w:pPr>
            <w:r>
              <w:t>13.51</w:t>
            </w:r>
          </w:p>
        </w:tc>
        <w:tc>
          <w:tcPr>
            <w:tcW w:w="758" w:type="dxa"/>
            <w:vAlign w:val="center"/>
          </w:tcPr>
          <w:p>
            <w:pPr>
              <w:pStyle w:val="13"/>
            </w:pPr>
            <w:r>
              <w:t>13.51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731001无极县科学技术协会本级</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80.68</w:t>
            </w:r>
          </w:p>
        </w:tc>
        <w:tc>
          <w:tcPr>
            <w:tcW w:w="1095" w:type="dxa"/>
            <w:vAlign w:val="center"/>
          </w:tcPr>
          <w:p>
            <w:pPr>
              <w:pStyle w:val="17"/>
            </w:pPr>
            <w:r>
              <w:t>80.68</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206</w:t>
            </w:r>
          </w:p>
        </w:tc>
        <w:tc>
          <w:tcPr>
            <w:tcW w:w="1095" w:type="dxa"/>
            <w:vAlign w:val="center"/>
          </w:tcPr>
          <w:p>
            <w:pPr>
              <w:pStyle w:val="14"/>
            </w:pPr>
            <w:r>
              <w:t>科学技术支出</w:t>
            </w:r>
          </w:p>
        </w:tc>
        <w:tc>
          <w:tcPr>
            <w:tcW w:w="1095" w:type="dxa"/>
            <w:vAlign w:val="center"/>
          </w:tcPr>
          <w:p>
            <w:pPr>
              <w:pStyle w:val="13"/>
            </w:pPr>
            <w:r>
              <w:t>67.17</w:t>
            </w:r>
          </w:p>
        </w:tc>
        <w:tc>
          <w:tcPr>
            <w:tcW w:w="1095" w:type="dxa"/>
            <w:vAlign w:val="center"/>
          </w:tcPr>
          <w:p>
            <w:pPr>
              <w:pStyle w:val="13"/>
            </w:pPr>
            <w:r>
              <w:t>67.17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20607</w:t>
            </w:r>
          </w:p>
        </w:tc>
        <w:tc>
          <w:tcPr>
            <w:tcW w:w="1095" w:type="dxa"/>
            <w:vAlign w:val="center"/>
          </w:tcPr>
          <w:p>
            <w:pPr>
              <w:pStyle w:val="14"/>
            </w:pPr>
            <w:r>
              <w:t>科学技术普及</w:t>
            </w:r>
          </w:p>
        </w:tc>
        <w:tc>
          <w:tcPr>
            <w:tcW w:w="1095" w:type="dxa"/>
            <w:vAlign w:val="center"/>
          </w:tcPr>
          <w:p>
            <w:pPr>
              <w:pStyle w:val="13"/>
            </w:pPr>
            <w:r>
              <w:t>67.17</w:t>
            </w:r>
          </w:p>
        </w:tc>
        <w:tc>
          <w:tcPr>
            <w:tcW w:w="1095" w:type="dxa"/>
            <w:vAlign w:val="center"/>
          </w:tcPr>
          <w:p>
            <w:pPr>
              <w:pStyle w:val="13"/>
            </w:pPr>
            <w:r>
              <w:t>67.17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2060701</w:t>
            </w:r>
          </w:p>
        </w:tc>
        <w:tc>
          <w:tcPr>
            <w:tcW w:w="1095" w:type="dxa"/>
            <w:vAlign w:val="center"/>
          </w:tcPr>
          <w:p>
            <w:pPr>
              <w:pStyle w:val="14"/>
            </w:pPr>
            <w:r>
              <w:t>机构运行</w:t>
            </w:r>
          </w:p>
        </w:tc>
        <w:tc>
          <w:tcPr>
            <w:tcW w:w="1095" w:type="dxa"/>
            <w:vAlign w:val="center"/>
          </w:tcPr>
          <w:p>
            <w:pPr>
              <w:pStyle w:val="13"/>
            </w:pPr>
            <w:r>
              <w:t>67.17</w:t>
            </w:r>
          </w:p>
        </w:tc>
        <w:tc>
          <w:tcPr>
            <w:tcW w:w="1095" w:type="dxa"/>
            <w:vAlign w:val="center"/>
          </w:tcPr>
          <w:p>
            <w:pPr>
              <w:pStyle w:val="13"/>
            </w:pPr>
            <w:r>
              <w:t>67.17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13.51</w:t>
            </w:r>
          </w:p>
        </w:tc>
        <w:tc>
          <w:tcPr>
            <w:tcW w:w="1095" w:type="dxa"/>
            <w:vAlign w:val="center"/>
          </w:tcPr>
          <w:p>
            <w:pPr>
              <w:pStyle w:val="13"/>
            </w:pPr>
            <w:r>
              <w:t>13.51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pPr>
            <w:r>
              <w:t>13.51</w:t>
            </w:r>
          </w:p>
        </w:tc>
        <w:tc>
          <w:tcPr>
            <w:tcW w:w="1095" w:type="dxa"/>
            <w:vAlign w:val="center"/>
          </w:tcPr>
          <w:p>
            <w:pPr>
              <w:pStyle w:val="13"/>
            </w:pPr>
            <w:r>
              <w:t>13.51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13.51</w:t>
            </w:r>
          </w:p>
        </w:tc>
        <w:tc>
          <w:tcPr>
            <w:tcW w:w="1095" w:type="dxa"/>
            <w:vAlign w:val="center"/>
          </w:tcPr>
          <w:p>
            <w:pPr>
              <w:pStyle w:val="13"/>
            </w:pPr>
            <w:r>
              <w:t>13.51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731001无极县科学技术协会本级</w:t>
            </w:r>
          </w:p>
        </w:tc>
        <w:tc>
          <w:tcPr>
            <w:tcW w:w="1232"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80.68</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r>
              <w:t>67.17</w:t>
            </w:r>
          </w:p>
        </w:tc>
        <w:tc>
          <w:tcPr>
            <w:tcW w:w="1232" w:type="dxa"/>
            <w:vAlign w:val="center"/>
          </w:tcPr>
          <w:p>
            <w:pPr>
              <w:pStyle w:val="13"/>
            </w:pPr>
            <w:r>
              <w:t>67.17</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13.51</w:t>
            </w:r>
          </w:p>
        </w:tc>
        <w:tc>
          <w:tcPr>
            <w:tcW w:w="1232" w:type="dxa"/>
            <w:vAlign w:val="center"/>
          </w:tcPr>
          <w:p>
            <w:pPr>
              <w:pStyle w:val="13"/>
            </w:pPr>
            <w:r>
              <w:t>13.51</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80.68</w:t>
            </w:r>
          </w:p>
        </w:tc>
        <w:tc>
          <w:tcPr>
            <w:tcW w:w="1232" w:type="dxa"/>
            <w:vAlign w:val="center"/>
          </w:tcPr>
          <w:p>
            <w:pPr>
              <w:pStyle w:val="16"/>
            </w:pPr>
            <w:r>
              <w:t>本年支出合计</w:t>
            </w:r>
          </w:p>
        </w:tc>
        <w:tc>
          <w:tcPr>
            <w:tcW w:w="1232" w:type="dxa"/>
            <w:vAlign w:val="center"/>
          </w:tcPr>
          <w:p>
            <w:pPr>
              <w:pStyle w:val="17"/>
            </w:pPr>
            <w:r>
              <w:t>80.68</w:t>
            </w:r>
          </w:p>
        </w:tc>
        <w:tc>
          <w:tcPr>
            <w:tcW w:w="1232" w:type="dxa"/>
            <w:vAlign w:val="center"/>
          </w:tcPr>
          <w:p>
            <w:pPr>
              <w:pStyle w:val="17"/>
            </w:pPr>
            <w:r>
              <w:t>80.68</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80.68</w:t>
            </w:r>
          </w:p>
        </w:tc>
        <w:tc>
          <w:tcPr>
            <w:tcW w:w="1232" w:type="dxa"/>
            <w:vAlign w:val="center"/>
          </w:tcPr>
          <w:p>
            <w:pPr>
              <w:pStyle w:val="16"/>
            </w:pPr>
            <w:r>
              <w:t>支出总计</w:t>
            </w:r>
          </w:p>
        </w:tc>
        <w:tc>
          <w:tcPr>
            <w:tcW w:w="1232" w:type="dxa"/>
            <w:vAlign w:val="center"/>
          </w:tcPr>
          <w:p>
            <w:pPr>
              <w:pStyle w:val="17"/>
            </w:pPr>
            <w:r>
              <w:t>80.68</w:t>
            </w:r>
          </w:p>
        </w:tc>
        <w:tc>
          <w:tcPr>
            <w:tcW w:w="1232" w:type="dxa"/>
            <w:vAlign w:val="center"/>
          </w:tcPr>
          <w:p>
            <w:pPr>
              <w:pStyle w:val="17"/>
            </w:pPr>
            <w:r>
              <w:t>80.68</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731001无极县科学技术协会本级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80.68</w:t>
            </w:r>
          </w:p>
        </w:tc>
        <w:tc>
          <w:tcPr>
            <w:tcW w:w="1643" w:type="dxa"/>
            <w:vAlign w:val="center"/>
          </w:tcPr>
          <w:p>
            <w:pPr>
              <w:pStyle w:val="17"/>
            </w:pPr>
            <w:r>
              <w:t>80.68</w:t>
            </w: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206</w:t>
            </w:r>
          </w:p>
        </w:tc>
        <w:tc>
          <w:tcPr>
            <w:tcW w:w="1643" w:type="dxa"/>
            <w:vAlign w:val="center"/>
          </w:tcPr>
          <w:p>
            <w:pPr>
              <w:pStyle w:val="14"/>
            </w:pPr>
            <w:r>
              <w:t>科学技术支出</w:t>
            </w:r>
          </w:p>
        </w:tc>
        <w:tc>
          <w:tcPr>
            <w:tcW w:w="1643" w:type="dxa"/>
            <w:vAlign w:val="center"/>
          </w:tcPr>
          <w:p>
            <w:pPr>
              <w:pStyle w:val="13"/>
            </w:pPr>
            <w:r>
              <w:t>67.17</w:t>
            </w:r>
          </w:p>
        </w:tc>
        <w:tc>
          <w:tcPr>
            <w:tcW w:w="1643" w:type="dxa"/>
            <w:vAlign w:val="center"/>
          </w:tcPr>
          <w:p>
            <w:pPr>
              <w:pStyle w:val="13"/>
            </w:pPr>
            <w:r>
              <w:t>67.17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20607</w:t>
            </w:r>
          </w:p>
        </w:tc>
        <w:tc>
          <w:tcPr>
            <w:tcW w:w="1643" w:type="dxa"/>
            <w:vAlign w:val="center"/>
          </w:tcPr>
          <w:p>
            <w:pPr>
              <w:pStyle w:val="14"/>
            </w:pPr>
            <w:r>
              <w:t>科学技术普及</w:t>
            </w:r>
          </w:p>
        </w:tc>
        <w:tc>
          <w:tcPr>
            <w:tcW w:w="1643" w:type="dxa"/>
            <w:vAlign w:val="center"/>
          </w:tcPr>
          <w:p>
            <w:pPr>
              <w:pStyle w:val="13"/>
            </w:pPr>
            <w:r>
              <w:t>67.17</w:t>
            </w:r>
          </w:p>
        </w:tc>
        <w:tc>
          <w:tcPr>
            <w:tcW w:w="1643" w:type="dxa"/>
            <w:vAlign w:val="center"/>
          </w:tcPr>
          <w:p>
            <w:pPr>
              <w:pStyle w:val="13"/>
            </w:pPr>
            <w:r>
              <w:t>67.17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2060701</w:t>
            </w:r>
          </w:p>
        </w:tc>
        <w:tc>
          <w:tcPr>
            <w:tcW w:w="1643" w:type="dxa"/>
            <w:vAlign w:val="center"/>
          </w:tcPr>
          <w:p>
            <w:pPr>
              <w:pStyle w:val="14"/>
            </w:pPr>
            <w:r>
              <w:t>机构运行</w:t>
            </w:r>
          </w:p>
        </w:tc>
        <w:tc>
          <w:tcPr>
            <w:tcW w:w="1643" w:type="dxa"/>
            <w:vAlign w:val="center"/>
          </w:tcPr>
          <w:p>
            <w:pPr>
              <w:pStyle w:val="13"/>
            </w:pPr>
            <w:r>
              <w:t>67.17</w:t>
            </w:r>
          </w:p>
        </w:tc>
        <w:tc>
          <w:tcPr>
            <w:tcW w:w="1643" w:type="dxa"/>
            <w:vAlign w:val="center"/>
          </w:tcPr>
          <w:p>
            <w:pPr>
              <w:pStyle w:val="13"/>
            </w:pPr>
            <w:r>
              <w:t>67.17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13.51</w:t>
            </w:r>
          </w:p>
        </w:tc>
        <w:tc>
          <w:tcPr>
            <w:tcW w:w="1643" w:type="dxa"/>
            <w:vAlign w:val="center"/>
          </w:tcPr>
          <w:p>
            <w:pPr>
              <w:pStyle w:val="13"/>
            </w:pPr>
            <w:r>
              <w:t>13.51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pPr>
            <w:r>
              <w:t>13.51</w:t>
            </w:r>
          </w:p>
        </w:tc>
        <w:tc>
          <w:tcPr>
            <w:tcW w:w="1643" w:type="dxa"/>
            <w:vAlign w:val="center"/>
          </w:tcPr>
          <w:p>
            <w:pPr>
              <w:pStyle w:val="13"/>
            </w:pPr>
            <w:r>
              <w:t>13.51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pPr>
            <w:r>
              <w:t>13.51</w:t>
            </w:r>
          </w:p>
        </w:tc>
        <w:tc>
          <w:tcPr>
            <w:tcW w:w="1643" w:type="dxa"/>
            <w:vAlign w:val="center"/>
          </w:tcPr>
          <w:p>
            <w:pPr>
              <w:pStyle w:val="13"/>
            </w:pPr>
            <w:r>
              <w:t>13.51</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731001无极县科学技术协会本级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80.68</w:t>
            </w:r>
          </w:p>
        </w:tc>
        <w:tc>
          <w:tcPr>
            <w:tcW w:w="1643" w:type="dxa"/>
            <w:vAlign w:val="center"/>
          </w:tcPr>
          <w:p>
            <w:pPr>
              <w:pStyle w:val="17"/>
            </w:pPr>
            <w:r>
              <w:t>70.84</w:t>
            </w:r>
          </w:p>
        </w:tc>
        <w:tc>
          <w:tcPr>
            <w:tcW w:w="1643" w:type="dxa"/>
            <w:vAlign w:val="center"/>
          </w:tcPr>
          <w:p>
            <w:pPr>
              <w:pStyle w:val="17"/>
            </w:pPr>
            <w:r>
              <w:t>9.84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54.97</w:t>
            </w:r>
          </w:p>
        </w:tc>
        <w:tc>
          <w:tcPr>
            <w:tcW w:w="1643" w:type="dxa"/>
            <w:vAlign w:val="center"/>
          </w:tcPr>
          <w:p>
            <w:pPr>
              <w:pStyle w:val="13"/>
            </w:pPr>
            <w:r>
              <w:t>54.97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22.03</w:t>
            </w:r>
          </w:p>
        </w:tc>
        <w:tc>
          <w:tcPr>
            <w:tcW w:w="1643" w:type="dxa"/>
            <w:vAlign w:val="center"/>
          </w:tcPr>
          <w:p>
            <w:pPr>
              <w:pStyle w:val="13"/>
            </w:pPr>
            <w:r>
              <w:t>22.03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10.44</w:t>
            </w:r>
          </w:p>
        </w:tc>
        <w:tc>
          <w:tcPr>
            <w:tcW w:w="1643" w:type="dxa"/>
            <w:vAlign w:val="center"/>
          </w:tcPr>
          <w:p>
            <w:pPr>
              <w:pStyle w:val="13"/>
            </w:pPr>
            <w:r>
              <w:t>10.44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8.99</w:t>
            </w:r>
          </w:p>
        </w:tc>
        <w:tc>
          <w:tcPr>
            <w:tcW w:w="1643" w:type="dxa"/>
            <w:vAlign w:val="center"/>
          </w:tcPr>
          <w:p>
            <w:pPr>
              <w:pStyle w:val="13"/>
            </w:pPr>
            <w:r>
              <w:t>8.99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13.51</w:t>
            </w:r>
          </w:p>
        </w:tc>
        <w:tc>
          <w:tcPr>
            <w:tcW w:w="1643" w:type="dxa"/>
            <w:vAlign w:val="center"/>
          </w:tcPr>
          <w:p>
            <w:pPr>
              <w:pStyle w:val="13"/>
            </w:pPr>
            <w:r>
              <w:t>13.51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9.84</w:t>
            </w:r>
          </w:p>
        </w:tc>
        <w:tc>
          <w:tcPr>
            <w:tcW w:w="1643" w:type="dxa"/>
            <w:vAlign w:val="center"/>
          </w:tcPr>
          <w:p>
            <w:pPr>
              <w:pStyle w:val="13"/>
            </w:pPr>
          </w:p>
        </w:tc>
        <w:tc>
          <w:tcPr>
            <w:tcW w:w="1643" w:type="dxa"/>
            <w:vAlign w:val="center"/>
          </w:tcPr>
          <w:p>
            <w:pPr>
              <w:pStyle w:val="13"/>
            </w:pPr>
            <w:r>
              <w:t>9.84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2.00</w:t>
            </w:r>
          </w:p>
        </w:tc>
        <w:tc>
          <w:tcPr>
            <w:tcW w:w="1643" w:type="dxa"/>
            <w:vAlign w:val="center"/>
          </w:tcPr>
          <w:p>
            <w:pPr>
              <w:pStyle w:val="13"/>
            </w:pPr>
          </w:p>
        </w:tc>
        <w:tc>
          <w:tcPr>
            <w:tcW w:w="1643"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4.87</w:t>
            </w:r>
          </w:p>
        </w:tc>
        <w:tc>
          <w:tcPr>
            <w:tcW w:w="1643" w:type="dxa"/>
            <w:vAlign w:val="center"/>
          </w:tcPr>
          <w:p>
            <w:pPr>
              <w:pStyle w:val="13"/>
            </w:pPr>
          </w:p>
        </w:tc>
        <w:tc>
          <w:tcPr>
            <w:tcW w:w="1643" w:type="dxa"/>
            <w:vAlign w:val="center"/>
          </w:tcPr>
          <w:p>
            <w:pPr>
              <w:pStyle w:val="13"/>
            </w:pPr>
            <w:r>
              <w:t>4.87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2.97</w:t>
            </w:r>
          </w:p>
        </w:tc>
        <w:tc>
          <w:tcPr>
            <w:tcW w:w="1643" w:type="dxa"/>
            <w:vAlign w:val="center"/>
          </w:tcPr>
          <w:p>
            <w:pPr>
              <w:pStyle w:val="13"/>
            </w:pPr>
          </w:p>
        </w:tc>
        <w:tc>
          <w:tcPr>
            <w:tcW w:w="1643" w:type="dxa"/>
            <w:vAlign w:val="center"/>
          </w:tcPr>
          <w:p>
            <w:pPr>
              <w:pStyle w:val="13"/>
            </w:pPr>
            <w:r>
              <w:t>2.97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15.87</w:t>
            </w:r>
          </w:p>
        </w:tc>
        <w:tc>
          <w:tcPr>
            <w:tcW w:w="1643" w:type="dxa"/>
            <w:vAlign w:val="center"/>
          </w:tcPr>
          <w:p>
            <w:pPr>
              <w:pStyle w:val="13"/>
            </w:pPr>
            <w:r>
              <w:t>15.87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15.87</w:t>
            </w:r>
          </w:p>
        </w:tc>
        <w:tc>
          <w:tcPr>
            <w:tcW w:w="1643" w:type="dxa"/>
            <w:vAlign w:val="center"/>
          </w:tcPr>
          <w:p>
            <w:pPr>
              <w:pStyle w:val="13"/>
            </w:pPr>
            <w:r>
              <w:t>15.87</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731001无极县科学技术协会本级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1837" w:firstLineChars="8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eastAsia="zh-CN"/>
        </w:rPr>
        <w:t>本部门</w:t>
      </w:r>
      <w:r>
        <w:rPr>
          <w:rFonts w:ascii="方正书宋_GBK" w:hAnsi="方正书宋_GBK" w:eastAsia="方正书宋_GBK" w:cs="方正书宋_GBK"/>
          <w:color w:val="000000"/>
          <w:sz w:val="21"/>
        </w:rPr>
        <w:t>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731001无极县科学技术协会本级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1417" w:firstLineChars="6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eastAsia="zh-CN"/>
        </w:rPr>
        <w:t>本部门</w:t>
      </w:r>
      <w:r>
        <w:rPr>
          <w:rFonts w:ascii="方正书宋_GBK" w:hAnsi="方正书宋_GBK" w:eastAsia="方正书宋_GBK" w:cs="方正书宋_GBK"/>
          <w:color w:val="000000"/>
          <w:sz w:val="21"/>
        </w:rPr>
        <w:t>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731001无极县科学技术协会本级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1627" w:firstLineChars="775"/>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eastAsia="zh-CN"/>
        </w:rPr>
        <w:t>本部门</w:t>
      </w:r>
      <w:r>
        <w:rPr>
          <w:rFonts w:ascii="方正书宋_GBK" w:hAnsi="方正书宋_GBK" w:eastAsia="方正书宋_GBK" w:cs="方正书宋_GBK"/>
          <w:color w:val="000000"/>
          <w:sz w:val="21"/>
        </w:rPr>
        <w:t>无财政拨款“三公”经费支出表预算，空表列示。</w:t>
      </w:r>
    </w:p>
    <w:p>
      <w:pPr>
        <w:spacing w:before="0" w:after="0" w:line="240" w:lineRule="auto"/>
        <w:ind w:firstLine="1627" w:firstLineChars="775"/>
        <w:jc w:val="left"/>
        <w:outlineLvl w:val="9"/>
        <w:rPr>
          <w:rFonts w:ascii="方正书宋_GBK" w:hAnsi="方正书宋_GBK" w:eastAsia="方正书宋_GBK" w:cs="方正书宋_GBK"/>
          <w:color w:val="000000"/>
          <w:sz w:val="21"/>
        </w:rPr>
      </w:pPr>
    </w:p>
    <w:p>
      <w:pPr>
        <w:spacing w:before="0" w:after="0" w:line="240" w:lineRule="auto"/>
        <w:ind w:firstLine="1627" w:firstLineChars="775"/>
        <w:jc w:val="left"/>
        <w:outlineLvl w:val="9"/>
        <w:rPr>
          <w:rFonts w:ascii="方正书宋_GBK" w:hAnsi="方正书宋_GBK" w:eastAsia="方正书宋_GBK" w:cs="方正书宋_GBK"/>
          <w:color w:val="000000"/>
          <w:sz w:val="21"/>
        </w:rPr>
      </w:pPr>
    </w:p>
    <w:p>
      <w:pPr>
        <w:spacing w:before="0" w:after="0" w:line="240" w:lineRule="auto"/>
        <w:ind w:firstLine="1627" w:firstLineChars="775"/>
        <w:jc w:val="left"/>
        <w:outlineLvl w:val="9"/>
        <w:rPr>
          <w:rFonts w:ascii="方正书宋_GBK" w:hAnsi="方正书宋_GBK" w:eastAsia="方正书宋_GBK" w:cs="方正书宋_GBK"/>
          <w:color w:val="000000"/>
          <w:sz w:val="21"/>
        </w:rPr>
      </w:pPr>
    </w:p>
    <w:p>
      <w:pPr>
        <w:spacing w:before="0" w:after="0" w:line="240" w:lineRule="auto"/>
        <w:ind w:firstLine="1627" w:firstLineChars="775"/>
        <w:jc w:val="left"/>
        <w:outlineLvl w:val="9"/>
        <w:rPr>
          <w:rFonts w:ascii="方正书宋_GBK" w:hAnsi="方正书宋_GBK" w:eastAsia="方正书宋_GBK" w:cs="方正书宋_GBK"/>
          <w:color w:val="000000"/>
          <w:sz w:val="21"/>
        </w:rPr>
      </w:pPr>
    </w:p>
    <w:p>
      <w:pPr>
        <w:spacing w:before="0" w:after="0" w:line="240" w:lineRule="auto"/>
        <w:ind w:firstLine="1627" w:firstLineChars="775"/>
        <w:jc w:val="left"/>
        <w:outlineLvl w:val="9"/>
        <w:rPr>
          <w:rFonts w:ascii="方正书宋_GBK" w:hAnsi="方正书宋_GBK" w:eastAsia="方正书宋_GBK" w:cs="方正书宋_GBK"/>
          <w:color w:val="000000"/>
          <w:sz w:val="21"/>
        </w:rPr>
      </w:pPr>
    </w:p>
    <w:p>
      <w:pPr>
        <w:spacing w:before="0" w:after="0" w:line="240" w:lineRule="auto"/>
        <w:ind w:firstLine="1627" w:firstLineChars="775"/>
        <w:jc w:val="left"/>
        <w:outlineLvl w:val="9"/>
        <w:rPr>
          <w:rFonts w:ascii="方正书宋_GBK" w:hAnsi="方正书宋_GBK" w:eastAsia="方正书宋_GBK" w:cs="方正书宋_GBK"/>
          <w:color w:val="000000"/>
          <w:sz w:val="21"/>
        </w:rPr>
      </w:pPr>
    </w:p>
    <w:p>
      <w:pPr>
        <w:spacing w:before="0" w:after="0" w:line="240" w:lineRule="auto"/>
        <w:jc w:val="left"/>
        <w:outlineLvl w:val="9"/>
        <w:rPr>
          <w:rFonts w:ascii="方正书宋_GBK" w:hAnsi="方正书宋_GBK" w:eastAsia="方正书宋_GBK" w:cs="方正书宋_GBK"/>
          <w:color w:val="000000"/>
          <w:sz w:val="21"/>
        </w:rPr>
      </w:pPr>
    </w:p>
    <w:p>
      <w:pPr>
        <w:spacing w:before="0" w:after="0" w:line="240" w:lineRule="auto"/>
        <w:jc w:val="left"/>
        <w:outlineLvl w:val="9"/>
        <w:rPr>
          <w:rFonts w:ascii="方正书宋_GBK" w:hAnsi="方正书宋_GBK" w:eastAsia="方正书宋_GBK" w:cs="方正书宋_GBK"/>
          <w:color w:val="000000"/>
          <w:sz w:val="21"/>
        </w:rPr>
      </w:pPr>
    </w:p>
    <w:p>
      <w:pPr>
        <w:spacing w:before="0" w:after="0" w:line="240" w:lineRule="auto"/>
        <w:jc w:val="left"/>
        <w:outlineLvl w:val="9"/>
        <w:rPr>
          <w:rFonts w:ascii="方正书宋_GBK" w:hAnsi="方正书宋_GBK" w:eastAsia="方正书宋_GBK" w:cs="方正书宋_GBK"/>
          <w:color w:val="000000"/>
          <w:sz w:val="21"/>
        </w:rPr>
      </w:pPr>
    </w:p>
    <w:p>
      <w:pPr>
        <w:spacing w:before="0" w:after="0" w:line="240" w:lineRule="auto"/>
        <w:jc w:val="left"/>
        <w:outlineLvl w:val="9"/>
        <w:rPr>
          <w:rFonts w:ascii="方正书宋_GBK" w:hAnsi="方正书宋_GBK" w:eastAsia="方正书宋_GBK" w:cs="方正书宋_GBK"/>
          <w:color w:val="000000"/>
          <w:sz w:val="21"/>
        </w:rPr>
      </w:pPr>
    </w:p>
    <w:p>
      <w:pPr>
        <w:spacing w:before="0" w:after="0" w:line="240" w:lineRule="auto"/>
        <w:jc w:val="left"/>
        <w:outlineLvl w:val="9"/>
        <w:rPr>
          <w:rFonts w:ascii="方正书宋_GBK" w:hAnsi="方正书宋_GBK" w:eastAsia="方正书宋_GBK" w:cs="方正书宋_GBK"/>
          <w:color w:val="000000"/>
          <w:sz w:val="21"/>
        </w:rPr>
      </w:pPr>
    </w:p>
    <w:p>
      <w:pPr>
        <w:spacing w:before="0" w:after="0" w:line="240" w:lineRule="auto"/>
        <w:jc w:val="left"/>
        <w:outlineLvl w:val="9"/>
        <w:rPr>
          <w:rFonts w:ascii="方正书宋_GBK" w:hAnsi="方正书宋_GBK" w:eastAsia="方正书宋_GBK" w:cs="方正书宋_GBK"/>
          <w:color w:val="000000"/>
          <w:sz w:val="21"/>
        </w:rPr>
      </w:pPr>
    </w:p>
    <w:p>
      <w:pPr>
        <w:spacing w:before="0" w:after="0" w:line="240" w:lineRule="auto"/>
        <w:jc w:val="left"/>
        <w:outlineLvl w:val="9"/>
        <w:rPr>
          <w:rFonts w:ascii="方正书宋_GBK" w:hAnsi="方正书宋_GBK" w:eastAsia="方正书宋_GBK" w:cs="方正书宋_GBK"/>
          <w:color w:val="000000"/>
          <w:sz w:val="21"/>
        </w:rPr>
      </w:pPr>
    </w:p>
    <w:p>
      <w:pPr>
        <w:spacing w:before="0" w:after="0" w:line="240" w:lineRule="auto"/>
        <w:jc w:val="left"/>
        <w:outlineLvl w:val="9"/>
        <w:rPr>
          <w:rFonts w:ascii="方正书宋_GBK" w:hAnsi="方正书宋_GBK" w:eastAsia="方正书宋_GBK" w:cs="方正书宋_GBK"/>
          <w:color w:val="000000"/>
          <w:sz w:val="21"/>
        </w:rPr>
      </w:pPr>
    </w:p>
    <w:p>
      <w:pPr>
        <w:spacing w:before="0" w:after="0" w:line="240" w:lineRule="auto"/>
        <w:jc w:val="left"/>
        <w:outlineLvl w:val="9"/>
        <w:rPr>
          <w:rFonts w:ascii="方正书宋_GBK" w:hAnsi="方正书宋_GBK" w:eastAsia="方正书宋_GBK" w:cs="方正书宋_GBK"/>
          <w:color w:val="000000"/>
          <w:sz w:val="21"/>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无极县科学技术协会</w:t>
      </w:r>
      <w:r>
        <w:rPr>
          <w:rFonts w:hint="eastAsia" w:ascii="方正小标宋_GBK" w:hAnsi="方正小标宋_GBK" w:eastAsia="方正小标宋_GBK" w:cs="方正小标宋_GBK"/>
          <w:color w:val="000000"/>
          <w:sz w:val="44"/>
          <w:lang w:eastAsia="zh-CN"/>
        </w:rPr>
        <w:t>本级</w:t>
      </w:r>
      <w:r>
        <w:rPr>
          <w:rFonts w:ascii="方正小标宋_GBK" w:hAnsi="方正小标宋_GBK" w:eastAsia="方正小标宋_GBK" w:cs="方正小标宋_GBK"/>
          <w:color w:val="000000"/>
          <w:sz w:val="44"/>
        </w:rPr>
        <w:t>2023年</w:t>
      </w:r>
      <w:r>
        <w:rPr>
          <w:rFonts w:hint="eastAsia" w:ascii="方正小标宋_GBK" w:hAnsi="方正小标宋_GBK" w:eastAsia="方正小标宋_GBK" w:cs="方正小标宋_GBK"/>
          <w:color w:val="000000"/>
          <w:sz w:val="44"/>
          <w:lang w:val="en-US" w:eastAsia="zh-CN"/>
        </w:rPr>
        <w:t>单位</w:t>
      </w:r>
      <w:r>
        <w:rPr>
          <w:rFonts w:ascii="方正小标宋_GBK" w:hAnsi="方正小标宋_GBK" w:eastAsia="方正小标宋_GBK" w:cs="方正小标宋_GBK"/>
          <w:color w:val="000000"/>
          <w:sz w:val="44"/>
        </w:rPr>
        <w:t>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按照《预算法》、《地方预决算公开操作规程》和《关于进一步推进预算公开工作的实施意见》规定，现将无极县科学技术协会</w:t>
      </w:r>
      <w:r>
        <w:rPr>
          <w:rFonts w:hint="eastAsia" w:eastAsia="方正仿宋_GBK" w:cs="Times New Roman"/>
          <w:color w:val="000000"/>
          <w:sz w:val="28"/>
          <w:lang w:eastAsia="zh-CN"/>
        </w:rPr>
        <w:t>本级</w:t>
      </w:r>
      <w:r>
        <w:rPr>
          <w:rFonts w:ascii="Times New Roman" w:hAnsi="Times New Roman" w:eastAsia="方正仿宋_GBK" w:cs="Times New Roman"/>
          <w:color w:val="000000"/>
          <w:sz w:val="28"/>
        </w:rPr>
        <w:t>2023年</w:t>
      </w:r>
      <w:r>
        <w:rPr>
          <w:rFonts w:hint="eastAsia" w:eastAsia="方正仿宋_GBK" w:cs="Times New Roman"/>
          <w:color w:val="000000"/>
          <w:sz w:val="28"/>
          <w:lang w:val="en-US" w:eastAsia="zh-CN"/>
        </w:rPr>
        <w:t>单位</w:t>
      </w:r>
      <w:r>
        <w:rPr>
          <w:rFonts w:ascii="Times New Roman" w:hAnsi="Times New Roman" w:eastAsia="方正仿宋_GBK" w:cs="Times New Roman"/>
          <w:color w:val="000000"/>
          <w:sz w:val="28"/>
        </w:rPr>
        <w:t>预算公开如下：</w:t>
      </w:r>
    </w:p>
    <w:p>
      <w:pPr>
        <w:spacing w:before="10" w:after="10" w:line="360" w:lineRule="auto"/>
        <w:ind w:firstLine="640"/>
        <w:jc w:val="left"/>
        <w:outlineLvl w:val="2"/>
      </w:pPr>
      <w:r>
        <w:rPr>
          <w:rFonts w:ascii="黑体" w:hAnsi="黑体" w:eastAsia="黑体" w:cs="黑体"/>
          <w:color w:val="000000"/>
          <w:sz w:val="32"/>
        </w:rPr>
        <w:t>一、</w:t>
      </w:r>
      <w:r>
        <w:rPr>
          <w:rFonts w:hint="eastAsia" w:ascii="黑体" w:hAnsi="黑体" w:eastAsia="黑体" w:cs="黑体"/>
          <w:color w:val="000000"/>
          <w:sz w:val="32"/>
          <w:lang w:val="en-US" w:eastAsia="zh-CN"/>
        </w:rPr>
        <w:t>单位</w:t>
      </w:r>
      <w:r>
        <w:rPr>
          <w:rFonts w:ascii="黑体" w:hAnsi="黑体" w:eastAsia="黑体" w:cs="黑体"/>
          <w:color w:val="000000"/>
          <w:sz w:val="32"/>
        </w:rPr>
        <w:t>职责及机构设置情况</w:t>
      </w:r>
    </w:p>
    <w:p>
      <w:pPr>
        <w:spacing w:before="0" w:after="0" w:line="240" w:lineRule="auto"/>
        <w:ind w:firstLine="640"/>
        <w:jc w:val="left"/>
        <w:outlineLvl w:val="9"/>
      </w:pPr>
      <w:r>
        <w:rPr>
          <w:rFonts w:hint="eastAsia" w:ascii="方正楷体_GBK" w:hAnsi="方正楷体_GBK" w:eastAsia="方正楷体_GBK" w:cs="方正楷体_GBK"/>
          <w:b/>
          <w:color w:val="000000"/>
          <w:sz w:val="32"/>
          <w:lang w:val="en-US" w:eastAsia="zh-CN"/>
        </w:rPr>
        <w:t>单位</w:t>
      </w:r>
      <w:r>
        <w:rPr>
          <w:rFonts w:ascii="方正楷体_GBK" w:hAnsi="方正楷体_GBK" w:eastAsia="方正楷体_GBK" w:cs="方正楷体_GBK"/>
          <w:b/>
          <w:color w:val="000000"/>
          <w:sz w:val="32"/>
        </w:rPr>
        <w:t>职责：</w:t>
      </w:r>
    </w:p>
    <w:p>
      <w:pPr>
        <w:pStyle w:val="19"/>
      </w:pPr>
      <w:r>
        <w:t>（一）开展学术交流，活跃学术思想；促进学科发展、知识创新。</w:t>
      </w:r>
    </w:p>
    <w:p>
      <w:pPr>
        <w:pStyle w:val="19"/>
      </w:pPr>
      <w:r>
        <w:t>（二）普及科学知识，传播科学思想和科学方法，推广先进技术，开展青少年科学技术教育普及活动。</w:t>
      </w:r>
    </w:p>
    <w:p>
      <w:pPr>
        <w:pStyle w:val="19"/>
      </w:pPr>
      <w:r>
        <w:t>（三）维护科技工作者的合法权益。反映科技工作者的意见和要求，组织科学技术工作者参与科技政策、有关地方性法规的拟定和国家事务的政治协商、科学决策、民主监督工作。完善建设“科技工作者之家”的各项举措，全心全意为科技工作者服务。</w:t>
      </w:r>
    </w:p>
    <w:p>
      <w:pPr>
        <w:pStyle w:val="19"/>
      </w:pPr>
      <w:r>
        <w:t>（四）表彰奖励优秀科学技术工作者，举荐人才。</w:t>
      </w:r>
    </w:p>
    <w:p>
      <w:pPr>
        <w:pStyle w:val="19"/>
      </w:pPr>
      <w:r>
        <w:t>（五）开展科技咨询服务工作，提出政策建议，促进科学技术成果的转化和技术创新。</w:t>
      </w:r>
    </w:p>
    <w:p>
      <w:pPr>
        <w:pStyle w:val="19"/>
      </w:pPr>
      <w:r>
        <w:t>（六）开展科技工作者的继续教育和培训工作。</w:t>
      </w:r>
    </w:p>
    <w:p>
      <w:pPr>
        <w:pStyle w:val="19"/>
      </w:pPr>
      <w:r>
        <w:t>（七）指导全县的反邪教协会工作，组织全县科协系统开展反对伪科学、反科学的活动。</w:t>
      </w:r>
    </w:p>
    <w:p>
      <w:pPr>
        <w:pStyle w:val="19"/>
      </w:pPr>
      <w:r>
        <w:t>（八）承担县委、县政府交办的有关事项。</w:t>
      </w:r>
    </w:p>
    <w:p>
      <w:pPr>
        <w:pStyle w:val="19"/>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无极县科学技术协会本级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360" w:lineRule="auto"/>
        <w:ind w:firstLine="640"/>
        <w:jc w:val="left"/>
        <w:outlineLvl w:val="2"/>
      </w:pPr>
      <w:r>
        <w:rPr>
          <w:rFonts w:ascii="黑体" w:hAnsi="黑体" w:eastAsia="黑体" w:cs="黑体"/>
          <w:color w:val="000000"/>
          <w:sz w:val="32"/>
        </w:rPr>
        <w:t>二、</w:t>
      </w:r>
      <w:r>
        <w:rPr>
          <w:rFonts w:hint="eastAsia" w:ascii="黑体" w:hAnsi="黑体" w:eastAsia="黑体" w:cs="黑体"/>
          <w:color w:val="000000"/>
          <w:sz w:val="32"/>
          <w:lang w:val="en-US" w:eastAsia="zh-CN"/>
        </w:rPr>
        <w:t>单位</w:t>
      </w:r>
      <w:r>
        <w:rPr>
          <w:rFonts w:ascii="黑体" w:hAnsi="黑体" w:eastAsia="黑体" w:cs="黑体"/>
          <w:color w:val="000000"/>
          <w:sz w:val="32"/>
        </w:rPr>
        <w:t>预算安排的总体情况</w:t>
      </w:r>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val="en-US" w:eastAsia="zh-CN"/>
        </w:rPr>
        <w:t>县单位</w:t>
      </w:r>
      <w:r>
        <w:rPr>
          <w:rFonts w:ascii="Times New Roman" w:hAnsi="Times New Roman" w:eastAsia="方正仿宋_GBK" w:cs="Times New Roman"/>
          <w:color w:val="000000"/>
          <w:sz w:val="28"/>
        </w:rPr>
        <w:t>预算的编制实行综合预算管理，即全部收入和支出都反映在</w:t>
      </w:r>
      <w:r>
        <w:rPr>
          <w:rFonts w:hint="eastAsia" w:eastAsia="方正仿宋_GBK" w:cs="Times New Roman"/>
          <w:color w:val="000000"/>
          <w:sz w:val="28"/>
          <w:lang w:val="en-US" w:eastAsia="zh-CN"/>
        </w:rPr>
        <w:t>单位</w:t>
      </w:r>
      <w:r>
        <w:rPr>
          <w:rFonts w:ascii="Times New Roman" w:hAnsi="Times New Roman" w:eastAsia="方正仿宋_GBK" w:cs="Times New Roman"/>
          <w:color w:val="000000"/>
          <w:sz w:val="28"/>
        </w:rPr>
        <w:t>预算中。</w:t>
      </w:r>
    </w:p>
    <w:p>
      <w:pPr>
        <w:pStyle w:val="20"/>
      </w:pPr>
      <w:r>
        <w:t>1、收入说明</w:t>
      </w:r>
    </w:p>
    <w:p>
      <w:pPr>
        <w:pStyle w:val="20"/>
      </w:pPr>
      <w:r>
        <w:t>反映本</w:t>
      </w:r>
      <w:r>
        <w:rPr>
          <w:rFonts w:hint="eastAsia"/>
          <w:lang w:val="en-US" w:eastAsia="zh-CN"/>
        </w:rPr>
        <w:t>单位</w:t>
      </w:r>
      <w:r>
        <w:t>当年全部收入，2023年预算收入</w:t>
      </w:r>
      <w:r>
        <w:rPr>
          <w:rFonts w:hint="eastAsia"/>
          <w:lang w:val="en-US" w:eastAsia="zh-CN"/>
        </w:rPr>
        <w:t>80.68</w:t>
      </w:r>
      <w:r>
        <w:t>万元，其中：一般公共预算拨款</w:t>
      </w:r>
      <w:r>
        <w:rPr>
          <w:rFonts w:hint="eastAsia"/>
          <w:lang w:val="en-US" w:eastAsia="zh-CN"/>
        </w:rPr>
        <w:t>80.68</w:t>
      </w:r>
      <w:r>
        <w:t>万元，基金预算拨款0万元，财政专户核拨0万元，其他来源收入0万元。</w:t>
      </w:r>
    </w:p>
    <w:p>
      <w:pPr>
        <w:pStyle w:val="20"/>
      </w:pPr>
      <w:r>
        <w:t>2、支出说明</w:t>
      </w:r>
    </w:p>
    <w:p>
      <w:pPr>
        <w:pStyle w:val="20"/>
      </w:pPr>
      <w:r>
        <w:t>收支预算总表支出栏、基本支出表、项目支出表按经济分类和支出功能分类科目编制，反映科协年度</w:t>
      </w:r>
      <w:r>
        <w:rPr>
          <w:rFonts w:hint="eastAsia"/>
          <w:lang w:val="en-US" w:eastAsia="zh-CN"/>
        </w:rPr>
        <w:t>单位</w:t>
      </w:r>
      <w:r>
        <w:t>预算中支出预算的总体情况。2023年</w:t>
      </w:r>
      <w:r>
        <w:rPr>
          <w:rFonts w:hint="eastAsia"/>
          <w:lang w:val="en-US" w:eastAsia="zh-CN"/>
        </w:rPr>
        <w:t>单位</w:t>
      </w:r>
      <w:r>
        <w:t>支出预算为</w:t>
      </w:r>
      <w:r>
        <w:rPr>
          <w:rFonts w:hint="eastAsia"/>
          <w:lang w:val="en-US" w:eastAsia="zh-CN"/>
        </w:rPr>
        <w:t>80.68</w:t>
      </w:r>
      <w:r>
        <w:t>万元，其中基本支出</w:t>
      </w:r>
      <w:r>
        <w:rPr>
          <w:rFonts w:hint="eastAsia"/>
          <w:lang w:val="en-US" w:eastAsia="zh-CN"/>
        </w:rPr>
        <w:t>80.68万</w:t>
      </w:r>
      <w:r>
        <w:t>元，包括人员经费</w:t>
      </w:r>
      <w:r>
        <w:rPr>
          <w:rFonts w:hint="eastAsia"/>
          <w:lang w:val="en-US" w:eastAsia="zh-CN"/>
        </w:rPr>
        <w:t>70.84</w:t>
      </w:r>
      <w:r>
        <w:t>万元、日常公用经费</w:t>
      </w:r>
      <w:r>
        <w:rPr>
          <w:rFonts w:hint="eastAsia"/>
          <w:lang w:val="en-US" w:eastAsia="zh-CN"/>
        </w:rPr>
        <w:t>9.84</w:t>
      </w:r>
      <w:r>
        <w:t>万元。主要为科协人员开支和日常公用及科普活动开支。</w:t>
      </w:r>
    </w:p>
    <w:p>
      <w:pPr>
        <w:pStyle w:val="20"/>
      </w:pPr>
      <w:r>
        <w:t>3、比上年增减情况</w:t>
      </w:r>
    </w:p>
    <w:p>
      <w:pPr>
        <w:pStyle w:val="20"/>
      </w:pPr>
      <w:r>
        <w:t>2023年</w:t>
      </w:r>
      <w:r>
        <w:rPr>
          <w:rFonts w:hint="eastAsia"/>
          <w:lang w:val="en-US" w:eastAsia="zh-CN"/>
        </w:rPr>
        <w:t>单位</w:t>
      </w:r>
      <w:r>
        <w:t>预算支出</w:t>
      </w:r>
      <w:r>
        <w:rPr>
          <w:rFonts w:hint="eastAsia"/>
          <w:lang w:val="en-US" w:eastAsia="zh-CN"/>
        </w:rPr>
        <w:t>80.68万元，</w:t>
      </w:r>
      <w:r>
        <w:t>较2022年</w:t>
      </w:r>
      <w:r>
        <w:rPr>
          <w:rFonts w:hint="eastAsia"/>
          <w:lang w:eastAsia="zh-CN"/>
        </w:rPr>
        <w:t>减少了</w:t>
      </w:r>
      <w:r>
        <w:rPr>
          <w:rFonts w:hint="eastAsia"/>
          <w:lang w:val="en-US" w:eastAsia="zh-CN"/>
        </w:rPr>
        <w:t>4.26</w:t>
      </w:r>
      <w:r>
        <w:t>万元，</w:t>
      </w:r>
      <w:r>
        <w:rPr>
          <w:rFonts w:hint="eastAsia"/>
          <w:lang w:val="en-US" w:eastAsia="zh-CN"/>
        </w:rPr>
        <w:t>其中</w:t>
      </w:r>
      <w:r>
        <w:rPr>
          <w:rFonts w:hint="eastAsia"/>
          <w:lang w:eastAsia="zh-CN"/>
        </w:rPr>
        <w:t>基本支出</w:t>
      </w:r>
      <w:r>
        <w:rPr>
          <w:rFonts w:hint="eastAsia"/>
          <w:lang w:val="en-US" w:eastAsia="zh-CN"/>
        </w:rPr>
        <w:t>增加</w:t>
      </w:r>
      <w:r>
        <w:rPr>
          <w:rFonts w:hint="eastAsia"/>
          <w:lang w:eastAsia="zh-CN"/>
        </w:rPr>
        <w:t>了</w:t>
      </w:r>
      <w:r>
        <w:rPr>
          <w:rFonts w:hint="eastAsia"/>
          <w:lang w:val="en-US" w:eastAsia="zh-CN"/>
        </w:rPr>
        <w:t>5.74万元，</w:t>
      </w:r>
      <w:r>
        <w:t>主要是</w:t>
      </w:r>
      <w:r>
        <w:rPr>
          <w:rFonts w:hint="eastAsia"/>
          <w:lang w:eastAsia="zh-CN"/>
        </w:rPr>
        <w:t>人员</w:t>
      </w:r>
      <w:r>
        <w:rPr>
          <w:rFonts w:hint="eastAsia"/>
          <w:lang w:val="en-US" w:eastAsia="zh-CN"/>
        </w:rPr>
        <w:t>经费增加</w:t>
      </w:r>
      <w:r>
        <w:rPr>
          <w:rFonts w:hint="eastAsia"/>
          <w:lang w:eastAsia="zh-CN"/>
        </w:rPr>
        <w:t>；</w:t>
      </w:r>
      <w:r>
        <w:rPr>
          <w:rFonts w:hint="eastAsia"/>
          <w:lang w:val="en-US" w:eastAsia="zh-CN"/>
        </w:rPr>
        <w:t>项目支出减少10万元，主要是项目减少</w:t>
      </w:r>
      <w:r>
        <w:t>。</w:t>
      </w:r>
    </w:p>
    <w:p>
      <w:pPr>
        <w:spacing w:before="10" w:after="10" w:line="360" w:lineRule="auto"/>
        <w:ind w:firstLine="640"/>
        <w:outlineLvl w:val="2"/>
      </w:pPr>
      <w:r>
        <w:rPr>
          <w:rFonts w:ascii="黑体" w:hAnsi="黑体" w:eastAsia="黑体" w:cs="黑体"/>
          <w:color w:val="000000"/>
          <w:sz w:val="32"/>
        </w:rPr>
        <w:t>三、机关运行经费安排情况</w:t>
      </w:r>
    </w:p>
    <w:p>
      <w:pPr>
        <w:pStyle w:val="21"/>
        <w:rPr>
          <w:rFonts w:hint="default" w:eastAsia="方正仿宋_GBK"/>
          <w:lang w:val="en-US" w:eastAsia="zh-CN"/>
        </w:rPr>
      </w:pPr>
      <w:r>
        <w:t>202</w:t>
      </w:r>
      <w:r>
        <w:rPr>
          <w:rFonts w:hint="eastAsia"/>
          <w:lang w:val="en-US" w:eastAsia="zh-CN"/>
        </w:rPr>
        <w:t>3</w:t>
      </w:r>
      <w:r>
        <w:t>年，我</w:t>
      </w:r>
      <w:r>
        <w:rPr>
          <w:rFonts w:hint="eastAsia"/>
          <w:lang w:val="en-US" w:eastAsia="zh-CN"/>
        </w:rPr>
        <w:t>单位</w:t>
      </w:r>
      <w:r>
        <w:t>机关运行经费共计安排</w:t>
      </w:r>
      <w:r>
        <w:rPr>
          <w:rFonts w:hint="eastAsia"/>
          <w:lang w:val="en-US" w:eastAsia="zh-CN"/>
        </w:rPr>
        <w:t>9.84</w:t>
      </w:r>
      <w:r>
        <w:t>万元 ，主要用于保证机关正常运转的办公及印刷费、邮电费、差旅费、一般设备购置费、办公用房电费、日常维修费等支出。</w:t>
      </w:r>
      <w:r>
        <w:rPr>
          <w:rFonts w:hint="eastAsia"/>
          <w:lang w:eastAsia="zh-CN"/>
        </w:rPr>
        <w:t>比</w:t>
      </w:r>
      <w:r>
        <w:rPr>
          <w:rFonts w:hint="eastAsia"/>
          <w:lang w:val="en-US" w:eastAsia="zh-CN"/>
        </w:rPr>
        <w:t>2022年增加了0.86万元，因为科普活动增加，宣传资料费增加。</w:t>
      </w:r>
    </w:p>
    <w:p>
      <w:pPr>
        <w:spacing w:before="10" w:after="10" w:line="360" w:lineRule="auto"/>
        <w:ind w:firstLine="640"/>
        <w:outlineLvl w:val="2"/>
      </w:pPr>
      <w:r>
        <w:rPr>
          <w:rFonts w:ascii="黑体" w:hAnsi="黑体" w:eastAsia="黑体" w:cs="黑体"/>
          <w:color w:val="000000"/>
          <w:sz w:val="32"/>
        </w:rPr>
        <w:t>四、财政拨款“三公”经费预算情况及增减变化原因</w:t>
      </w:r>
    </w:p>
    <w:p>
      <w:pPr>
        <w:pStyle w:val="22"/>
        <w:rPr>
          <w:rFonts w:hint="eastAsia" w:eastAsia="方正仿宋_GBK"/>
          <w:lang w:eastAsia="zh-CN"/>
        </w:rPr>
      </w:pPr>
      <w:r>
        <w:t>202</w:t>
      </w:r>
      <w:r>
        <w:rPr>
          <w:rFonts w:hint="eastAsia"/>
          <w:lang w:val="en-US" w:eastAsia="zh-CN"/>
        </w:rPr>
        <w:t>3</w:t>
      </w:r>
      <w:r>
        <w:t>年，我</w:t>
      </w:r>
      <w:r>
        <w:rPr>
          <w:rFonts w:hint="eastAsia"/>
          <w:lang w:val="en-US" w:eastAsia="zh-CN"/>
        </w:rPr>
        <w:t>单位</w:t>
      </w:r>
      <w:r>
        <w:t>财政拨款“三公”经费预算安排0万元，其中：因公出国（境）费0万元；公务用车购置及运维费0万元（其中：公务用车购置费0万元，公务用车运行维护费0万元)。其中公务接待费0万元。</w:t>
      </w:r>
      <w:r>
        <w:rPr>
          <w:rFonts w:hint="eastAsia"/>
          <w:lang w:val="en-US" w:eastAsia="zh-CN"/>
        </w:rPr>
        <w:t>本单位因今年没有安排因公出国</w:t>
      </w:r>
      <w:r>
        <w:t>（境）</w:t>
      </w:r>
      <w:r>
        <w:rPr>
          <w:rFonts w:hint="eastAsia"/>
          <w:lang w:eastAsia="zh-CN"/>
        </w:rPr>
        <w:t>，</w:t>
      </w:r>
      <w:r>
        <w:rPr>
          <w:rFonts w:hint="eastAsia"/>
          <w:lang w:val="en-US" w:eastAsia="zh-CN"/>
        </w:rPr>
        <w:t>本单位没有公车，今年也没有产生接待费，所以</w:t>
      </w:r>
      <w:r>
        <w:t>与202</w:t>
      </w:r>
      <w:r>
        <w:rPr>
          <w:rFonts w:hint="eastAsia"/>
          <w:lang w:val="en-US" w:eastAsia="zh-CN"/>
        </w:rPr>
        <w:t>2</w:t>
      </w:r>
      <w:r>
        <w:t xml:space="preserve">年相比持平无增减变化 </w:t>
      </w:r>
      <w:r>
        <w:rPr>
          <w:rFonts w:hint="eastAsia"/>
          <w:lang w:eastAsia="zh-CN"/>
        </w:rPr>
        <w:t>。</w:t>
      </w:r>
    </w:p>
    <w:p>
      <w:pPr>
        <w:pStyle w:val="20"/>
        <w:rPr>
          <w:rFonts w:hint="eastAsia" w:ascii="黑体" w:hAnsi="黑体" w:eastAsia="黑体" w:cs="黑体"/>
          <w:sz w:val="32"/>
          <w:szCs w:val="32"/>
          <w:lang w:eastAsia="zh-CN"/>
        </w:rPr>
      </w:pPr>
      <w:r>
        <w:rPr>
          <w:rFonts w:hint="eastAsia" w:ascii="黑体" w:hAnsi="黑体" w:eastAsia="黑体" w:cs="黑体"/>
          <w:sz w:val="32"/>
          <w:szCs w:val="32"/>
          <w:lang w:eastAsia="zh-CN"/>
        </w:rPr>
        <w:t>五</w:t>
      </w:r>
      <w:r>
        <w:rPr>
          <w:rFonts w:hint="eastAsia" w:ascii="黑体" w:hAnsi="黑体" w:eastAsia="黑体" w:cs="黑体"/>
          <w:sz w:val="32"/>
          <w:szCs w:val="32"/>
        </w:rPr>
        <w:t xml:space="preserve"> </w:t>
      </w:r>
      <w:r>
        <w:rPr>
          <w:rFonts w:hint="eastAsia" w:ascii="黑体" w:hAnsi="黑体" w:eastAsia="黑体" w:cs="黑体"/>
          <w:sz w:val="32"/>
          <w:szCs w:val="32"/>
          <w:lang w:eastAsia="zh-CN"/>
        </w:rPr>
        <w:t>、</w:t>
      </w:r>
      <w:r>
        <w:rPr>
          <w:rFonts w:hint="eastAsia" w:ascii="黑体" w:hAnsi="黑体" w:eastAsia="黑体" w:cs="黑体"/>
          <w:sz w:val="32"/>
          <w:szCs w:val="32"/>
        </w:rPr>
        <w:t>预算绩效</w:t>
      </w:r>
      <w:r>
        <w:rPr>
          <w:rFonts w:hint="eastAsia" w:ascii="黑体" w:hAnsi="黑体" w:eastAsia="黑体" w:cs="黑体"/>
          <w:sz w:val="32"/>
          <w:szCs w:val="32"/>
          <w:lang w:eastAsia="zh-CN"/>
        </w:rPr>
        <w:t>信息</w:t>
      </w:r>
    </w:p>
    <w:p>
      <w:pPr>
        <w:ind w:firstLine="640"/>
      </w:pPr>
      <w:r>
        <w:rPr>
          <w:rFonts w:ascii="方正楷体_GBK" w:hAnsi="方正楷体_GBK" w:eastAsia="方正楷体_GBK" w:cs="方正楷体_GBK"/>
          <w:b/>
          <w:color w:val="000000"/>
          <w:sz w:val="32"/>
        </w:rPr>
        <w:t xml:space="preserve">第一部分 </w:t>
      </w:r>
      <w:r>
        <w:rPr>
          <w:rFonts w:hint="eastAsia" w:ascii="方正楷体_GBK" w:hAnsi="方正楷体_GBK" w:eastAsia="方正楷体_GBK" w:cs="方正楷体_GBK"/>
          <w:b/>
          <w:color w:val="000000"/>
          <w:sz w:val="32"/>
          <w:lang w:val="en-US" w:eastAsia="zh-CN"/>
        </w:rPr>
        <w:t>单位</w:t>
      </w:r>
      <w:r>
        <w:rPr>
          <w:rFonts w:ascii="方正楷体_GBK" w:hAnsi="方正楷体_GBK" w:eastAsia="方正楷体_GBK" w:cs="方正楷体_GBK"/>
          <w:b/>
          <w:color w:val="000000"/>
          <w:sz w:val="32"/>
        </w:rPr>
        <w:t>整体绩效目标</w:t>
      </w:r>
    </w:p>
    <w:p>
      <w:pPr>
        <w:spacing w:line="500" w:lineRule="exact"/>
        <w:ind w:firstLine="560"/>
      </w:pPr>
      <w:r>
        <w:rPr>
          <w:rFonts w:eastAsia="方正仿宋_GBK"/>
          <w:color w:val="000000"/>
          <w:sz w:val="28"/>
        </w:rPr>
        <w:t>（一）总体绩效目标</w:t>
      </w:r>
    </w:p>
    <w:p>
      <w:pPr>
        <w:pStyle w:val="23"/>
      </w:pPr>
      <w:r>
        <w:t>弘扬科学精神，普及科学知识，传播科学思想和科学方法。捍卫科学尊严，推广先进技术，开展青少年科学技术教育活动，提高全民族科学文化素质；组织各学会单位，定期举办各种科普宣传活动；每年举办科技周活动，科技之春，科技之冬等活动，通过科学知识普及活动，提高广大民的科学素质，确保科学知识普及面积增长，各项科普活动争取达到10次以上；深入实施科普惠农兴村计划和全民科学素质纲要，以大型科普活动为载体，开展科技咨询服务，完善科普服务站建设，举办全国农民科学素质网络知识竞赛，提高城乡群众和青少年的科技素质。力争一年内完成农村科技培训10次,参与活动的科技工作者30人次,引进各项新技术,新品种15个,新组建规范化农技协组织5个,新培养市级科普示范户30个,新建科普示范基地3个,开展科普进社区活动8次,受益人数达400人次。</w:t>
      </w:r>
    </w:p>
    <w:p>
      <w:pPr>
        <w:pStyle w:val="23"/>
      </w:pPr>
    </w:p>
    <w:p>
      <w:pPr>
        <w:spacing w:line="500" w:lineRule="exact"/>
        <w:ind w:firstLine="560"/>
      </w:pPr>
      <w:r>
        <w:rPr>
          <w:rFonts w:eastAsia="方正仿宋_GBK"/>
          <w:color w:val="000000"/>
          <w:sz w:val="28"/>
        </w:rPr>
        <w:t>（二）分项绩效目标</w:t>
      </w:r>
    </w:p>
    <w:p>
      <w:pPr>
        <w:pStyle w:val="24"/>
      </w:pPr>
      <w:r>
        <w:t>在省市科协的正确领导下，紧紧围绕县委县政府中心工作，制定了各项县科协职能绩效目标，在推动科学发展、后发赶超、同步小康和科协事业跨越发展中发挥重要作用。县科协对照下达的目标任务，逐项跟踪督促落实，采取年终考评与平时督查相结合、现场考评与考评组测评相结合方式，对各项的绩效目标任务完成情况进行了全面考评。考评中年度目标工作将与以往考评存在较大不同，更加注重过程控制和整体效果体现。进行等级设置，按照目标制定的评价体系，把过去“先进、达标、不达标”变为“达标和不达标”两个层级。同时，在科普达标中设置出“优、良、中、差”四个档次，并以“优”档定在8次以上，“良”档6次以上，“中”档原则上5次以上，“差”档上以3次以下为标准，力争达优。</w:t>
      </w:r>
    </w:p>
    <w:p>
      <w:pPr>
        <w:spacing w:line="500" w:lineRule="exact"/>
        <w:ind w:firstLine="560"/>
      </w:pPr>
      <w:r>
        <w:rPr>
          <w:rFonts w:eastAsia="方正仿宋_GBK"/>
          <w:color w:val="000000"/>
          <w:sz w:val="28"/>
        </w:rPr>
        <w:t>（三）工作保障措施</w:t>
      </w:r>
    </w:p>
    <w:p>
      <w:pPr>
        <w:pStyle w:val="25"/>
      </w:pPr>
      <w:r>
        <w:rPr>
          <w:rFonts w:hint="eastAsia"/>
          <w:lang w:val="en-US" w:eastAsia="zh-CN"/>
        </w:rPr>
        <w:t>1.</w:t>
      </w:r>
      <w:r>
        <w:t>加大对县级科协工作指导力度，确保各项科普活动取得实效。</w:t>
      </w:r>
    </w:p>
    <w:p>
      <w:pPr>
        <w:pStyle w:val="25"/>
      </w:pPr>
      <w:r>
        <w:rPr>
          <w:rFonts w:hint="eastAsia"/>
          <w:lang w:val="en-US" w:eastAsia="zh-CN"/>
        </w:rPr>
        <w:t>2.</w:t>
      </w:r>
      <w:r>
        <w:t>加强对本年度重点工作的调度检查，保证各项工作按计划有序开展。</w:t>
      </w:r>
    </w:p>
    <w:p>
      <w:pPr>
        <w:pStyle w:val="25"/>
      </w:pPr>
      <w:r>
        <w:rPr>
          <w:rFonts w:hint="eastAsia"/>
          <w:lang w:val="en-US" w:eastAsia="zh-CN"/>
        </w:rPr>
        <w:t>3.</w:t>
      </w:r>
      <w:r>
        <w:t>加大对科技工作者服务力度，为科技工作者搭建交流平台，引导广大科技工作者在推动科技进步、自主创新实践中建功立业。</w:t>
      </w:r>
    </w:p>
    <w:p>
      <w:pPr>
        <w:pStyle w:val="25"/>
      </w:pPr>
      <w:r>
        <w:rPr>
          <w:rFonts w:hint="eastAsia"/>
          <w:lang w:val="en-US" w:eastAsia="zh-CN"/>
        </w:rPr>
        <w:t>4.</w:t>
      </w:r>
      <w:r>
        <w:t>加大对科技宣传及科技创新工作检查力度，进一步拓宽科普宣传渠道。</w:t>
      </w:r>
    </w:p>
    <w:p>
      <w:pPr>
        <w:pStyle w:val="25"/>
      </w:pPr>
      <w:r>
        <w:rPr>
          <w:rFonts w:hint="eastAsia"/>
          <w:lang w:val="en-US" w:eastAsia="zh-CN"/>
        </w:rPr>
        <w:t>5.</w:t>
      </w:r>
      <w:r>
        <w:t>提升内部服务能力，保障各项工作顺利开展。</w:t>
      </w:r>
    </w:p>
    <w:p>
      <w:pPr>
        <w:ind w:firstLine="640"/>
        <w:rPr>
          <w:rFonts w:hint="eastAsia" w:ascii="方正楷体_GBK" w:hAnsi="方正楷体_GBK" w:cs="方正楷体_GBK" w:eastAsiaTheme="minorEastAsia"/>
          <w:b/>
          <w:color w:val="000000"/>
          <w:sz w:val="32"/>
          <w:lang w:eastAsia="zh-CN"/>
        </w:rPr>
      </w:pPr>
      <w:r>
        <w:rPr>
          <w:rFonts w:ascii="方正楷体_GBK" w:hAnsi="方正楷体_GBK" w:eastAsia="方正楷体_GBK" w:cs="方正楷体_GBK"/>
          <w:b/>
          <w:color w:val="000000"/>
          <w:sz w:val="32"/>
        </w:rPr>
        <w:t>第二部分  专项资金绩效目标</w:t>
      </w:r>
    </w:p>
    <w:p>
      <w:pPr>
        <w:pStyle w:val="20"/>
        <w:ind w:left="0" w:leftChars="0" w:firstLine="560" w:firstLineChars="200"/>
        <w:rPr>
          <w:rFonts w:hint="eastAsia" w:eastAsia="方正仿宋_GBK"/>
          <w:lang w:val="en-US" w:eastAsia="zh-CN"/>
        </w:rPr>
      </w:pPr>
      <w:r>
        <w:rPr>
          <w:rFonts w:hint="eastAsia"/>
          <w:lang w:val="en-US" w:eastAsia="zh-CN"/>
        </w:rPr>
        <w:t>无</w:t>
      </w:r>
    </w:p>
    <w:p>
      <w:pPr>
        <w:pStyle w:val="20"/>
        <w:ind w:left="0" w:leftChars="0" w:firstLine="0" w:firstLineChars="0"/>
        <w:rPr>
          <w:rFonts w:hint="default" w:eastAsia="方正仿宋_GBK"/>
          <w:lang w:val="en-US" w:eastAsia="zh-CN"/>
        </w:rPr>
      </w:pPr>
      <w:r>
        <w:rPr>
          <w:rFonts w:hint="eastAsia"/>
          <w:lang w:val="en-US" w:eastAsia="zh-CN"/>
        </w:rPr>
        <w:t xml:space="preserve">        </w:t>
      </w:r>
      <w:r>
        <w:rPr>
          <w:rFonts w:ascii="方正楷体_GBK" w:hAnsi="方正楷体_GBK" w:eastAsia="方正楷体_GBK" w:cs="方正楷体_GBK"/>
          <w:b/>
          <w:color w:val="000000"/>
          <w:sz w:val="32"/>
        </w:rPr>
        <w:t>第三部分  预算项目绩效目标</w:t>
      </w:r>
    </w:p>
    <w:p>
      <w:pPr>
        <w:pStyle w:val="20"/>
        <w:ind w:left="0" w:leftChars="0" w:firstLine="560" w:firstLineChars="200"/>
      </w:pPr>
      <w:r>
        <w:t>1、202</w:t>
      </w:r>
      <w:r>
        <w:rPr>
          <w:rFonts w:hint="eastAsia"/>
          <w:lang w:val="en-US" w:eastAsia="zh-CN"/>
        </w:rPr>
        <w:t>3</w:t>
      </w:r>
      <w:r>
        <w:t>年基层科普行动计划奖补资金绩效目标表</w:t>
      </w:r>
    </w:p>
    <w:p>
      <w:pPr>
        <w:pStyle w:val="20"/>
      </w:pPr>
    </w:p>
    <w:p>
      <w:pPr>
        <w:pStyle w:val="20"/>
        <w:rPr>
          <w:rFonts w:hint="eastAsia"/>
          <w:lang w:val="en-US" w:eastAsia="zh-CN"/>
        </w:rPr>
      </w:pPr>
      <w:r>
        <w:rPr>
          <w:rFonts w:hint="eastAsia"/>
          <w:lang w:val="en-US" w:eastAsia="zh-CN"/>
        </w:rPr>
        <w:t xml:space="preserve">                    </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1.用于激发基层科普典型开展科普活动的积极性。</w:t>
            </w:r>
          </w:p>
        </w:tc>
      </w:tr>
    </w:tbl>
    <w:p>
      <w:pPr>
        <w:spacing w:line="2" w:lineRule="exact"/>
        <w:jc w:val="center"/>
      </w:pP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宣传资料印刷册数</w:t>
            </w:r>
          </w:p>
        </w:tc>
        <w:tc>
          <w:tcPr>
            <w:tcW w:w="2835" w:type="dxa"/>
            <w:vAlign w:val="center"/>
          </w:tcPr>
          <w:p>
            <w:pPr>
              <w:pStyle w:val="14"/>
            </w:pPr>
            <w:r>
              <w:t>宣传资料印刷册数</w:t>
            </w:r>
          </w:p>
        </w:tc>
        <w:tc>
          <w:tcPr>
            <w:tcW w:w="2551" w:type="dxa"/>
            <w:vAlign w:val="center"/>
          </w:tcPr>
          <w:p>
            <w:pPr>
              <w:pStyle w:val="14"/>
            </w:pPr>
            <w:r>
              <w:t>≥50000份</w:t>
            </w:r>
          </w:p>
        </w:tc>
        <w:tc>
          <w:tcPr>
            <w:tcW w:w="2268" w:type="dxa"/>
            <w:vAlign w:val="center"/>
          </w:tcPr>
          <w:p>
            <w:pPr>
              <w:pStyle w:val="14"/>
            </w:pPr>
            <w:r>
              <w:t>宣传资料印刷册数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群众科普活动参与率</w:t>
            </w:r>
          </w:p>
        </w:tc>
        <w:tc>
          <w:tcPr>
            <w:tcW w:w="2835" w:type="dxa"/>
            <w:vAlign w:val="center"/>
          </w:tcPr>
          <w:p>
            <w:pPr>
              <w:pStyle w:val="14"/>
            </w:pPr>
            <w:r>
              <w:t>群众科普活动参与率</w:t>
            </w:r>
          </w:p>
        </w:tc>
        <w:tc>
          <w:tcPr>
            <w:tcW w:w="2551" w:type="dxa"/>
            <w:vAlign w:val="center"/>
          </w:tcPr>
          <w:p>
            <w:pPr>
              <w:pStyle w:val="14"/>
            </w:pPr>
            <w:r>
              <w:t>≥80百分比</w:t>
            </w:r>
          </w:p>
        </w:tc>
        <w:tc>
          <w:tcPr>
            <w:tcW w:w="2268" w:type="dxa"/>
            <w:vAlign w:val="center"/>
          </w:tcPr>
          <w:p>
            <w:pPr>
              <w:pStyle w:val="14"/>
            </w:pPr>
            <w:r>
              <w:t>群众科普活动参与率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≥80百分比</w:t>
            </w:r>
          </w:p>
        </w:tc>
        <w:tc>
          <w:tcPr>
            <w:tcW w:w="2268" w:type="dxa"/>
            <w:vAlign w:val="center"/>
          </w:tcPr>
          <w:p>
            <w:pPr>
              <w:pStyle w:val="14"/>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按总成本控制</w:t>
            </w:r>
          </w:p>
        </w:tc>
        <w:tc>
          <w:tcPr>
            <w:tcW w:w="2835" w:type="dxa"/>
            <w:vAlign w:val="center"/>
          </w:tcPr>
          <w:p>
            <w:pPr>
              <w:pStyle w:val="14"/>
            </w:pPr>
            <w:r>
              <w:t>按总成本控制</w:t>
            </w:r>
          </w:p>
        </w:tc>
        <w:tc>
          <w:tcPr>
            <w:tcW w:w="2551" w:type="dxa"/>
            <w:vAlign w:val="center"/>
          </w:tcPr>
          <w:p>
            <w:pPr>
              <w:pStyle w:val="14"/>
            </w:pPr>
            <w:r>
              <w:t>≥80百分比</w:t>
            </w:r>
          </w:p>
        </w:tc>
        <w:tc>
          <w:tcPr>
            <w:tcW w:w="2268" w:type="dxa"/>
            <w:vAlign w:val="center"/>
          </w:tcPr>
          <w:p>
            <w:pPr>
              <w:pStyle w:val="14"/>
            </w:pPr>
            <w:r>
              <w:t>按总成本控制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主推技术到位率</w:t>
            </w:r>
          </w:p>
        </w:tc>
        <w:tc>
          <w:tcPr>
            <w:tcW w:w="2835" w:type="dxa"/>
            <w:vAlign w:val="center"/>
          </w:tcPr>
          <w:p>
            <w:pPr>
              <w:pStyle w:val="14"/>
            </w:pPr>
            <w:r>
              <w:t>主推技术到位率</w:t>
            </w:r>
          </w:p>
        </w:tc>
        <w:tc>
          <w:tcPr>
            <w:tcW w:w="2551" w:type="dxa"/>
            <w:vAlign w:val="center"/>
          </w:tcPr>
          <w:p>
            <w:pPr>
              <w:pStyle w:val="14"/>
            </w:pPr>
            <w:r>
              <w:t>≥85百分比</w:t>
            </w:r>
          </w:p>
        </w:tc>
        <w:tc>
          <w:tcPr>
            <w:tcW w:w="2268" w:type="dxa"/>
            <w:vAlign w:val="center"/>
          </w:tcPr>
          <w:p>
            <w:pPr>
              <w:pStyle w:val="14"/>
            </w:pPr>
            <w:r>
              <w:t>主推技术到位率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不断推进专业技术人才队伍建设</w:t>
            </w:r>
          </w:p>
        </w:tc>
        <w:tc>
          <w:tcPr>
            <w:tcW w:w="2835" w:type="dxa"/>
            <w:vAlign w:val="center"/>
          </w:tcPr>
          <w:p>
            <w:pPr>
              <w:pStyle w:val="14"/>
            </w:pPr>
            <w:r>
              <w:t>不断推进专业技术人才队伍建设</w:t>
            </w:r>
          </w:p>
        </w:tc>
        <w:tc>
          <w:tcPr>
            <w:tcW w:w="2551" w:type="dxa"/>
            <w:vAlign w:val="center"/>
          </w:tcPr>
          <w:p>
            <w:pPr>
              <w:pStyle w:val="14"/>
            </w:pPr>
            <w:r>
              <w:t>≥75百分比</w:t>
            </w:r>
          </w:p>
        </w:tc>
        <w:tc>
          <w:tcPr>
            <w:tcW w:w="2268" w:type="dxa"/>
            <w:vAlign w:val="center"/>
          </w:tcPr>
          <w:p>
            <w:pPr>
              <w:pStyle w:val="14"/>
            </w:pPr>
            <w:r>
              <w:t>不断推进专业技术人才队伍建设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普及农业科技和政策</w:t>
            </w:r>
          </w:p>
        </w:tc>
        <w:tc>
          <w:tcPr>
            <w:tcW w:w="2835" w:type="dxa"/>
            <w:vAlign w:val="center"/>
          </w:tcPr>
          <w:p>
            <w:pPr>
              <w:pStyle w:val="14"/>
            </w:pPr>
            <w:r>
              <w:t>普及农业科技和政策</w:t>
            </w:r>
          </w:p>
        </w:tc>
        <w:tc>
          <w:tcPr>
            <w:tcW w:w="2551" w:type="dxa"/>
            <w:vAlign w:val="center"/>
          </w:tcPr>
          <w:p>
            <w:pPr>
              <w:pStyle w:val="14"/>
            </w:pPr>
            <w:r>
              <w:t>≥85百分比</w:t>
            </w:r>
          </w:p>
        </w:tc>
        <w:tc>
          <w:tcPr>
            <w:tcW w:w="2268" w:type="dxa"/>
            <w:vAlign w:val="center"/>
          </w:tcPr>
          <w:p>
            <w:pPr>
              <w:pStyle w:val="14"/>
            </w:pPr>
            <w:r>
              <w:t>普及农业科技和政策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示范带动作用</w:t>
            </w:r>
          </w:p>
        </w:tc>
        <w:tc>
          <w:tcPr>
            <w:tcW w:w="2835" w:type="dxa"/>
            <w:vAlign w:val="center"/>
          </w:tcPr>
          <w:p>
            <w:pPr>
              <w:pStyle w:val="14"/>
            </w:pPr>
            <w:r>
              <w:t>示范带动作用</w:t>
            </w:r>
          </w:p>
        </w:tc>
        <w:tc>
          <w:tcPr>
            <w:tcW w:w="2551" w:type="dxa"/>
            <w:vAlign w:val="center"/>
          </w:tcPr>
          <w:p>
            <w:pPr>
              <w:pStyle w:val="14"/>
            </w:pPr>
            <w:r>
              <w:t>≥80百分比</w:t>
            </w:r>
          </w:p>
        </w:tc>
        <w:tc>
          <w:tcPr>
            <w:tcW w:w="2268" w:type="dxa"/>
            <w:vAlign w:val="center"/>
          </w:tcPr>
          <w:p>
            <w:pPr>
              <w:pStyle w:val="14"/>
            </w:pPr>
            <w:r>
              <w:t>示范带动作用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≥90百分比</w:t>
            </w:r>
          </w:p>
        </w:tc>
        <w:tc>
          <w:tcPr>
            <w:tcW w:w="2268" w:type="dxa"/>
            <w:vAlign w:val="center"/>
          </w:tcPr>
          <w:p>
            <w:pPr>
              <w:pStyle w:val="14"/>
            </w:pPr>
            <w:r>
              <w:t>服务对象满意度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≥90百分比</w:t>
            </w:r>
          </w:p>
        </w:tc>
        <w:tc>
          <w:tcPr>
            <w:tcW w:w="2268" w:type="dxa"/>
            <w:vAlign w:val="center"/>
          </w:tcPr>
          <w:p>
            <w:pPr>
              <w:pStyle w:val="14"/>
            </w:pPr>
            <w:r>
              <w:t>服务对象满意度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≥90百分比</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pStyle w:val="20"/>
      </w:pPr>
      <w:r>
        <w:rPr>
          <w:rFonts w:hint="eastAsia" w:ascii="黑体" w:hAnsi="黑体" w:eastAsia="黑体" w:cs="黑体"/>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2023年，无极县科学技术协会安排政府采购预算0.00万元。具体内容见下表。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rPr>
                <w:rFonts w:hint="eastAsia" w:eastAsia="方正小标宋_GBK"/>
                <w:lang w:eastAsia="zh-CN"/>
              </w:rPr>
            </w:pPr>
            <w:r>
              <w:t>731无极县科学技术协会</w:t>
            </w:r>
            <w:r>
              <w:rPr>
                <w:rFonts w:hint="eastAsia"/>
                <w:lang w:eastAsia="zh-CN"/>
              </w:rPr>
              <w:t>本级</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eastAsia="zh-CN"/>
        </w:rPr>
        <w:t>本单位</w:t>
      </w:r>
      <w:r>
        <w:rPr>
          <w:rFonts w:ascii="方正书宋_GBK" w:hAnsi="方正书宋_GBK" w:eastAsia="方正书宋_GBK" w:cs="方正书宋_GBK"/>
          <w:color w:val="000000"/>
          <w:sz w:val="21"/>
        </w:rPr>
        <w:t>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无极县科学技术协会（含所属单位）上年末固定资产金额为6.77万元（详见下表）。本年度拟购置固定资产总额为0.00万元。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rPr>
                <w:rFonts w:hint="eastAsia" w:eastAsia="方正小标宋_GBK"/>
                <w:lang w:eastAsia="zh-CN"/>
              </w:rPr>
            </w:pPr>
            <w:r>
              <w:t>731无极县科学技术协会</w:t>
            </w:r>
            <w:r>
              <w:rPr>
                <w:rFonts w:hint="eastAsia"/>
                <w:lang w:eastAsia="zh-CN"/>
              </w:rPr>
              <w:t>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w:t>
            </w:r>
            <w:r>
              <w:rPr>
                <w:rFonts w:hint="eastAsia"/>
                <w:lang w:val="en-US" w:eastAsia="zh-CN"/>
              </w:rPr>
              <w:t>2</w:t>
            </w: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6.77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4"/>
            </w:pPr>
            <w:r>
              <w:t>4、其他固定资产</w:t>
            </w:r>
          </w:p>
        </w:tc>
        <w:tc>
          <w:tcPr>
            <w:tcW w:w="4933" w:type="dxa"/>
            <w:vAlign w:val="center"/>
          </w:tcPr>
          <w:p>
            <w:pPr>
              <w:pStyle w:val="15"/>
            </w:pPr>
            <w:r>
              <w:t>23</w:t>
            </w:r>
          </w:p>
        </w:tc>
        <w:tc>
          <w:tcPr>
            <w:tcW w:w="4933" w:type="dxa"/>
            <w:vAlign w:val="center"/>
          </w:tcPr>
          <w:p>
            <w:pPr>
              <w:pStyle w:val="13"/>
            </w:pPr>
            <w:bookmarkStart w:id="1" w:name="_GoBack"/>
            <w:bookmarkEnd w:id="1"/>
            <w:r>
              <w:t>6.77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ascii="方正书宋_GBK" w:hAnsi="方正书宋_GBK" w:eastAsia="方正仿宋_GBK" w:cs="方正书宋_GBK"/>
          <w:color w:val="000000"/>
          <w:sz w:val="21"/>
          <w:lang w:eastAsia="zh-CN"/>
        </w:rPr>
        <w:sectPr>
          <w:pgSz w:w="16840" w:h="11900" w:orient="landscape"/>
          <w:pgMar w:top="1361" w:right="1020" w:bottom="1361" w:left="1020" w:header="720" w:footer="720" w:gutter="0"/>
          <w:cols w:space="720" w:num="1"/>
        </w:sectPr>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无其他需要说明的事项</w:t>
      </w:r>
      <w:r>
        <w:rPr>
          <w:rFonts w:hint="eastAsia" w:eastAsia="方正仿宋_GBK" w:cs="Times New Roman"/>
          <w:b w:val="0"/>
          <w:color w:val="000000"/>
          <w:sz w:val="28"/>
          <w:lang w:eastAsia="zh-CN"/>
        </w:rPr>
        <w:t>。</w:t>
      </w:r>
    </w:p>
    <w:p>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Arial Unicode MS">
    <w:altName w:val="宋体"/>
    <w:panose1 w:val="020B0604020202020204"/>
    <w:charset w:val="86"/>
    <w:family w:val="auto"/>
    <w:pitch w:val="default"/>
    <w:sig w:usb0="00000000" w:usb1="00000000" w:usb2="0000003F" w:usb3="00000000" w:csb0="603F01FF" w:csb1="FFFF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E4MzM5MjM2NjAzNjkyNmM5OWQxN2ViNjM2MGVkZWEifQ=="/>
  </w:docVars>
  <w:rsids>
    <w:rsidRoot w:val="00000000"/>
    <w:rsid w:val="012672A6"/>
    <w:rsid w:val="06646B6C"/>
    <w:rsid w:val="073E5F13"/>
    <w:rsid w:val="0AB47515"/>
    <w:rsid w:val="108C5A71"/>
    <w:rsid w:val="179A1B6A"/>
    <w:rsid w:val="18293D0E"/>
    <w:rsid w:val="18792260"/>
    <w:rsid w:val="19375EF6"/>
    <w:rsid w:val="19AA312F"/>
    <w:rsid w:val="1B92771D"/>
    <w:rsid w:val="1D561B4E"/>
    <w:rsid w:val="1FBA6397"/>
    <w:rsid w:val="25C0382A"/>
    <w:rsid w:val="27A33524"/>
    <w:rsid w:val="286B715F"/>
    <w:rsid w:val="297F39EF"/>
    <w:rsid w:val="2F8A704F"/>
    <w:rsid w:val="30F25D1A"/>
    <w:rsid w:val="326A5F2A"/>
    <w:rsid w:val="34D92ABF"/>
    <w:rsid w:val="37137A9B"/>
    <w:rsid w:val="3A715CA4"/>
    <w:rsid w:val="410366B2"/>
    <w:rsid w:val="41912E6E"/>
    <w:rsid w:val="441456A6"/>
    <w:rsid w:val="480D59F1"/>
    <w:rsid w:val="4974039A"/>
    <w:rsid w:val="49834F9B"/>
    <w:rsid w:val="49951D30"/>
    <w:rsid w:val="49C01457"/>
    <w:rsid w:val="4C410BDD"/>
    <w:rsid w:val="4D444572"/>
    <w:rsid w:val="4E8F7BD0"/>
    <w:rsid w:val="4F57371C"/>
    <w:rsid w:val="5B56572C"/>
    <w:rsid w:val="5D6968E3"/>
    <w:rsid w:val="64290051"/>
    <w:rsid w:val="65B9756F"/>
    <w:rsid w:val="6A69405F"/>
    <w:rsid w:val="6B016CA8"/>
    <w:rsid w:val="6CC22541"/>
    <w:rsid w:val="6EAF2FCD"/>
    <w:rsid w:val="71E11FAB"/>
    <w:rsid w:val="733A6D98"/>
    <w:rsid w:val="743E73E9"/>
    <w:rsid w:val="75D96E2A"/>
    <w:rsid w:val="7600324B"/>
    <w:rsid w:val="76B96AB4"/>
    <w:rsid w:val="77F75F34"/>
    <w:rsid w:val="7CC1355B"/>
    <w:rsid w:val="7E5D17D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character" w:customStyle="1" w:styleId="31">
    <w:name w:val="font122"/>
    <w:basedOn w:val="8"/>
    <w:qFormat/>
    <w:uiPriority w:val="0"/>
    <w:rPr>
      <w:rFonts w:hint="eastAsia" w:ascii="宋体" w:hAnsi="宋体" w:eastAsia="宋体" w:cs="宋体"/>
      <w:color w:val="000000"/>
      <w:sz w:val="16"/>
      <w:szCs w:val="16"/>
      <w:u w:val="none"/>
    </w:rPr>
  </w:style>
  <w:style w:type="character" w:customStyle="1" w:styleId="32">
    <w:name w:val="font141"/>
    <w:basedOn w:val="8"/>
    <w:qFormat/>
    <w:uiPriority w:val="0"/>
    <w:rPr>
      <w:rFonts w:ascii="Calibri" w:hAnsi="Calibri" w:cs="Calibri"/>
      <w:color w:val="000000"/>
      <w:sz w:val="16"/>
      <w:szCs w:val="16"/>
      <w:u w:val="none"/>
    </w:rPr>
  </w:style>
  <w:style w:type="character" w:customStyle="1" w:styleId="33">
    <w:name w:val="font151"/>
    <w:basedOn w:val="8"/>
    <w:qFormat/>
    <w:uiPriority w:val="0"/>
    <w:rPr>
      <w:rFonts w:ascii="Arial Unicode MS" w:hAnsi="Arial Unicode MS" w:eastAsia="Arial Unicode MS" w:cs="Arial Unicode MS"/>
      <w:color w:val="000000"/>
      <w:sz w:val="16"/>
      <w:szCs w:val="16"/>
      <w:u w:val="none"/>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2023-05-15T14:27:45Z</dcterms:created>
  <dcterms:modified xsi:type="dcterms:W3CDTF">2023-05-15T06:27:45Z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2023-05-15T14:27:45Z</dcterms:created>
  <dcterms:modified xsi:type="dcterms:W3CDTF">2023-05-15T06:27:45Z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2023-05-15T14:27:41Z</dcterms:created>
  <dcterms:modified xsi:type="dcterms:W3CDTF">2023-05-15T06:27:41Z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2023-05-15T14:27:41Z</dcterms:created>
  <dcterms:modified xsi:type="dcterms:W3CDTF">2023-05-15T06:27:41Z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2023-05-15T14:27:42Z</dcterms:created>
  <dcterms:modified xsi:type="dcterms:W3CDTF">2023-05-15T06:27:42Z</dcterms:modified>
</cp:coreProperties>
</file>

<file path=customXml/itemProps1.xml><?xml version="1.0" encoding="utf-8"?>
<ds:datastoreItem xmlns:ds="http://schemas.openxmlformats.org/officeDocument/2006/customXml" ds:itemID="{dd0b1c41-c395-4beb-a64e-d41b7d8abaa5}">
  <ds:schemaRefs/>
</ds:datastoreItem>
</file>

<file path=customXml/itemProps10.xml><?xml version="1.0" encoding="utf-8"?>
<ds:datastoreItem xmlns:ds="http://schemas.openxmlformats.org/officeDocument/2006/customXml" ds:itemID="{59e795b4-5f37-4093-83f1-14d9c397c481}">
  <ds:schemaRefs/>
</ds:datastoreItem>
</file>

<file path=customXml/itemProps2.xml><?xml version="1.0" encoding="utf-8"?>
<ds:datastoreItem xmlns:ds="http://schemas.openxmlformats.org/officeDocument/2006/customXml" ds:itemID="{925aa438-465c-4f83-9646-11a3d6c3947d}">
  <ds:schemaRefs/>
</ds:datastoreItem>
</file>

<file path=customXml/itemProps3.xml><?xml version="1.0" encoding="utf-8"?>
<ds:datastoreItem xmlns:ds="http://schemas.openxmlformats.org/officeDocument/2006/customXml" ds:itemID="{421b7910-d7e8-45ef-8081-d7c15ed47eeb}">
  <ds:schemaRefs/>
</ds:datastoreItem>
</file>

<file path=customXml/itemProps4.xml><?xml version="1.0" encoding="utf-8"?>
<ds:datastoreItem xmlns:ds="http://schemas.openxmlformats.org/officeDocument/2006/customXml" ds:itemID="{a9cf2159-3916-4434-bcc9-1b55e910852e}">
  <ds:schemaRefs/>
</ds:datastoreItem>
</file>

<file path=customXml/itemProps5.xml><?xml version="1.0" encoding="utf-8"?>
<ds:datastoreItem xmlns:ds="http://schemas.openxmlformats.org/officeDocument/2006/customXml" ds:itemID="{5a1a4c6d-ed05-407e-b2ac-f5eb40647f12}">
  <ds:schemaRefs/>
</ds:datastoreItem>
</file>

<file path=customXml/itemProps6.xml><?xml version="1.0" encoding="utf-8"?>
<ds:datastoreItem xmlns:ds="http://schemas.openxmlformats.org/officeDocument/2006/customXml" ds:itemID="{0816b907-32ad-42d8-9cee-fdb249855583}">
  <ds:schemaRefs/>
</ds:datastoreItem>
</file>

<file path=customXml/itemProps7.xml><?xml version="1.0" encoding="utf-8"?>
<ds:datastoreItem xmlns:ds="http://schemas.openxmlformats.org/officeDocument/2006/customXml" ds:itemID="{56cee88c-2536-4fe6-9f6a-4c3b94f5f7f7}">
  <ds:schemaRefs/>
</ds:datastoreItem>
</file>

<file path=customXml/itemProps8.xml><?xml version="1.0" encoding="utf-8"?>
<ds:datastoreItem xmlns:ds="http://schemas.openxmlformats.org/officeDocument/2006/customXml" ds:itemID="{cdddb9ad-3ca5-4445-a61f-1694c19421fe}">
  <ds:schemaRefs/>
</ds:datastoreItem>
</file>

<file path=customXml/itemProps9.xml><?xml version="1.0" encoding="utf-8"?>
<ds:datastoreItem xmlns:ds="http://schemas.openxmlformats.org/officeDocument/2006/customXml" ds:itemID="{81670fe7-728e-403c-b1f1-28f00b36d8bf}">
  <ds:schemaRefs/>
</ds:datastoreItem>
</file>

<file path=docProps/app.xml><?xml version="1.0" encoding="utf-8"?>
<Properties xmlns="http://schemas.openxmlformats.org/officeDocument/2006/extended-properties" xmlns:vt="http://schemas.openxmlformats.org/officeDocument/2006/docPropsVTypes">
  <Pages>28</Pages>
  <Words>5666</Words>
  <Characters>6404</Characters>
  <TotalTime>4</TotalTime>
  <ScaleCrop>false</ScaleCrop>
  <LinksUpToDate>false</LinksUpToDate>
  <CharactersWithSpaces>6556</CharactersWithSpaces>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2023-05-15T14:27:00Z</dcterms:created>
  <dc:creator>Administrator</dc:creator>
  <cp:lastModifiedBy>Administrator</cp:lastModifiedBy>
  <cp:lastPrinted>2023-07-21T04:46:00Z</cp:lastPrinted>
  <dcterms:modified xsi:type="dcterms:W3CDTF">2023-09-03T02:43:06Z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3A11C1DC284941FE84049A57AB531DC3_13</vt:lpwstr>
  </property>
</Properties>
</file>