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0" w:name="_Toc22586"/>
      <w:bookmarkStart w:id="39" w:name="_GoBack"/>
      <w:bookmarkEnd w:id="39"/>
      <w:r>
        <w:rPr>
          <w:rFonts w:ascii="黑体" w:hAnsi="黑体" w:eastAsia="黑体" w:cs="黑体"/>
          <w:b/>
          <w:color w:val="000000"/>
          <w:sz w:val="44"/>
        </w:rPr>
        <w:t>2022年部门预算信息公开目录</w:t>
      </w:r>
      <w:bookmarkEnd w:id="0"/>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72"/>
        </w:tabs>
        <w:ind w:left="0" w:leftChars="0" w:firstLine="0" w:firstLineChars="0"/>
      </w:pPr>
      <w:r>
        <w:fldChar w:fldCharType="begin"/>
      </w:r>
      <w:r>
        <w:instrText xml:space="preserve">TOC \o "1-3" \h \u </w:instrText>
      </w:r>
      <w:r>
        <w:fldChar w:fldCharType="separate"/>
      </w:r>
    </w:p>
    <w:p>
      <w:pPr>
        <w:pStyle w:val="31"/>
        <w:tabs>
          <w:tab w:val="right" w:leader="dot" w:pos="14562"/>
        </w:tabs>
        <w:ind w:firstLine="1214" w:firstLineChars="432"/>
        <w:rPr>
          <w:rFonts w:hint="eastAsia" w:cs="Times New Roman"/>
          <w:b/>
          <w:bCs/>
          <w:color w:val="000000"/>
        </w:rPr>
      </w:pPr>
      <w:r>
        <w:rPr>
          <w:rFonts w:hint="eastAsia" w:cs="Times New Roman"/>
          <w:b/>
          <w:bCs/>
          <w:color w:val="000000"/>
        </w:rPr>
        <w:fldChar w:fldCharType="begin"/>
      </w:r>
      <w:r>
        <w:rPr>
          <w:rFonts w:hint="eastAsia" w:cs="Times New Roman"/>
          <w:b/>
          <w:bCs/>
          <w:color w:val="000000"/>
        </w:rPr>
        <w:instrText xml:space="preserve"> HYPERLINK \l _Toc3722 </w:instrText>
      </w:r>
      <w:r>
        <w:rPr>
          <w:rFonts w:hint="eastAsia" w:cs="Times New Roman"/>
          <w:b/>
          <w:bCs/>
          <w:color w:val="000000"/>
        </w:rPr>
        <w:fldChar w:fldCharType="separate"/>
      </w:r>
      <w:r>
        <w:rPr>
          <w:rFonts w:hint="eastAsia" w:cs="Times New Roman"/>
          <w:b/>
          <w:bCs/>
          <w:color w:val="000000"/>
          <w:lang w:val="en-US" w:eastAsia="zh-CN"/>
        </w:rPr>
        <w:t>2022年部门预算信息公开表</w:t>
      </w:r>
      <w:r>
        <w:rPr>
          <w:rFonts w:hint="eastAsia" w:cs="Times New Roman"/>
          <w:b/>
          <w:bCs/>
          <w:color w:val="000000"/>
        </w:rPr>
        <w:tab/>
      </w:r>
      <w:r>
        <w:rPr>
          <w:rFonts w:hint="eastAsia" w:cs="Times New Roman"/>
          <w:b/>
          <w:bCs/>
          <w:color w:val="000000"/>
        </w:rPr>
        <w:fldChar w:fldCharType="begin"/>
      </w:r>
      <w:r>
        <w:rPr>
          <w:rFonts w:hint="eastAsia" w:cs="Times New Roman"/>
          <w:b/>
          <w:bCs/>
          <w:color w:val="000000"/>
        </w:rPr>
        <w:instrText xml:space="preserve"> PAGEREF _Toc3722 </w:instrText>
      </w:r>
      <w:r>
        <w:rPr>
          <w:rFonts w:hint="eastAsia" w:cs="Times New Roman"/>
          <w:b/>
          <w:bCs/>
          <w:color w:val="000000"/>
        </w:rPr>
        <w:fldChar w:fldCharType="separate"/>
      </w:r>
      <w:r>
        <w:rPr>
          <w:rFonts w:hint="eastAsia" w:cs="Times New Roman"/>
          <w:b/>
          <w:bCs/>
          <w:color w:val="000000"/>
        </w:rPr>
        <w:t>3</w:t>
      </w:r>
      <w:r>
        <w:rPr>
          <w:rFonts w:hint="eastAsia" w:cs="Times New Roman"/>
          <w:b/>
          <w:bCs/>
          <w:color w:val="000000"/>
        </w:rPr>
        <w:fldChar w:fldCharType="end"/>
      </w:r>
      <w:r>
        <w:rPr>
          <w:rFonts w:hint="eastAsia" w:cs="Times New Roman"/>
          <w:b/>
          <w:bCs/>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_Toc14144 </w:instrText>
      </w:r>
      <w:r>
        <w:rPr>
          <w:rFonts w:hint="eastAsia" w:cs="Times New Roman"/>
          <w:color w:val="000000"/>
        </w:rPr>
        <w:fldChar w:fldCharType="separate"/>
      </w:r>
      <w:r>
        <w:rPr>
          <w:rFonts w:hint="eastAsia" w:cs="Times New Roman"/>
          <w:color w:val="000000"/>
        </w:rPr>
        <w:t>部门预算收支总表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_Toc14144 </w:instrText>
      </w:r>
      <w:r>
        <w:rPr>
          <w:rFonts w:hint="eastAsia" w:cs="Times New Roman"/>
          <w:color w:val="000000"/>
        </w:rPr>
        <w:fldChar w:fldCharType="separate"/>
      </w:r>
      <w:r>
        <w:rPr>
          <w:rFonts w:hint="eastAsia" w:cs="Times New Roman"/>
          <w:color w:val="000000"/>
        </w:rPr>
        <w:t>3</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_Toc7780 </w:instrText>
      </w:r>
      <w:r>
        <w:rPr>
          <w:rFonts w:hint="eastAsia" w:cs="Times New Roman"/>
          <w:color w:val="000000"/>
        </w:rPr>
        <w:fldChar w:fldCharType="separate"/>
      </w:r>
      <w:r>
        <w:rPr>
          <w:rFonts w:hint="eastAsia" w:cs="Times New Roman"/>
          <w:color w:val="000000"/>
        </w:rPr>
        <w:t>部门预算收入总表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_Toc7780 </w:instrText>
      </w:r>
      <w:r>
        <w:rPr>
          <w:rFonts w:hint="eastAsia" w:cs="Times New Roman"/>
          <w:color w:val="000000"/>
        </w:rPr>
        <w:fldChar w:fldCharType="separate"/>
      </w:r>
      <w:r>
        <w:rPr>
          <w:rFonts w:hint="eastAsia" w:cs="Times New Roman"/>
          <w:color w:val="000000"/>
        </w:rPr>
        <w:t>7</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_Toc14485 </w:instrText>
      </w:r>
      <w:r>
        <w:rPr>
          <w:rFonts w:hint="eastAsia" w:cs="Times New Roman"/>
          <w:color w:val="000000"/>
        </w:rPr>
        <w:fldChar w:fldCharType="separate"/>
      </w:r>
      <w:r>
        <w:rPr>
          <w:rFonts w:hint="eastAsia" w:cs="Times New Roman"/>
          <w:color w:val="000000"/>
        </w:rPr>
        <w:t>部门预算支出总表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_Toc14485 </w:instrText>
      </w:r>
      <w:r>
        <w:rPr>
          <w:rFonts w:hint="eastAsia" w:cs="Times New Roman"/>
          <w:color w:val="000000"/>
        </w:rPr>
        <w:fldChar w:fldCharType="separate"/>
      </w:r>
      <w:r>
        <w:rPr>
          <w:rFonts w:hint="eastAsia" w:cs="Times New Roman"/>
          <w:color w:val="000000"/>
        </w:rPr>
        <w:t>10</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_Toc24792 </w:instrText>
      </w:r>
      <w:r>
        <w:rPr>
          <w:rFonts w:hint="eastAsia" w:cs="Times New Roman"/>
          <w:color w:val="000000"/>
        </w:rPr>
        <w:fldChar w:fldCharType="separate"/>
      </w:r>
      <w:r>
        <w:rPr>
          <w:rFonts w:hint="eastAsia" w:cs="Times New Roman"/>
          <w:color w:val="000000"/>
        </w:rPr>
        <w:t>部门预算财政拨款收支总表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_Toc24792 </w:instrText>
      </w:r>
      <w:r>
        <w:rPr>
          <w:rFonts w:hint="eastAsia" w:cs="Times New Roman"/>
          <w:color w:val="000000"/>
        </w:rPr>
        <w:fldChar w:fldCharType="separate"/>
      </w:r>
      <w:r>
        <w:rPr>
          <w:rFonts w:hint="eastAsia" w:cs="Times New Roman"/>
          <w:color w:val="000000"/>
        </w:rPr>
        <w:t>12</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_Toc4731 </w:instrText>
      </w:r>
      <w:r>
        <w:rPr>
          <w:rFonts w:hint="eastAsia" w:cs="Times New Roman"/>
          <w:color w:val="000000"/>
        </w:rPr>
        <w:fldChar w:fldCharType="separate"/>
      </w:r>
      <w:r>
        <w:rPr>
          <w:rFonts w:hint="eastAsia" w:cs="Times New Roman"/>
          <w:color w:val="000000"/>
        </w:rPr>
        <w:t>部门预算一般公共预算财政拨款支出表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_Toc4731 </w:instrText>
      </w:r>
      <w:r>
        <w:rPr>
          <w:rFonts w:hint="eastAsia" w:cs="Times New Roman"/>
          <w:color w:val="000000"/>
        </w:rPr>
        <w:fldChar w:fldCharType="separate"/>
      </w:r>
      <w:r>
        <w:rPr>
          <w:rFonts w:hint="eastAsia" w:cs="Times New Roman"/>
          <w:color w:val="000000"/>
        </w:rPr>
        <w:t>19</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_Toc4480 </w:instrText>
      </w:r>
      <w:r>
        <w:rPr>
          <w:rFonts w:hint="eastAsia" w:cs="Times New Roman"/>
          <w:color w:val="000000"/>
        </w:rPr>
        <w:fldChar w:fldCharType="separate"/>
      </w:r>
      <w:r>
        <w:rPr>
          <w:rFonts w:hint="eastAsia" w:cs="Times New Roman"/>
          <w:color w:val="000000"/>
        </w:rPr>
        <w:t>部门预算一般公共预算财政拨款基本支出表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_Toc4480 </w:instrText>
      </w:r>
      <w:r>
        <w:rPr>
          <w:rFonts w:hint="eastAsia" w:cs="Times New Roman"/>
          <w:color w:val="000000"/>
        </w:rPr>
        <w:fldChar w:fldCharType="separate"/>
      </w:r>
      <w:r>
        <w:rPr>
          <w:rFonts w:hint="eastAsia" w:cs="Times New Roman"/>
          <w:color w:val="000000"/>
        </w:rPr>
        <w:t>20</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_Toc24339 </w:instrText>
      </w:r>
      <w:r>
        <w:rPr>
          <w:rFonts w:hint="eastAsia" w:cs="Times New Roman"/>
          <w:color w:val="000000"/>
        </w:rPr>
        <w:fldChar w:fldCharType="separate"/>
      </w:r>
      <w:r>
        <w:rPr>
          <w:rFonts w:hint="eastAsia" w:cs="Times New Roman"/>
          <w:color w:val="000000"/>
        </w:rPr>
        <w:t>部门预算政府基金预算财政拨款支出表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_Toc24339 </w:instrText>
      </w:r>
      <w:r>
        <w:rPr>
          <w:rFonts w:hint="eastAsia" w:cs="Times New Roman"/>
          <w:color w:val="000000"/>
        </w:rPr>
        <w:fldChar w:fldCharType="separate"/>
      </w:r>
      <w:r>
        <w:rPr>
          <w:rFonts w:hint="eastAsia" w:cs="Times New Roman"/>
          <w:color w:val="000000"/>
        </w:rPr>
        <w:t>22</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_Toc17185 </w:instrText>
      </w:r>
      <w:r>
        <w:rPr>
          <w:rFonts w:hint="eastAsia" w:cs="Times New Roman"/>
          <w:color w:val="000000"/>
        </w:rPr>
        <w:fldChar w:fldCharType="separate"/>
      </w:r>
      <w:r>
        <w:rPr>
          <w:rFonts w:hint="eastAsia" w:cs="Times New Roman"/>
          <w:color w:val="000000"/>
        </w:rPr>
        <w:t>部门预算国有资本经营预算财政拨款支出表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_Toc17185 </w:instrText>
      </w:r>
      <w:r>
        <w:rPr>
          <w:rFonts w:hint="eastAsia" w:cs="Times New Roman"/>
          <w:color w:val="000000"/>
        </w:rPr>
        <w:fldChar w:fldCharType="separate"/>
      </w:r>
      <w:r>
        <w:rPr>
          <w:rFonts w:hint="eastAsia" w:cs="Times New Roman"/>
          <w:color w:val="000000"/>
        </w:rPr>
        <w:t>23</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_Toc27286 </w:instrText>
      </w:r>
      <w:r>
        <w:rPr>
          <w:rFonts w:hint="eastAsia" w:cs="Times New Roman"/>
          <w:color w:val="000000"/>
        </w:rPr>
        <w:fldChar w:fldCharType="separate"/>
      </w:r>
      <w:r>
        <w:rPr>
          <w:rFonts w:hint="eastAsia" w:cs="Times New Roman"/>
          <w:color w:val="000000"/>
        </w:rPr>
        <w:t>部门预算财政拨款“三公”经费支出表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_Toc27286 </w:instrText>
      </w:r>
      <w:r>
        <w:rPr>
          <w:rFonts w:hint="eastAsia" w:cs="Times New Roman"/>
          <w:color w:val="000000"/>
        </w:rPr>
        <w:fldChar w:fldCharType="separate"/>
      </w:r>
      <w:r>
        <w:rPr>
          <w:rFonts w:hint="eastAsia" w:cs="Times New Roman"/>
          <w:color w:val="000000"/>
        </w:rPr>
        <w:t>24</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214" w:firstLineChars="432"/>
        <w:rPr>
          <w:rFonts w:hint="eastAsia" w:cs="Times New Roman"/>
          <w:color w:val="000000"/>
        </w:rPr>
      </w:pPr>
      <w:r>
        <w:rPr>
          <w:rFonts w:hint="eastAsia" w:cs="Times New Roman"/>
          <w:b/>
          <w:bCs/>
          <w:color w:val="000000"/>
        </w:rPr>
        <w:fldChar w:fldCharType="begin"/>
      </w:r>
      <w:r>
        <w:rPr>
          <w:rFonts w:hint="eastAsia" w:cs="Times New Roman"/>
          <w:b/>
          <w:bCs/>
          <w:color w:val="000000"/>
        </w:rPr>
        <w:instrText xml:space="preserve"> HYPERLINK \l _Toc2954 </w:instrText>
      </w:r>
      <w:r>
        <w:rPr>
          <w:rFonts w:hint="eastAsia" w:cs="Times New Roman"/>
          <w:b/>
          <w:bCs/>
          <w:color w:val="000000"/>
        </w:rPr>
        <w:fldChar w:fldCharType="separate"/>
      </w:r>
      <w:r>
        <w:rPr>
          <w:rFonts w:hint="eastAsia" w:cs="Times New Roman"/>
          <w:b/>
          <w:bCs/>
          <w:color w:val="000000"/>
        </w:rPr>
        <w:t>2022年部门预算信息公开情况说明</w:t>
      </w:r>
      <w:r>
        <w:rPr>
          <w:rFonts w:hint="eastAsia" w:cs="Times New Roman"/>
          <w:b/>
          <w:bCs/>
          <w:color w:val="000000"/>
        </w:rPr>
        <w:tab/>
      </w:r>
      <w:r>
        <w:rPr>
          <w:rFonts w:hint="eastAsia" w:cs="Times New Roman"/>
          <w:b/>
          <w:bCs/>
          <w:color w:val="000000"/>
        </w:rPr>
        <w:fldChar w:fldCharType="begin"/>
      </w:r>
      <w:r>
        <w:rPr>
          <w:rFonts w:hint="eastAsia" w:cs="Times New Roman"/>
          <w:b/>
          <w:bCs/>
          <w:color w:val="000000"/>
        </w:rPr>
        <w:instrText xml:space="preserve"> PAGEREF _Toc2954 </w:instrText>
      </w:r>
      <w:r>
        <w:rPr>
          <w:rFonts w:hint="eastAsia" w:cs="Times New Roman"/>
          <w:b/>
          <w:bCs/>
          <w:color w:val="000000"/>
        </w:rPr>
        <w:fldChar w:fldCharType="separate"/>
      </w:r>
      <w:r>
        <w:rPr>
          <w:rFonts w:hint="eastAsia" w:cs="Times New Roman"/>
          <w:b/>
          <w:bCs/>
          <w:color w:val="000000"/>
        </w:rPr>
        <w:t>25</w:t>
      </w:r>
      <w:r>
        <w:rPr>
          <w:rFonts w:hint="eastAsia" w:cs="Times New Roman"/>
          <w:b/>
          <w:bCs/>
          <w:color w:val="000000"/>
        </w:rPr>
        <w:fldChar w:fldCharType="end"/>
      </w:r>
      <w:r>
        <w:rPr>
          <w:rFonts w:hint="eastAsia" w:cs="Times New Roman"/>
          <w:b/>
          <w:bCs/>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_Toc27683 </w:instrText>
      </w:r>
      <w:r>
        <w:rPr>
          <w:rFonts w:hint="eastAsia" w:cs="Times New Roman"/>
          <w:color w:val="000000"/>
        </w:rPr>
        <w:fldChar w:fldCharType="separate"/>
      </w:r>
      <w:r>
        <w:rPr>
          <w:rFonts w:hint="eastAsia" w:cs="Times New Roman"/>
          <w:color w:val="000000"/>
        </w:rPr>
        <w:t>一、部门职责及机构设置情况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_Toc27683 </w:instrText>
      </w:r>
      <w:r>
        <w:rPr>
          <w:rFonts w:hint="eastAsia" w:cs="Times New Roman"/>
          <w:color w:val="000000"/>
        </w:rPr>
        <w:fldChar w:fldCharType="separate"/>
      </w:r>
      <w:r>
        <w:rPr>
          <w:rFonts w:hint="eastAsia" w:cs="Times New Roman"/>
          <w:color w:val="000000"/>
        </w:rPr>
        <w:t>26</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_Toc9129 </w:instrText>
      </w:r>
      <w:r>
        <w:rPr>
          <w:rFonts w:hint="eastAsia" w:cs="Times New Roman"/>
          <w:color w:val="000000"/>
        </w:rPr>
        <w:fldChar w:fldCharType="separate"/>
      </w:r>
      <w:r>
        <w:rPr>
          <w:rFonts w:hint="eastAsia" w:cs="Times New Roman"/>
          <w:color w:val="000000"/>
        </w:rPr>
        <w:t>二、部门预算安排的总体情况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_Toc9129 </w:instrText>
      </w:r>
      <w:r>
        <w:rPr>
          <w:rFonts w:hint="eastAsia" w:cs="Times New Roman"/>
          <w:color w:val="000000"/>
        </w:rPr>
        <w:fldChar w:fldCharType="separate"/>
      </w:r>
      <w:r>
        <w:rPr>
          <w:rFonts w:hint="eastAsia" w:cs="Times New Roman"/>
          <w:color w:val="000000"/>
        </w:rPr>
        <w:t>28</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_Toc17941 </w:instrText>
      </w:r>
      <w:r>
        <w:rPr>
          <w:rFonts w:hint="eastAsia" w:cs="Times New Roman"/>
          <w:color w:val="000000"/>
        </w:rPr>
        <w:fldChar w:fldCharType="separate"/>
      </w:r>
      <w:r>
        <w:rPr>
          <w:rFonts w:hint="eastAsia" w:cs="Times New Roman"/>
          <w:color w:val="000000"/>
        </w:rPr>
        <w:t>三、机关运行经费安排情况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_Toc17941 </w:instrText>
      </w:r>
      <w:r>
        <w:rPr>
          <w:rFonts w:hint="eastAsia" w:cs="Times New Roman"/>
          <w:color w:val="000000"/>
        </w:rPr>
        <w:fldChar w:fldCharType="separate"/>
      </w:r>
      <w:r>
        <w:rPr>
          <w:rFonts w:hint="eastAsia" w:cs="Times New Roman"/>
          <w:color w:val="000000"/>
        </w:rPr>
        <w:t>29</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_Toc17670 </w:instrText>
      </w:r>
      <w:r>
        <w:rPr>
          <w:rFonts w:hint="eastAsia" w:cs="Times New Roman"/>
          <w:color w:val="000000"/>
        </w:rPr>
        <w:fldChar w:fldCharType="separate"/>
      </w:r>
      <w:r>
        <w:rPr>
          <w:rFonts w:hint="eastAsia" w:cs="Times New Roman"/>
          <w:color w:val="000000"/>
        </w:rPr>
        <w:t>四、财政拨款“三公”经费预算情况及增减变化原因</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_Toc17670 </w:instrText>
      </w:r>
      <w:r>
        <w:rPr>
          <w:rFonts w:hint="eastAsia" w:cs="Times New Roman"/>
          <w:color w:val="000000"/>
        </w:rPr>
        <w:fldChar w:fldCharType="separate"/>
      </w:r>
      <w:r>
        <w:rPr>
          <w:rFonts w:hint="eastAsia" w:cs="Times New Roman"/>
          <w:color w:val="000000"/>
        </w:rPr>
        <w:t>29</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_Toc4615 </w:instrText>
      </w:r>
      <w:r>
        <w:rPr>
          <w:rFonts w:hint="eastAsia" w:cs="Times New Roman"/>
          <w:color w:val="000000"/>
        </w:rPr>
        <w:fldChar w:fldCharType="separate"/>
      </w:r>
      <w:r>
        <w:rPr>
          <w:rFonts w:hint="eastAsia" w:cs="Times New Roman"/>
          <w:color w:val="000000"/>
        </w:rPr>
        <w:t>五、预算绩效信息</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_Toc4615 </w:instrText>
      </w:r>
      <w:r>
        <w:rPr>
          <w:rFonts w:hint="eastAsia" w:cs="Times New Roman"/>
          <w:color w:val="000000"/>
        </w:rPr>
        <w:fldChar w:fldCharType="separate"/>
      </w:r>
      <w:r>
        <w:rPr>
          <w:rFonts w:hint="eastAsia" w:cs="Times New Roman"/>
          <w:color w:val="000000"/>
        </w:rPr>
        <w:t>29</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_Toc6203 </w:instrText>
      </w:r>
      <w:r>
        <w:rPr>
          <w:rFonts w:hint="eastAsia" w:cs="Times New Roman"/>
          <w:color w:val="000000"/>
        </w:rPr>
        <w:fldChar w:fldCharType="separate"/>
      </w:r>
      <w:r>
        <w:rPr>
          <w:rFonts w:hint="eastAsia" w:cs="Times New Roman"/>
          <w:color w:val="000000"/>
        </w:rPr>
        <w:t>六、政府采购预算情况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_Toc6203 </w:instrText>
      </w:r>
      <w:r>
        <w:rPr>
          <w:rFonts w:hint="eastAsia" w:cs="Times New Roman"/>
          <w:color w:val="000000"/>
        </w:rPr>
        <w:fldChar w:fldCharType="separate"/>
      </w:r>
      <w:r>
        <w:rPr>
          <w:rFonts w:hint="eastAsia" w:cs="Times New Roman"/>
          <w:color w:val="000000"/>
        </w:rPr>
        <w:t>41</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_Toc7657 </w:instrText>
      </w:r>
      <w:r>
        <w:rPr>
          <w:rFonts w:hint="eastAsia" w:cs="Times New Roman"/>
          <w:color w:val="000000"/>
        </w:rPr>
        <w:fldChar w:fldCharType="separate"/>
      </w:r>
      <w:r>
        <w:rPr>
          <w:rFonts w:hint="eastAsia" w:cs="Times New Roman"/>
          <w:color w:val="000000"/>
        </w:rPr>
        <w:t>七、国有资产信息</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_Toc7657 </w:instrText>
      </w:r>
      <w:r>
        <w:rPr>
          <w:rFonts w:hint="eastAsia" w:cs="Times New Roman"/>
          <w:color w:val="000000"/>
        </w:rPr>
        <w:fldChar w:fldCharType="separate"/>
      </w:r>
      <w:r>
        <w:rPr>
          <w:rFonts w:hint="eastAsia" w:cs="Times New Roman"/>
          <w:color w:val="000000"/>
        </w:rPr>
        <w:t>41</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_Toc25648 </w:instrText>
      </w:r>
      <w:r>
        <w:rPr>
          <w:rFonts w:hint="eastAsia" w:cs="Times New Roman"/>
          <w:color w:val="000000"/>
        </w:rPr>
        <w:fldChar w:fldCharType="separate"/>
      </w:r>
      <w:r>
        <w:rPr>
          <w:rFonts w:hint="eastAsia" w:cs="Times New Roman"/>
          <w:color w:val="000000"/>
        </w:rPr>
        <w:t>八、名词解释</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_Toc25648 </w:instrText>
      </w:r>
      <w:r>
        <w:rPr>
          <w:rFonts w:hint="eastAsia" w:cs="Times New Roman"/>
          <w:color w:val="000000"/>
        </w:rPr>
        <w:fldChar w:fldCharType="separate"/>
      </w:r>
      <w:r>
        <w:rPr>
          <w:rFonts w:hint="eastAsia" w:cs="Times New Roman"/>
          <w:color w:val="000000"/>
        </w:rPr>
        <w:t>42</w:t>
      </w:r>
      <w:r>
        <w:rPr>
          <w:rFonts w:hint="eastAsia" w:cs="Times New Roman"/>
          <w:color w:val="000000"/>
        </w:rPr>
        <w:fldChar w:fldCharType="end"/>
      </w:r>
      <w:r>
        <w:rPr>
          <w:rFonts w:hint="eastAsia" w:cs="Times New Roman"/>
          <w:color w:val="000000"/>
        </w:rPr>
        <w:fldChar w:fldCharType="end"/>
      </w:r>
    </w:p>
    <w:p>
      <w:pPr>
        <w:pStyle w:val="31"/>
        <w:tabs>
          <w:tab w:val="right" w:leader="dot" w:pos="14562"/>
        </w:tabs>
        <w:ind w:firstLine="1769" w:firstLineChars="632"/>
      </w:pPr>
      <w:r>
        <w:rPr>
          <w:rFonts w:hint="eastAsia" w:cs="Times New Roman"/>
          <w:color w:val="000000"/>
        </w:rPr>
        <w:fldChar w:fldCharType="begin"/>
      </w:r>
      <w:r>
        <w:rPr>
          <w:rFonts w:hint="eastAsia" w:cs="Times New Roman"/>
          <w:color w:val="000000"/>
        </w:rPr>
        <w:instrText xml:space="preserve"> HYPERLINK \l _Toc27352 </w:instrText>
      </w:r>
      <w:r>
        <w:rPr>
          <w:rFonts w:hint="eastAsia" w:cs="Times New Roman"/>
          <w:color w:val="000000"/>
        </w:rPr>
        <w:fldChar w:fldCharType="separate"/>
      </w:r>
      <w:r>
        <w:rPr>
          <w:rFonts w:hint="eastAsia" w:cs="Times New Roman"/>
          <w:color w:val="000000"/>
        </w:rPr>
        <w:t>九、其他需要说明的事项</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_Toc27352 </w:instrText>
      </w:r>
      <w:r>
        <w:rPr>
          <w:rFonts w:hint="eastAsia" w:cs="Times New Roman"/>
          <w:color w:val="000000"/>
        </w:rPr>
        <w:fldChar w:fldCharType="separate"/>
      </w:r>
      <w:r>
        <w:rPr>
          <w:rFonts w:hint="eastAsia" w:cs="Times New Roman"/>
          <w:color w:val="000000"/>
        </w:rPr>
        <w:t>43</w:t>
      </w:r>
      <w:r>
        <w:rPr>
          <w:rFonts w:hint="eastAsia" w:cs="Times New Roman"/>
          <w:color w:val="000000"/>
        </w:rPr>
        <w:fldChar w:fldCharType="end"/>
      </w:r>
      <w:r>
        <w:rPr>
          <w:rFonts w:hint="eastAsia" w:cs="Times New Roman"/>
          <w:color w:val="000000"/>
        </w:rPr>
        <w:fldChar w:fldCharType="end"/>
      </w:r>
    </w:p>
    <w:p>
      <w:r>
        <w:fldChar w:fldCharType="end"/>
      </w:r>
    </w:p>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jc w:val="center"/>
        <w:outlineLvl w:val="1"/>
      </w:pPr>
      <w:bookmarkStart w:id="1" w:name="_Toc3722"/>
      <w:r>
        <w:rPr>
          <w:rFonts w:hint="eastAsia" w:ascii="方正小标宋_GBK" w:hAnsi="方正小标宋_GBK" w:eastAsia="方正小标宋_GBK" w:cs="方正小标宋_GBK"/>
          <w:color w:val="000000"/>
          <w:sz w:val="44"/>
          <w:lang w:val="en-US" w:eastAsia="zh-CN"/>
        </w:rPr>
        <w:t>2022年部门预算信息公开表</w:t>
      </w:r>
      <w:bookmarkEnd w:id="1"/>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2" w:name="_Toc14144"/>
      <w:bookmarkStart w:id="3" w:name="_Toc_2_2_0000000001"/>
      <w:r>
        <w:rPr>
          <w:rFonts w:ascii="方正小标宋_GBK" w:hAnsi="方正小标宋_GBK" w:eastAsia="方正小标宋_GBK" w:cs="方正小标宋_GBK"/>
          <w:color w:val="000000"/>
          <w:sz w:val="36"/>
        </w:rPr>
        <w:t>部门预算收支总表</w:t>
      </w:r>
      <w:bookmarkEnd w:id="2"/>
      <w:bookmarkEnd w:id="3"/>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225中共无极县委机构编制委员会办公室</w:t>
            </w:r>
          </w:p>
        </w:tc>
        <w:tc>
          <w:tcPr>
            <w:tcW w:w="1971" w:type="dxa"/>
            <w:tcBorders>
              <w:top w:val="single" w:color="FFFFFF" w:sz="6" w:space="0"/>
              <w:left w:val="single" w:color="FFFFFF" w:sz="6" w:space="0"/>
              <w:right w:val="single" w:color="FFFFFF" w:sz="6" w:space="0"/>
            </w:tcBorders>
            <w:vAlign w:val="center"/>
          </w:tcPr>
          <w:p>
            <w:pPr>
              <w:pStyle w:val="10"/>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165.27</w:t>
            </w:r>
          </w:p>
        </w:tc>
        <w:tc>
          <w:tcPr>
            <w:tcW w:w="1971" w:type="dxa"/>
            <w:vAlign w:val="center"/>
          </w:tcPr>
          <w:p>
            <w:pPr>
              <w:pStyle w:val="14"/>
            </w:pPr>
            <w:r>
              <w:t>一、一般公共服务支出</w:t>
            </w:r>
          </w:p>
        </w:tc>
        <w:tc>
          <w:tcPr>
            <w:tcW w:w="1971" w:type="dxa"/>
            <w:vAlign w:val="center"/>
          </w:tcPr>
          <w:p>
            <w:pPr>
              <w:pStyle w:val="13"/>
            </w:pPr>
            <w:r>
              <w:t>146.70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12.18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6.39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6"/>
            </w:pPr>
            <w:r>
              <w:t>本年收入合计</w:t>
            </w:r>
          </w:p>
        </w:tc>
        <w:tc>
          <w:tcPr>
            <w:tcW w:w="1971" w:type="dxa"/>
            <w:vAlign w:val="center"/>
          </w:tcPr>
          <w:p>
            <w:pPr>
              <w:pStyle w:val="17"/>
            </w:pPr>
            <w:r>
              <w:t>165.27</w:t>
            </w:r>
          </w:p>
        </w:tc>
        <w:tc>
          <w:tcPr>
            <w:tcW w:w="1971" w:type="dxa"/>
            <w:vAlign w:val="center"/>
          </w:tcPr>
          <w:p>
            <w:pPr>
              <w:pStyle w:val="16"/>
            </w:pPr>
            <w:r>
              <w:t>本年支出合计</w:t>
            </w:r>
          </w:p>
        </w:tc>
        <w:tc>
          <w:tcPr>
            <w:tcW w:w="1971" w:type="dxa"/>
            <w:vAlign w:val="center"/>
          </w:tcPr>
          <w:p>
            <w:pPr>
              <w:pStyle w:val="17"/>
            </w:pPr>
            <w:r>
              <w:t>165.27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6"/>
            </w:pPr>
            <w:r>
              <w:t>收入总计</w:t>
            </w:r>
          </w:p>
        </w:tc>
        <w:tc>
          <w:tcPr>
            <w:tcW w:w="1971" w:type="dxa"/>
            <w:vAlign w:val="center"/>
          </w:tcPr>
          <w:p>
            <w:pPr>
              <w:pStyle w:val="17"/>
            </w:pPr>
            <w:r>
              <w:t>165.27</w:t>
            </w:r>
          </w:p>
        </w:tc>
        <w:tc>
          <w:tcPr>
            <w:tcW w:w="1971" w:type="dxa"/>
            <w:vAlign w:val="center"/>
          </w:tcPr>
          <w:p>
            <w:pPr>
              <w:pStyle w:val="16"/>
            </w:pPr>
            <w:r>
              <w:t>支出总计</w:t>
            </w:r>
          </w:p>
        </w:tc>
        <w:tc>
          <w:tcPr>
            <w:tcW w:w="1971" w:type="dxa"/>
            <w:vAlign w:val="center"/>
          </w:tcPr>
          <w:p>
            <w:pPr>
              <w:pStyle w:val="17"/>
            </w:pPr>
            <w:r>
              <w:t>165.27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7780"/>
      <w:bookmarkStart w:id="5" w:name="_Toc_2_2_0000000002"/>
      <w:r>
        <w:rPr>
          <w:rFonts w:ascii="方正小标宋_GBK" w:hAnsi="方正小标宋_GBK" w:eastAsia="方正小标宋_GBK" w:cs="方正小标宋_GBK"/>
          <w:color w:val="000000"/>
          <w:sz w:val="36"/>
        </w:rPr>
        <w:t>部门预算收入总表</w:t>
      </w:r>
      <w:bookmarkEnd w:id="4"/>
      <w:bookmarkEnd w:id="5"/>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225中共无极县委机构编制委员会办公室</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165.27</w:t>
            </w:r>
          </w:p>
        </w:tc>
        <w:tc>
          <w:tcPr>
            <w:tcW w:w="758" w:type="dxa"/>
            <w:vAlign w:val="center"/>
          </w:tcPr>
          <w:p>
            <w:pPr>
              <w:pStyle w:val="17"/>
            </w:pPr>
            <w:r>
              <w:t>165.27</w:t>
            </w:r>
          </w:p>
        </w:tc>
        <w:tc>
          <w:tcPr>
            <w:tcW w:w="758" w:type="dxa"/>
            <w:vAlign w:val="center"/>
          </w:tcPr>
          <w:p>
            <w:pPr>
              <w:pStyle w:val="17"/>
            </w:pPr>
            <w:r>
              <w:t>165.27</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146.70</w:t>
            </w:r>
          </w:p>
        </w:tc>
        <w:tc>
          <w:tcPr>
            <w:tcW w:w="758" w:type="dxa"/>
            <w:vAlign w:val="center"/>
          </w:tcPr>
          <w:p>
            <w:pPr>
              <w:pStyle w:val="13"/>
            </w:pPr>
            <w:r>
              <w:t>146.70</w:t>
            </w:r>
          </w:p>
        </w:tc>
        <w:tc>
          <w:tcPr>
            <w:tcW w:w="758" w:type="dxa"/>
            <w:vAlign w:val="center"/>
          </w:tcPr>
          <w:p>
            <w:pPr>
              <w:pStyle w:val="13"/>
            </w:pPr>
            <w:r>
              <w:t>146.70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20132</w:t>
            </w:r>
          </w:p>
        </w:tc>
        <w:tc>
          <w:tcPr>
            <w:tcW w:w="758" w:type="dxa"/>
            <w:vAlign w:val="center"/>
          </w:tcPr>
          <w:p>
            <w:pPr>
              <w:pStyle w:val="14"/>
            </w:pPr>
            <w:r>
              <w:t>组织事务</w:t>
            </w:r>
          </w:p>
        </w:tc>
        <w:tc>
          <w:tcPr>
            <w:tcW w:w="758" w:type="dxa"/>
            <w:vAlign w:val="center"/>
          </w:tcPr>
          <w:p>
            <w:pPr>
              <w:pStyle w:val="13"/>
            </w:pPr>
            <w:r>
              <w:t>146.70</w:t>
            </w:r>
          </w:p>
        </w:tc>
        <w:tc>
          <w:tcPr>
            <w:tcW w:w="758" w:type="dxa"/>
            <w:vAlign w:val="center"/>
          </w:tcPr>
          <w:p>
            <w:pPr>
              <w:pStyle w:val="13"/>
            </w:pPr>
            <w:r>
              <w:t>146.70</w:t>
            </w:r>
          </w:p>
        </w:tc>
        <w:tc>
          <w:tcPr>
            <w:tcW w:w="758" w:type="dxa"/>
            <w:vAlign w:val="center"/>
          </w:tcPr>
          <w:p>
            <w:pPr>
              <w:pStyle w:val="13"/>
            </w:pPr>
            <w:r>
              <w:t>146.70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2013201</w:t>
            </w:r>
          </w:p>
        </w:tc>
        <w:tc>
          <w:tcPr>
            <w:tcW w:w="758" w:type="dxa"/>
            <w:vAlign w:val="center"/>
          </w:tcPr>
          <w:p>
            <w:pPr>
              <w:pStyle w:val="14"/>
            </w:pPr>
            <w:r>
              <w:t>行政运行</w:t>
            </w:r>
          </w:p>
        </w:tc>
        <w:tc>
          <w:tcPr>
            <w:tcW w:w="758" w:type="dxa"/>
            <w:vAlign w:val="center"/>
          </w:tcPr>
          <w:p>
            <w:pPr>
              <w:pStyle w:val="13"/>
            </w:pPr>
            <w:r>
              <w:t>136.70</w:t>
            </w:r>
          </w:p>
        </w:tc>
        <w:tc>
          <w:tcPr>
            <w:tcW w:w="758" w:type="dxa"/>
            <w:vAlign w:val="center"/>
          </w:tcPr>
          <w:p>
            <w:pPr>
              <w:pStyle w:val="13"/>
            </w:pPr>
            <w:r>
              <w:t>136.70</w:t>
            </w:r>
          </w:p>
        </w:tc>
        <w:tc>
          <w:tcPr>
            <w:tcW w:w="758" w:type="dxa"/>
            <w:vAlign w:val="center"/>
          </w:tcPr>
          <w:p>
            <w:pPr>
              <w:pStyle w:val="13"/>
            </w:pPr>
            <w:r>
              <w:t>136.70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2013299</w:t>
            </w:r>
          </w:p>
        </w:tc>
        <w:tc>
          <w:tcPr>
            <w:tcW w:w="758" w:type="dxa"/>
            <w:vAlign w:val="center"/>
          </w:tcPr>
          <w:p>
            <w:pPr>
              <w:pStyle w:val="14"/>
            </w:pPr>
            <w:r>
              <w:t>其他组织事务支出</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r>
              <w:t>10.00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12.18</w:t>
            </w:r>
          </w:p>
        </w:tc>
        <w:tc>
          <w:tcPr>
            <w:tcW w:w="758" w:type="dxa"/>
            <w:vAlign w:val="center"/>
          </w:tcPr>
          <w:p>
            <w:pPr>
              <w:pStyle w:val="13"/>
            </w:pPr>
            <w:r>
              <w:t>12.18</w:t>
            </w:r>
          </w:p>
        </w:tc>
        <w:tc>
          <w:tcPr>
            <w:tcW w:w="758" w:type="dxa"/>
            <w:vAlign w:val="center"/>
          </w:tcPr>
          <w:p>
            <w:pPr>
              <w:pStyle w:val="13"/>
            </w:pPr>
            <w:r>
              <w:t>12.18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12.18</w:t>
            </w:r>
          </w:p>
        </w:tc>
        <w:tc>
          <w:tcPr>
            <w:tcW w:w="758" w:type="dxa"/>
            <w:vAlign w:val="center"/>
          </w:tcPr>
          <w:p>
            <w:pPr>
              <w:pStyle w:val="13"/>
            </w:pPr>
            <w:r>
              <w:t>12.18</w:t>
            </w:r>
          </w:p>
        </w:tc>
        <w:tc>
          <w:tcPr>
            <w:tcW w:w="758" w:type="dxa"/>
            <w:vAlign w:val="center"/>
          </w:tcPr>
          <w:p>
            <w:pPr>
              <w:pStyle w:val="13"/>
            </w:pPr>
            <w:r>
              <w:t>12.18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12.18</w:t>
            </w:r>
          </w:p>
        </w:tc>
        <w:tc>
          <w:tcPr>
            <w:tcW w:w="758" w:type="dxa"/>
            <w:vAlign w:val="center"/>
          </w:tcPr>
          <w:p>
            <w:pPr>
              <w:pStyle w:val="13"/>
            </w:pPr>
            <w:r>
              <w:t>12.18</w:t>
            </w:r>
          </w:p>
        </w:tc>
        <w:tc>
          <w:tcPr>
            <w:tcW w:w="758" w:type="dxa"/>
            <w:vAlign w:val="center"/>
          </w:tcPr>
          <w:p>
            <w:pPr>
              <w:pStyle w:val="13"/>
            </w:pPr>
            <w:r>
              <w:t>12.18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6.39</w:t>
            </w:r>
          </w:p>
        </w:tc>
        <w:tc>
          <w:tcPr>
            <w:tcW w:w="758" w:type="dxa"/>
            <w:vAlign w:val="center"/>
          </w:tcPr>
          <w:p>
            <w:pPr>
              <w:pStyle w:val="13"/>
            </w:pPr>
            <w:r>
              <w:t>6.39</w:t>
            </w:r>
          </w:p>
        </w:tc>
        <w:tc>
          <w:tcPr>
            <w:tcW w:w="758" w:type="dxa"/>
            <w:vAlign w:val="center"/>
          </w:tcPr>
          <w:p>
            <w:pPr>
              <w:pStyle w:val="13"/>
            </w:pPr>
            <w:r>
              <w:t>6.39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6.39</w:t>
            </w:r>
          </w:p>
        </w:tc>
        <w:tc>
          <w:tcPr>
            <w:tcW w:w="758" w:type="dxa"/>
            <w:vAlign w:val="center"/>
          </w:tcPr>
          <w:p>
            <w:pPr>
              <w:pStyle w:val="13"/>
            </w:pPr>
            <w:r>
              <w:t>6.39</w:t>
            </w:r>
          </w:p>
        </w:tc>
        <w:tc>
          <w:tcPr>
            <w:tcW w:w="758" w:type="dxa"/>
            <w:vAlign w:val="center"/>
          </w:tcPr>
          <w:p>
            <w:pPr>
              <w:pStyle w:val="13"/>
            </w:pPr>
            <w:r>
              <w:t>6.39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6.39</w:t>
            </w:r>
          </w:p>
        </w:tc>
        <w:tc>
          <w:tcPr>
            <w:tcW w:w="758" w:type="dxa"/>
            <w:vAlign w:val="center"/>
          </w:tcPr>
          <w:p>
            <w:pPr>
              <w:pStyle w:val="13"/>
            </w:pPr>
            <w:r>
              <w:t>6.39</w:t>
            </w:r>
          </w:p>
        </w:tc>
        <w:tc>
          <w:tcPr>
            <w:tcW w:w="758" w:type="dxa"/>
            <w:vAlign w:val="center"/>
          </w:tcPr>
          <w:p>
            <w:pPr>
              <w:pStyle w:val="13"/>
            </w:pPr>
            <w:r>
              <w:t>6.39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14485"/>
      <w:bookmarkStart w:id="7" w:name="_Toc_2_2_0000000003"/>
      <w:r>
        <w:rPr>
          <w:rFonts w:ascii="方正小标宋_GBK" w:hAnsi="方正小标宋_GBK" w:eastAsia="方正小标宋_GBK" w:cs="方正小标宋_GBK"/>
          <w:color w:val="000000"/>
          <w:sz w:val="36"/>
        </w:rPr>
        <w:t>部门预算支出总表</w:t>
      </w:r>
      <w:bookmarkEnd w:id="6"/>
      <w:bookmarkEnd w:id="7"/>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225中共无极县委机构编制委员会办公室</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165.27</w:t>
            </w:r>
          </w:p>
        </w:tc>
        <w:tc>
          <w:tcPr>
            <w:tcW w:w="1095" w:type="dxa"/>
            <w:vAlign w:val="center"/>
          </w:tcPr>
          <w:p>
            <w:pPr>
              <w:pStyle w:val="17"/>
            </w:pPr>
            <w:r>
              <w:t>155.27</w:t>
            </w:r>
          </w:p>
        </w:tc>
        <w:tc>
          <w:tcPr>
            <w:tcW w:w="1095" w:type="dxa"/>
            <w:vAlign w:val="center"/>
          </w:tcPr>
          <w:p>
            <w:pPr>
              <w:pStyle w:val="17"/>
            </w:pPr>
            <w:r>
              <w:t>10.00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146.70</w:t>
            </w:r>
          </w:p>
        </w:tc>
        <w:tc>
          <w:tcPr>
            <w:tcW w:w="1095" w:type="dxa"/>
            <w:vAlign w:val="center"/>
          </w:tcPr>
          <w:p>
            <w:pPr>
              <w:pStyle w:val="13"/>
            </w:pPr>
            <w:r>
              <w:t>136.70</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20132</w:t>
            </w:r>
          </w:p>
        </w:tc>
        <w:tc>
          <w:tcPr>
            <w:tcW w:w="1095" w:type="dxa"/>
            <w:vAlign w:val="center"/>
          </w:tcPr>
          <w:p>
            <w:pPr>
              <w:pStyle w:val="14"/>
            </w:pPr>
            <w:r>
              <w:t>组织事务</w:t>
            </w:r>
          </w:p>
        </w:tc>
        <w:tc>
          <w:tcPr>
            <w:tcW w:w="1095" w:type="dxa"/>
            <w:vAlign w:val="center"/>
          </w:tcPr>
          <w:p>
            <w:pPr>
              <w:pStyle w:val="13"/>
            </w:pPr>
            <w:r>
              <w:t>146.70</w:t>
            </w:r>
          </w:p>
        </w:tc>
        <w:tc>
          <w:tcPr>
            <w:tcW w:w="1095" w:type="dxa"/>
            <w:vAlign w:val="center"/>
          </w:tcPr>
          <w:p>
            <w:pPr>
              <w:pStyle w:val="13"/>
            </w:pPr>
            <w:r>
              <w:t>136.70</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2013201</w:t>
            </w:r>
          </w:p>
        </w:tc>
        <w:tc>
          <w:tcPr>
            <w:tcW w:w="1095" w:type="dxa"/>
            <w:vAlign w:val="center"/>
          </w:tcPr>
          <w:p>
            <w:pPr>
              <w:pStyle w:val="14"/>
            </w:pPr>
            <w:r>
              <w:t>行政运行</w:t>
            </w:r>
          </w:p>
        </w:tc>
        <w:tc>
          <w:tcPr>
            <w:tcW w:w="1095" w:type="dxa"/>
            <w:vAlign w:val="center"/>
          </w:tcPr>
          <w:p>
            <w:pPr>
              <w:pStyle w:val="13"/>
            </w:pPr>
            <w:r>
              <w:t>136.70</w:t>
            </w:r>
          </w:p>
        </w:tc>
        <w:tc>
          <w:tcPr>
            <w:tcW w:w="1095" w:type="dxa"/>
            <w:vAlign w:val="center"/>
          </w:tcPr>
          <w:p>
            <w:pPr>
              <w:pStyle w:val="13"/>
            </w:pPr>
            <w:r>
              <w:t>136.70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2013299</w:t>
            </w:r>
          </w:p>
        </w:tc>
        <w:tc>
          <w:tcPr>
            <w:tcW w:w="1095" w:type="dxa"/>
            <w:vAlign w:val="center"/>
          </w:tcPr>
          <w:p>
            <w:pPr>
              <w:pStyle w:val="14"/>
            </w:pPr>
            <w:r>
              <w:t>其他组织事务支出</w:t>
            </w: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r>
              <w:t>10.00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12.18</w:t>
            </w:r>
          </w:p>
        </w:tc>
        <w:tc>
          <w:tcPr>
            <w:tcW w:w="1095" w:type="dxa"/>
            <w:vAlign w:val="center"/>
          </w:tcPr>
          <w:p>
            <w:pPr>
              <w:pStyle w:val="13"/>
            </w:pPr>
            <w:r>
              <w:t>12.18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12.18</w:t>
            </w:r>
          </w:p>
        </w:tc>
        <w:tc>
          <w:tcPr>
            <w:tcW w:w="1095" w:type="dxa"/>
            <w:vAlign w:val="center"/>
          </w:tcPr>
          <w:p>
            <w:pPr>
              <w:pStyle w:val="13"/>
            </w:pPr>
            <w:r>
              <w:t>12.18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12.18</w:t>
            </w:r>
          </w:p>
        </w:tc>
        <w:tc>
          <w:tcPr>
            <w:tcW w:w="1095" w:type="dxa"/>
            <w:vAlign w:val="center"/>
          </w:tcPr>
          <w:p>
            <w:pPr>
              <w:pStyle w:val="13"/>
            </w:pPr>
            <w:r>
              <w:t>12.18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6.39</w:t>
            </w:r>
          </w:p>
        </w:tc>
        <w:tc>
          <w:tcPr>
            <w:tcW w:w="1095" w:type="dxa"/>
            <w:vAlign w:val="center"/>
          </w:tcPr>
          <w:p>
            <w:pPr>
              <w:pStyle w:val="13"/>
            </w:pPr>
            <w:r>
              <w:t>6.39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6.39</w:t>
            </w:r>
          </w:p>
        </w:tc>
        <w:tc>
          <w:tcPr>
            <w:tcW w:w="1095" w:type="dxa"/>
            <w:vAlign w:val="center"/>
          </w:tcPr>
          <w:p>
            <w:pPr>
              <w:pStyle w:val="13"/>
            </w:pPr>
            <w:r>
              <w:t>6.39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6.39</w:t>
            </w:r>
          </w:p>
        </w:tc>
        <w:tc>
          <w:tcPr>
            <w:tcW w:w="1095" w:type="dxa"/>
            <w:vAlign w:val="center"/>
          </w:tcPr>
          <w:p>
            <w:pPr>
              <w:pStyle w:val="13"/>
            </w:pPr>
            <w:r>
              <w:t>6.39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8" w:name="_Toc_2_2_0000000004"/>
      <w:bookmarkStart w:id="9" w:name="_Toc24792"/>
      <w:r>
        <w:rPr>
          <w:rFonts w:ascii="方正小标宋_GBK" w:hAnsi="方正小标宋_GBK" w:eastAsia="方正小标宋_GBK" w:cs="方正小标宋_GBK"/>
          <w:color w:val="000000"/>
          <w:sz w:val="36"/>
        </w:rPr>
        <w:t>部门预算财政拨款收支总表</w:t>
      </w:r>
      <w:bookmarkEnd w:id="8"/>
      <w:bookmarkEnd w:id="9"/>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225中共无极县委机构编制委员会办公室</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165.27</w:t>
            </w:r>
          </w:p>
        </w:tc>
        <w:tc>
          <w:tcPr>
            <w:tcW w:w="1232" w:type="dxa"/>
            <w:vAlign w:val="center"/>
          </w:tcPr>
          <w:p>
            <w:pPr>
              <w:pStyle w:val="14"/>
            </w:pPr>
            <w:r>
              <w:t>一、一般公共服务支出</w:t>
            </w:r>
          </w:p>
        </w:tc>
        <w:tc>
          <w:tcPr>
            <w:tcW w:w="1232" w:type="dxa"/>
            <w:vAlign w:val="center"/>
          </w:tcPr>
          <w:p>
            <w:pPr>
              <w:pStyle w:val="13"/>
            </w:pPr>
            <w:r>
              <w:t>146.70</w:t>
            </w:r>
          </w:p>
        </w:tc>
        <w:tc>
          <w:tcPr>
            <w:tcW w:w="1232" w:type="dxa"/>
            <w:vAlign w:val="center"/>
          </w:tcPr>
          <w:p>
            <w:pPr>
              <w:pStyle w:val="13"/>
            </w:pPr>
            <w:r>
              <w:t>146.70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12.18</w:t>
            </w:r>
          </w:p>
        </w:tc>
        <w:tc>
          <w:tcPr>
            <w:tcW w:w="1232" w:type="dxa"/>
            <w:vAlign w:val="center"/>
          </w:tcPr>
          <w:p>
            <w:pPr>
              <w:pStyle w:val="13"/>
            </w:pPr>
            <w:r>
              <w:t>12.18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6.39</w:t>
            </w:r>
          </w:p>
        </w:tc>
        <w:tc>
          <w:tcPr>
            <w:tcW w:w="1232" w:type="dxa"/>
            <w:vAlign w:val="center"/>
          </w:tcPr>
          <w:p>
            <w:pPr>
              <w:pStyle w:val="13"/>
            </w:pPr>
            <w:r>
              <w:t>6.39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6"/>
            </w:pPr>
            <w:r>
              <w:t>本年收入合计</w:t>
            </w:r>
          </w:p>
        </w:tc>
        <w:tc>
          <w:tcPr>
            <w:tcW w:w="1232" w:type="dxa"/>
            <w:vAlign w:val="center"/>
          </w:tcPr>
          <w:p>
            <w:pPr>
              <w:pStyle w:val="17"/>
            </w:pPr>
            <w:r>
              <w:t>165.27</w:t>
            </w:r>
          </w:p>
        </w:tc>
        <w:tc>
          <w:tcPr>
            <w:tcW w:w="1232" w:type="dxa"/>
            <w:vAlign w:val="center"/>
          </w:tcPr>
          <w:p>
            <w:pPr>
              <w:pStyle w:val="16"/>
            </w:pPr>
            <w:r>
              <w:t>本年支出合计</w:t>
            </w:r>
          </w:p>
        </w:tc>
        <w:tc>
          <w:tcPr>
            <w:tcW w:w="1232" w:type="dxa"/>
            <w:vAlign w:val="center"/>
          </w:tcPr>
          <w:p>
            <w:pPr>
              <w:pStyle w:val="17"/>
            </w:pPr>
            <w:r>
              <w:t>165.27</w:t>
            </w:r>
          </w:p>
        </w:tc>
        <w:tc>
          <w:tcPr>
            <w:tcW w:w="1232" w:type="dxa"/>
            <w:vAlign w:val="center"/>
          </w:tcPr>
          <w:p>
            <w:pPr>
              <w:pStyle w:val="17"/>
            </w:pPr>
            <w:r>
              <w:t>165.27</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6"/>
            </w:pPr>
            <w:r>
              <w:t>收入总计</w:t>
            </w:r>
          </w:p>
        </w:tc>
        <w:tc>
          <w:tcPr>
            <w:tcW w:w="1232" w:type="dxa"/>
            <w:vAlign w:val="center"/>
          </w:tcPr>
          <w:p>
            <w:pPr>
              <w:pStyle w:val="17"/>
            </w:pPr>
            <w:r>
              <w:t>165.27</w:t>
            </w:r>
          </w:p>
        </w:tc>
        <w:tc>
          <w:tcPr>
            <w:tcW w:w="1232" w:type="dxa"/>
            <w:vAlign w:val="center"/>
          </w:tcPr>
          <w:p>
            <w:pPr>
              <w:pStyle w:val="16"/>
            </w:pPr>
            <w:r>
              <w:t>支出总计</w:t>
            </w:r>
          </w:p>
        </w:tc>
        <w:tc>
          <w:tcPr>
            <w:tcW w:w="1232" w:type="dxa"/>
            <w:vAlign w:val="center"/>
          </w:tcPr>
          <w:p>
            <w:pPr>
              <w:pStyle w:val="17"/>
            </w:pPr>
            <w:r>
              <w:t>165.27</w:t>
            </w:r>
          </w:p>
        </w:tc>
        <w:tc>
          <w:tcPr>
            <w:tcW w:w="1232" w:type="dxa"/>
            <w:vAlign w:val="center"/>
          </w:tcPr>
          <w:p>
            <w:pPr>
              <w:pStyle w:val="17"/>
            </w:pPr>
            <w:r>
              <w:t>165.27</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0" w:name="_Toc4731"/>
      <w:bookmarkStart w:id="11" w:name="_Toc_2_2_0000000005"/>
      <w:r>
        <w:rPr>
          <w:rFonts w:ascii="方正小标宋_GBK" w:hAnsi="方正小标宋_GBK" w:eastAsia="方正小标宋_GBK" w:cs="方正小标宋_GBK"/>
          <w:color w:val="000000"/>
          <w:sz w:val="36"/>
        </w:rPr>
        <w:t>部门预算一般公共预算财政拨款支出表</w:t>
      </w:r>
      <w:bookmarkEnd w:id="10"/>
      <w:bookmarkEnd w:id="11"/>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225中共无极县委机构编制委员会办公室</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165.27</w:t>
            </w:r>
          </w:p>
        </w:tc>
        <w:tc>
          <w:tcPr>
            <w:tcW w:w="1643" w:type="dxa"/>
            <w:vAlign w:val="center"/>
          </w:tcPr>
          <w:p>
            <w:pPr>
              <w:pStyle w:val="17"/>
            </w:pPr>
            <w:r>
              <w:t>155.27</w:t>
            </w:r>
          </w:p>
        </w:tc>
        <w:tc>
          <w:tcPr>
            <w:tcW w:w="1643"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146.70</w:t>
            </w:r>
          </w:p>
        </w:tc>
        <w:tc>
          <w:tcPr>
            <w:tcW w:w="1643" w:type="dxa"/>
            <w:vAlign w:val="center"/>
          </w:tcPr>
          <w:p>
            <w:pPr>
              <w:pStyle w:val="13"/>
            </w:pPr>
            <w:r>
              <w:t>136.70</w:t>
            </w: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20132</w:t>
            </w:r>
          </w:p>
        </w:tc>
        <w:tc>
          <w:tcPr>
            <w:tcW w:w="1643" w:type="dxa"/>
            <w:vAlign w:val="center"/>
          </w:tcPr>
          <w:p>
            <w:pPr>
              <w:pStyle w:val="14"/>
            </w:pPr>
            <w:r>
              <w:t>组织事务</w:t>
            </w:r>
          </w:p>
        </w:tc>
        <w:tc>
          <w:tcPr>
            <w:tcW w:w="1643" w:type="dxa"/>
            <w:vAlign w:val="center"/>
          </w:tcPr>
          <w:p>
            <w:pPr>
              <w:pStyle w:val="13"/>
            </w:pPr>
            <w:r>
              <w:t>146.70</w:t>
            </w:r>
          </w:p>
        </w:tc>
        <w:tc>
          <w:tcPr>
            <w:tcW w:w="1643" w:type="dxa"/>
            <w:vAlign w:val="center"/>
          </w:tcPr>
          <w:p>
            <w:pPr>
              <w:pStyle w:val="13"/>
            </w:pPr>
            <w:r>
              <w:t>136.70</w:t>
            </w: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2013201</w:t>
            </w:r>
          </w:p>
        </w:tc>
        <w:tc>
          <w:tcPr>
            <w:tcW w:w="1643" w:type="dxa"/>
            <w:vAlign w:val="center"/>
          </w:tcPr>
          <w:p>
            <w:pPr>
              <w:pStyle w:val="14"/>
            </w:pPr>
            <w:r>
              <w:t>行政运行</w:t>
            </w:r>
          </w:p>
        </w:tc>
        <w:tc>
          <w:tcPr>
            <w:tcW w:w="1643" w:type="dxa"/>
            <w:vAlign w:val="center"/>
          </w:tcPr>
          <w:p>
            <w:pPr>
              <w:pStyle w:val="13"/>
            </w:pPr>
            <w:r>
              <w:t>136.70</w:t>
            </w:r>
          </w:p>
        </w:tc>
        <w:tc>
          <w:tcPr>
            <w:tcW w:w="1643" w:type="dxa"/>
            <w:vAlign w:val="center"/>
          </w:tcPr>
          <w:p>
            <w:pPr>
              <w:pStyle w:val="13"/>
            </w:pPr>
            <w:r>
              <w:t>136.70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2013299</w:t>
            </w:r>
          </w:p>
        </w:tc>
        <w:tc>
          <w:tcPr>
            <w:tcW w:w="1643" w:type="dxa"/>
            <w:vAlign w:val="center"/>
          </w:tcPr>
          <w:p>
            <w:pPr>
              <w:pStyle w:val="14"/>
            </w:pPr>
            <w:r>
              <w:t>其他组织事务支出</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12.18</w:t>
            </w:r>
          </w:p>
        </w:tc>
        <w:tc>
          <w:tcPr>
            <w:tcW w:w="1643" w:type="dxa"/>
            <w:vAlign w:val="center"/>
          </w:tcPr>
          <w:p>
            <w:pPr>
              <w:pStyle w:val="13"/>
            </w:pPr>
            <w:r>
              <w:t>12.18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12.18</w:t>
            </w:r>
          </w:p>
        </w:tc>
        <w:tc>
          <w:tcPr>
            <w:tcW w:w="1643" w:type="dxa"/>
            <w:vAlign w:val="center"/>
          </w:tcPr>
          <w:p>
            <w:pPr>
              <w:pStyle w:val="13"/>
            </w:pPr>
            <w:r>
              <w:t>12.18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12.18</w:t>
            </w:r>
          </w:p>
        </w:tc>
        <w:tc>
          <w:tcPr>
            <w:tcW w:w="1643" w:type="dxa"/>
            <w:vAlign w:val="center"/>
          </w:tcPr>
          <w:p>
            <w:pPr>
              <w:pStyle w:val="13"/>
            </w:pPr>
            <w:r>
              <w:t>12.18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6.39</w:t>
            </w:r>
          </w:p>
        </w:tc>
        <w:tc>
          <w:tcPr>
            <w:tcW w:w="1643" w:type="dxa"/>
            <w:vAlign w:val="center"/>
          </w:tcPr>
          <w:p>
            <w:pPr>
              <w:pStyle w:val="13"/>
            </w:pPr>
            <w:r>
              <w:t>6.39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6.39</w:t>
            </w:r>
          </w:p>
        </w:tc>
        <w:tc>
          <w:tcPr>
            <w:tcW w:w="1643" w:type="dxa"/>
            <w:vAlign w:val="center"/>
          </w:tcPr>
          <w:p>
            <w:pPr>
              <w:pStyle w:val="13"/>
            </w:pPr>
            <w:r>
              <w:t>6.39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6.39</w:t>
            </w:r>
          </w:p>
        </w:tc>
        <w:tc>
          <w:tcPr>
            <w:tcW w:w="1643" w:type="dxa"/>
            <w:vAlign w:val="center"/>
          </w:tcPr>
          <w:p>
            <w:pPr>
              <w:pStyle w:val="13"/>
            </w:pPr>
            <w:r>
              <w:t>6.39</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2" w:name="_Toc4480"/>
      <w:bookmarkStart w:id="13" w:name="_Toc_2_2_0000000006"/>
      <w:r>
        <w:rPr>
          <w:rFonts w:ascii="方正小标宋_GBK" w:hAnsi="方正小标宋_GBK" w:eastAsia="方正小标宋_GBK" w:cs="方正小标宋_GBK"/>
          <w:color w:val="000000"/>
          <w:sz w:val="36"/>
        </w:rPr>
        <w:t>部门预算一般公共预算财政拨款基本支出表</w:t>
      </w:r>
      <w:bookmarkEnd w:id="12"/>
      <w:bookmarkEnd w:id="13"/>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225中共无极县委机构编制委员会办公室</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155.27</w:t>
            </w:r>
          </w:p>
        </w:tc>
        <w:tc>
          <w:tcPr>
            <w:tcW w:w="1643" w:type="dxa"/>
            <w:vAlign w:val="center"/>
          </w:tcPr>
          <w:p>
            <w:pPr>
              <w:pStyle w:val="17"/>
            </w:pPr>
            <w:r>
              <w:t>132.17</w:t>
            </w:r>
          </w:p>
        </w:tc>
        <w:tc>
          <w:tcPr>
            <w:tcW w:w="1643" w:type="dxa"/>
            <w:vAlign w:val="center"/>
          </w:tcPr>
          <w:p>
            <w:pPr>
              <w:pStyle w:val="17"/>
            </w:pPr>
            <w:r>
              <w:t>23.10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131.52</w:t>
            </w:r>
          </w:p>
        </w:tc>
        <w:tc>
          <w:tcPr>
            <w:tcW w:w="1643" w:type="dxa"/>
            <w:vAlign w:val="center"/>
          </w:tcPr>
          <w:p>
            <w:pPr>
              <w:pStyle w:val="13"/>
            </w:pPr>
            <w:r>
              <w:t>131.52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55.00</w:t>
            </w:r>
          </w:p>
        </w:tc>
        <w:tc>
          <w:tcPr>
            <w:tcW w:w="1643" w:type="dxa"/>
            <w:vAlign w:val="center"/>
          </w:tcPr>
          <w:p>
            <w:pPr>
              <w:pStyle w:val="13"/>
            </w:pPr>
            <w:r>
              <w:t>55.00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27.00</w:t>
            </w:r>
          </w:p>
        </w:tc>
        <w:tc>
          <w:tcPr>
            <w:tcW w:w="1643" w:type="dxa"/>
            <w:vAlign w:val="center"/>
          </w:tcPr>
          <w:p>
            <w:pPr>
              <w:pStyle w:val="13"/>
            </w:pPr>
            <w:r>
              <w:t>27.00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22.08</w:t>
            </w:r>
          </w:p>
        </w:tc>
        <w:tc>
          <w:tcPr>
            <w:tcW w:w="1643" w:type="dxa"/>
            <w:vAlign w:val="center"/>
          </w:tcPr>
          <w:p>
            <w:pPr>
              <w:pStyle w:val="13"/>
            </w:pPr>
            <w:r>
              <w:t>22.08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8.27</w:t>
            </w:r>
          </w:p>
        </w:tc>
        <w:tc>
          <w:tcPr>
            <w:tcW w:w="1643" w:type="dxa"/>
            <w:vAlign w:val="center"/>
          </w:tcPr>
          <w:p>
            <w:pPr>
              <w:pStyle w:val="13"/>
            </w:pPr>
            <w:r>
              <w:t>8.27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12.18</w:t>
            </w:r>
          </w:p>
        </w:tc>
        <w:tc>
          <w:tcPr>
            <w:tcW w:w="1643" w:type="dxa"/>
            <w:vAlign w:val="center"/>
          </w:tcPr>
          <w:p>
            <w:pPr>
              <w:pStyle w:val="13"/>
            </w:pPr>
            <w:r>
              <w:t>12.18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城镇职工基本医疗保险缴费</w:t>
            </w:r>
          </w:p>
        </w:tc>
        <w:tc>
          <w:tcPr>
            <w:tcW w:w="1643" w:type="dxa"/>
            <w:vAlign w:val="center"/>
          </w:tcPr>
          <w:p>
            <w:pPr>
              <w:pStyle w:val="13"/>
            </w:pPr>
            <w:r>
              <w:t>6.39</w:t>
            </w:r>
          </w:p>
        </w:tc>
        <w:tc>
          <w:tcPr>
            <w:tcW w:w="1643" w:type="dxa"/>
            <w:vAlign w:val="center"/>
          </w:tcPr>
          <w:p>
            <w:pPr>
              <w:pStyle w:val="13"/>
            </w:pPr>
            <w:r>
              <w:t>6.39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0.60</w:t>
            </w:r>
          </w:p>
        </w:tc>
        <w:tc>
          <w:tcPr>
            <w:tcW w:w="1643" w:type="dxa"/>
            <w:vAlign w:val="center"/>
          </w:tcPr>
          <w:p>
            <w:pPr>
              <w:pStyle w:val="13"/>
            </w:pPr>
            <w:r>
              <w:t>0.60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23.10</w:t>
            </w:r>
          </w:p>
        </w:tc>
        <w:tc>
          <w:tcPr>
            <w:tcW w:w="1643" w:type="dxa"/>
            <w:vAlign w:val="center"/>
          </w:tcPr>
          <w:p>
            <w:pPr>
              <w:pStyle w:val="13"/>
            </w:pPr>
          </w:p>
        </w:tc>
        <w:tc>
          <w:tcPr>
            <w:tcW w:w="1643" w:type="dxa"/>
            <w:vAlign w:val="center"/>
          </w:tcPr>
          <w:p>
            <w:pPr>
              <w:pStyle w:val="13"/>
            </w:pPr>
            <w:r>
              <w:t>23.10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7.00</w:t>
            </w:r>
          </w:p>
        </w:tc>
        <w:tc>
          <w:tcPr>
            <w:tcW w:w="1643" w:type="dxa"/>
            <w:vAlign w:val="center"/>
          </w:tcPr>
          <w:p>
            <w:pPr>
              <w:pStyle w:val="13"/>
            </w:pPr>
          </w:p>
        </w:tc>
        <w:tc>
          <w:tcPr>
            <w:tcW w:w="1643"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4.60</w:t>
            </w:r>
          </w:p>
        </w:tc>
        <w:tc>
          <w:tcPr>
            <w:tcW w:w="1643" w:type="dxa"/>
            <w:vAlign w:val="center"/>
          </w:tcPr>
          <w:p>
            <w:pPr>
              <w:pStyle w:val="13"/>
            </w:pPr>
          </w:p>
        </w:tc>
        <w:tc>
          <w:tcPr>
            <w:tcW w:w="1643" w:type="dxa"/>
            <w:vAlign w:val="center"/>
          </w:tcPr>
          <w:p>
            <w:pPr>
              <w:pStyle w:val="13"/>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30217</w:t>
            </w:r>
          </w:p>
        </w:tc>
        <w:tc>
          <w:tcPr>
            <w:tcW w:w="1643" w:type="dxa"/>
            <w:vAlign w:val="center"/>
          </w:tcPr>
          <w:p>
            <w:pPr>
              <w:pStyle w:val="14"/>
            </w:pPr>
            <w:r>
              <w:t>公务接待费</w:t>
            </w:r>
          </w:p>
        </w:tc>
        <w:tc>
          <w:tcPr>
            <w:tcW w:w="1643" w:type="dxa"/>
            <w:vAlign w:val="center"/>
          </w:tcPr>
          <w:p>
            <w:pPr>
              <w:pStyle w:val="13"/>
            </w:pPr>
            <w:r>
              <w:t>0.15</w:t>
            </w:r>
          </w:p>
        </w:tc>
        <w:tc>
          <w:tcPr>
            <w:tcW w:w="1643" w:type="dxa"/>
            <w:vAlign w:val="center"/>
          </w:tcPr>
          <w:p>
            <w:pPr>
              <w:pStyle w:val="13"/>
            </w:pPr>
          </w:p>
        </w:tc>
        <w:tc>
          <w:tcPr>
            <w:tcW w:w="1643" w:type="dxa"/>
            <w:vAlign w:val="center"/>
          </w:tcPr>
          <w:p>
            <w:pPr>
              <w:pStyle w:val="13"/>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1.70</w:t>
            </w:r>
          </w:p>
        </w:tc>
        <w:tc>
          <w:tcPr>
            <w:tcW w:w="1643" w:type="dxa"/>
            <w:vAlign w:val="center"/>
          </w:tcPr>
          <w:p>
            <w:pPr>
              <w:pStyle w:val="13"/>
            </w:pPr>
          </w:p>
        </w:tc>
        <w:tc>
          <w:tcPr>
            <w:tcW w:w="1643" w:type="dxa"/>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6.40</w:t>
            </w:r>
          </w:p>
        </w:tc>
        <w:tc>
          <w:tcPr>
            <w:tcW w:w="1643" w:type="dxa"/>
            <w:vAlign w:val="center"/>
          </w:tcPr>
          <w:p>
            <w:pPr>
              <w:pStyle w:val="13"/>
            </w:pPr>
          </w:p>
        </w:tc>
        <w:tc>
          <w:tcPr>
            <w:tcW w:w="1643" w:type="dxa"/>
            <w:vAlign w:val="center"/>
          </w:tcPr>
          <w:p>
            <w:pPr>
              <w:pStyle w:val="13"/>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0.25</w:t>
            </w:r>
          </w:p>
        </w:tc>
        <w:tc>
          <w:tcPr>
            <w:tcW w:w="1643" w:type="dxa"/>
            <w:vAlign w:val="center"/>
          </w:tcPr>
          <w:p>
            <w:pPr>
              <w:pStyle w:val="13"/>
            </w:pPr>
          </w:p>
        </w:tc>
        <w:tc>
          <w:tcPr>
            <w:tcW w:w="1643" w:type="dxa"/>
            <w:vAlign w:val="center"/>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0.65</w:t>
            </w:r>
          </w:p>
        </w:tc>
        <w:tc>
          <w:tcPr>
            <w:tcW w:w="1643" w:type="dxa"/>
            <w:vAlign w:val="center"/>
          </w:tcPr>
          <w:p>
            <w:pPr>
              <w:pStyle w:val="13"/>
            </w:pPr>
            <w:r>
              <w:t>0.65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0.65</w:t>
            </w:r>
          </w:p>
        </w:tc>
        <w:tc>
          <w:tcPr>
            <w:tcW w:w="1643" w:type="dxa"/>
            <w:vAlign w:val="center"/>
          </w:tcPr>
          <w:p>
            <w:pPr>
              <w:pStyle w:val="13"/>
            </w:pPr>
            <w:r>
              <w:t>0.65</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4" w:name="_Toc_2_2_0000000007"/>
      <w:bookmarkStart w:id="15" w:name="_Toc24339"/>
      <w:r>
        <w:rPr>
          <w:rFonts w:ascii="方正小标宋_GBK" w:hAnsi="方正小标宋_GBK" w:eastAsia="方正小标宋_GBK" w:cs="方正小标宋_GBK"/>
          <w:color w:val="000000"/>
          <w:sz w:val="36"/>
        </w:rPr>
        <w:t>部门预算政府基金预算财政拨款支出表</w:t>
      </w:r>
      <w:bookmarkEnd w:id="14"/>
      <w:bookmarkEnd w:id="1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225中共无极县委机构编制委员会办公室</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16" w:name="_Toc17185"/>
      <w:bookmarkStart w:id="17" w:name="_Toc_2_2_0000000008"/>
      <w:r>
        <w:rPr>
          <w:rFonts w:ascii="方正小标宋_GBK" w:hAnsi="方正小标宋_GBK" w:eastAsia="方正小标宋_GBK" w:cs="方正小标宋_GBK"/>
          <w:color w:val="000000"/>
          <w:sz w:val="36"/>
        </w:rPr>
        <w:t>部门预算国有资本经营预算财政拨款支出表</w:t>
      </w:r>
      <w:bookmarkEnd w:id="16"/>
      <w:bookmarkEnd w:id="1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225中共无极县委机构编制委员会办公室</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18" w:name="_Toc27286"/>
      <w:bookmarkStart w:id="19" w:name="_Toc_2_2_0000000009"/>
      <w:r>
        <w:rPr>
          <w:rFonts w:ascii="方正小标宋_GBK" w:hAnsi="方正小标宋_GBK" w:eastAsia="方正小标宋_GBK" w:cs="方正小标宋_GBK"/>
          <w:color w:val="000000"/>
          <w:sz w:val="36"/>
        </w:rPr>
        <w:t>部门预算财政拨款“三公”经费支出表</w:t>
      </w:r>
      <w:bookmarkEnd w:id="18"/>
      <w:bookmarkEnd w:id="19"/>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225中共无极县委机构编制委员会办公室</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“三公”经费小计</w:t>
            </w: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公务用车运行维护费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三、公务接待费</w:t>
            </w:r>
          </w:p>
        </w:tc>
        <w:tc>
          <w:tcPr>
            <w:tcW w:w="1643" w:type="dxa"/>
            <w:vAlign w:val="center"/>
          </w:tcPr>
          <w:p>
            <w:pPr>
              <w:pStyle w:val="13"/>
            </w:pPr>
            <w:r>
              <w:t>0.15</w:t>
            </w:r>
          </w:p>
        </w:tc>
        <w:tc>
          <w:tcPr>
            <w:tcW w:w="1643" w:type="dxa"/>
            <w:vAlign w:val="center"/>
          </w:tcPr>
          <w:p>
            <w:pPr>
              <w:pStyle w:val="13"/>
            </w:pPr>
            <w:r>
              <w:t>0.15</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bookmarkStart w:id="20" w:name="_Toc2954"/>
      <w:r>
        <w:rPr>
          <w:rFonts w:ascii="方正书宋_GBK" w:hAnsi="方正书宋_GBK" w:eastAsia="方正书宋_GBK" w:cs="方正书宋_GBK"/>
          <w:color w:val="FFFFFF"/>
          <w:sz w:val="21"/>
        </w:rPr>
        <w:t>第一部分  中共无极县委机构编制委员会办公室2022年部门预算信息公开情况说明</w:t>
      </w:r>
      <w:bookmarkEnd w:id="20"/>
    </w:p>
    <w:p>
      <w:pPr>
        <w:spacing w:before="0" w:after="0" w:line="240" w:lineRule="auto"/>
        <w:ind w:firstLine="0"/>
        <w:jc w:val="center"/>
        <w:outlineLvl w:val="9"/>
      </w:pPr>
      <w:r>
        <w:rPr>
          <w:rFonts w:ascii="方正小标宋_GBK" w:hAnsi="方正小标宋_GBK" w:eastAsia="方正小标宋_GBK" w:cs="方正小标宋_GBK"/>
          <w:color w:val="000000"/>
          <w:sz w:val="44"/>
        </w:rPr>
        <w:t>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按照《预算法》、《地方预决算公开操作规程》和《关于进一步推进预算公开工作的实施意见》规定，现将中共无极县委机构编制委员会办公室2022年部门预算公开如下：</w:t>
      </w:r>
    </w:p>
    <w:p>
      <w:pPr>
        <w:spacing w:before="10" w:after="10" w:line="360" w:lineRule="auto"/>
        <w:ind w:firstLine="640"/>
        <w:jc w:val="left"/>
        <w:outlineLvl w:val="2"/>
      </w:pPr>
      <w:bookmarkStart w:id="21" w:name="_Toc27683"/>
      <w:bookmarkStart w:id="22" w:name="_Toc_3_3_0000000010"/>
      <w:r>
        <w:rPr>
          <w:rFonts w:ascii="黑体" w:hAnsi="黑体" w:eastAsia="黑体" w:cs="黑体"/>
          <w:color w:val="000000"/>
          <w:sz w:val="32"/>
        </w:rPr>
        <w:t>一、部门职责及机构设置情况</w:t>
      </w:r>
      <w:bookmarkEnd w:id="21"/>
      <w:bookmarkEnd w:id="22"/>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1、贯彻执行党和国家、省、市有关行政管理体制和机构改革以及机构编制工作的方针、政策、法规。拟定本县有关行政管理体制改革和机构改革以及机构编制管理的政策和实施办法，建立健全机构编制管理的规章制度。</w:t>
      </w:r>
    </w:p>
    <w:p>
      <w:pPr>
        <w:pStyle w:val="19"/>
      </w:pPr>
      <w:r>
        <w:t>2、负责全县各级党政机关，人大、政协机关，法院、检察院机关，各民主党派、人民团体机关和各级各类事业单位的机构编制工作。</w:t>
      </w:r>
    </w:p>
    <w:p>
      <w:pPr>
        <w:pStyle w:val="19"/>
      </w:pPr>
      <w:r>
        <w:t>3、根据市委和市政府的部署，研究拟定我县行政管理体制改革和机构改革的总体方案，组织实施县直党政机构改革方案。审核乡(镇)机构改革方案，指导协调全县各级行政管理体制和机构改革以及机构编制管理工作。</w:t>
      </w:r>
    </w:p>
    <w:p>
      <w:pPr>
        <w:pStyle w:val="19"/>
      </w:pPr>
      <w:r>
        <w:t>4、协调县委、县政府各部门的职能配置及其调整，协调县委各部门之间、县政府各部门之间，县委各部门与县政府各部门之间以及县直部门与乡(镇)之间的职责分工。</w:t>
      </w:r>
    </w:p>
    <w:p>
      <w:pPr>
        <w:pStyle w:val="19"/>
      </w:pPr>
      <w:r>
        <w:t>5、负责县委各部门、县政府各部门及部门管理的机构、县政府派出机构的机构设置(含内设机构)人员编制和领导职数的审核，提出县委、县政府各部门领导职数配备的建议；负责审核乡(镇)机构编制的分类及其党政群机关人员编制总数。</w:t>
      </w:r>
    </w:p>
    <w:p>
      <w:pPr>
        <w:pStyle w:val="19"/>
      </w:pPr>
      <w:r>
        <w:t>6、负责县人大、县政协、县人民法院、县人民检察院机关和各民主党派、人民团体机关的机构设置(含内设机构)人员编制和领导职数的审核，提出领导职数配备的建议。</w:t>
      </w:r>
    </w:p>
    <w:p>
      <w:pPr>
        <w:pStyle w:val="19"/>
      </w:pPr>
      <w:r>
        <w:t>7、研究拟定全县事业单位管理体制和机构改革方案；审核县委、县政府直属事业单位及县直各部门所属事业单位的机构设置、人员编制和领导职数；负责实施有关事业单位的编制定员标准；负责事业单位机构编制管理方面的其他重要事项；指导协调全县各级事业单位管理体制改革和机构编制管理工作。</w:t>
      </w:r>
    </w:p>
    <w:p>
      <w:pPr>
        <w:pStyle w:val="19"/>
      </w:pPr>
      <w:r>
        <w:t>8、负责办理全县机关事业单位上下编事宜；协同有关部门做好全县机关事业单位人员调入、录用和政策性分配安置工作。</w:t>
      </w:r>
    </w:p>
    <w:p>
      <w:pPr>
        <w:pStyle w:val="19"/>
      </w:pPr>
      <w:r>
        <w:t>9、贯彻执行国家和省、市有关事业单位登记管理的法律、法规、规章，拟定全县事业单位登记管理的规范性文件，并组织实施。负责全县登记管辖范围内事业单位的登记、年度报告和监督管理工作；检查监督和指导协调全县事业单位登记管理工作。</w:t>
      </w:r>
    </w:p>
    <w:p>
      <w:pPr>
        <w:pStyle w:val="19"/>
      </w:pPr>
      <w:r>
        <w:t>10、负责全县各级行政管理体制和机构改革以及机构编制执行情况的监督检查。</w:t>
      </w:r>
    </w:p>
    <w:p>
      <w:pPr>
        <w:pStyle w:val="19"/>
      </w:pPr>
      <w:r>
        <w:t>11、负责组织实施全县机构编制实名制管理具体工作。协助有关部门做好全县财政统一发放工资中机构和人员编制审核工作。</w:t>
      </w:r>
    </w:p>
    <w:p>
      <w:pPr>
        <w:pStyle w:val="19"/>
      </w:pPr>
      <w:r>
        <w:t>12、负责机构改革和机构编制管理有关信息采集和情况综合，负责机构编制统计和培训工作。</w:t>
      </w:r>
    </w:p>
    <w:p>
      <w:pPr>
        <w:pStyle w:val="19"/>
      </w:pPr>
      <w:r>
        <w:t>13、在上级业务部门的指导下，承担同级党政群机关和事业单位政务和公益专用中文域名的申请受理和审核以及监督检查工作。</w:t>
      </w:r>
    </w:p>
    <w:p>
      <w:pPr>
        <w:pStyle w:val="19"/>
      </w:pPr>
      <w:r>
        <w:t>14、负责编办上级及同级文件档案管理工作，负责全县事业单位档案管理工作。</w:t>
      </w:r>
    </w:p>
    <w:p>
      <w:pPr>
        <w:pStyle w:val="19"/>
      </w:pPr>
      <w:r>
        <w:t>16、指导和协调行政审批制度改革工作；研究提出取消和保留的行政审批项目；协调落实上级取消下放的行政审批事项；负责行政审批制度改革的监督检查和综合考核评价；承担行政审批制度改革领导小组的日常工作。</w:t>
      </w:r>
    </w:p>
    <w:p>
      <w:pPr>
        <w:pStyle w:val="19"/>
      </w:pPr>
      <w:r>
        <w:t>16、承办县委、县政府和县编委交办的其他事项。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中共无极县委机构编制委员会办公室本级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23" w:name="_Toc_3_3_0000000011"/>
      <w:bookmarkStart w:id="24" w:name="_Toc9129"/>
      <w:r>
        <w:rPr>
          <w:rFonts w:ascii="黑体" w:hAnsi="黑体" w:eastAsia="黑体" w:cs="黑体"/>
          <w:color w:val="000000"/>
          <w:sz w:val="32"/>
        </w:rPr>
        <w:t>二、部门预算安排的总体情况</w:t>
      </w:r>
      <w:bookmarkEnd w:id="23"/>
      <w:bookmarkEnd w:id="24"/>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w:t>
      </w:r>
    </w:p>
    <w:p>
      <w:pPr>
        <w:pStyle w:val="20"/>
      </w:pPr>
      <w:r>
        <w:t>1、收入说明</w:t>
      </w:r>
    </w:p>
    <w:p>
      <w:pPr>
        <w:pStyle w:val="20"/>
      </w:pPr>
      <w:r>
        <w:t>反映本部门当年全部收入。2022年预算收入165.27万元，其中：一般公共预算收入165.27万元，基金预算收入0万元，财政专户核拨收入0万元，其他来源收入0万元。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编制年度部门预算中支出预算的总体情况。2022年部门支出预算为165.27万元，其中基本支出155.27万元，包括人员经费132.17万元和日常公用经费23.1万元；项目支出10万元，主要为事业单位法人登记管理2万元，机构编制标准化管理3万元，行政体制改革考察学习和交流1万元，行政和事业单位机构改革2万元，电子政务中心2万元，其他支出0万元。</w:t>
      </w:r>
    </w:p>
    <w:p>
      <w:pPr>
        <w:pStyle w:val="20"/>
      </w:pPr>
      <w:r>
        <w:t>3、比上年增减情况</w:t>
      </w:r>
    </w:p>
    <w:p>
      <w:pPr>
        <w:pStyle w:val="20"/>
      </w:pPr>
      <w:r>
        <w:t>2022年部门预算收支安排165.27万元，较2021年增加2.91万元，其中：相应增加人员经费</w:t>
      </w:r>
      <w:r>
        <w:rPr>
          <w:rFonts w:hint="eastAsia"/>
          <w:lang w:val="en-US" w:eastAsia="zh-CN"/>
        </w:rPr>
        <w:t>1.91万元</w:t>
      </w:r>
      <w:r>
        <w:t>和日常公用经费</w:t>
      </w:r>
      <w:r>
        <w:rPr>
          <w:rFonts w:hint="eastAsia"/>
          <w:lang w:val="en-US" w:eastAsia="zh-CN"/>
        </w:rPr>
        <w:t>1万元</w:t>
      </w:r>
      <w:r>
        <w:t>；其他支出无增减变化。</w:t>
      </w:r>
    </w:p>
    <w:p>
      <w:pPr>
        <w:spacing w:before="10" w:after="10" w:line="360" w:lineRule="auto"/>
        <w:ind w:firstLine="640"/>
        <w:jc w:val="left"/>
        <w:outlineLvl w:val="2"/>
      </w:pPr>
      <w:bookmarkStart w:id="25" w:name="_Toc_3_3_0000000012"/>
      <w:bookmarkStart w:id="26" w:name="_Toc17941"/>
      <w:r>
        <w:rPr>
          <w:rFonts w:ascii="黑体" w:hAnsi="黑体" w:eastAsia="黑体" w:cs="黑体"/>
          <w:color w:val="000000"/>
          <w:sz w:val="32"/>
        </w:rPr>
        <w:t>三、机关运行经费安排情况</w:t>
      </w:r>
      <w:bookmarkEnd w:id="25"/>
      <w:bookmarkEnd w:id="26"/>
    </w:p>
    <w:p>
      <w:pPr>
        <w:pStyle w:val="21"/>
      </w:pPr>
      <w:r>
        <w:t>2022年，我部门机关运行经费共计安排23.1万元，主要用于保证机关正常运转的办公及印刷费、邮电费、差旅费、会议费、一般设备购置费、办公用房水电费、日常维修费、公务车运行维护费等支出。</w:t>
      </w:r>
    </w:p>
    <w:p>
      <w:pPr>
        <w:spacing w:before="10" w:after="10" w:line="360" w:lineRule="auto"/>
        <w:ind w:firstLine="640"/>
        <w:jc w:val="left"/>
        <w:outlineLvl w:val="2"/>
      </w:pPr>
      <w:bookmarkStart w:id="27" w:name="_Toc17670"/>
      <w:bookmarkStart w:id="28" w:name="_Toc_3_3_0000000013"/>
      <w:r>
        <w:rPr>
          <w:rFonts w:ascii="黑体" w:hAnsi="黑体" w:eastAsia="黑体" w:cs="黑体"/>
          <w:color w:val="000000"/>
          <w:sz w:val="32"/>
        </w:rPr>
        <w:t>四、财政拨款“三公”经费预算情况及增减变化原因</w:t>
      </w:r>
      <w:bookmarkEnd w:id="27"/>
      <w:bookmarkEnd w:id="28"/>
    </w:p>
    <w:p>
      <w:pPr>
        <w:pStyle w:val="22"/>
      </w:pPr>
      <w:r>
        <w:t>2022年，我部门财政拨款“三公”经费预算安排3.15万元，其中：因公出国（境）费0万元；公务用车购置及运维费3万元（其中：公务用车购置费0万元，公务用车运行维护费3万元)；公务接待费0.15万元。“三公”经费与上年增加0.02万元</w:t>
      </w:r>
      <w:r>
        <w:rPr>
          <w:rFonts w:hint="eastAsia"/>
          <w:lang w:eastAsia="zh-CN"/>
        </w:rPr>
        <w:t>，</w:t>
      </w:r>
      <w:r>
        <w:rPr>
          <w:rFonts w:hint="eastAsia"/>
          <w:lang w:val="en-US" w:eastAsia="zh-CN"/>
        </w:rPr>
        <w:t>增加原因是随着经济的发展，活动质量也在不断提高，公务接待费用报销政策不断完善</w:t>
      </w:r>
      <w:r>
        <w:t>。</w:t>
      </w:r>
    </w:p>
    <w:p>
      <w:pPr>
        <w:spacing w:before="10" w:after="10" w:line="360" w:lineRule="auto"/>
        <w:ind w:firstLine="640"/>
        <w:jc w:val="left"/>
        <w:outlineLvl w:val="2"/>
      </w:pPr>
      <w:bookmarkStart w:id="29" w:name="_Toc_3_3_0000000014"/>
      <w:bookmarkStart w:id="30" w:name="_Toc4615"/>
      <w:r>
        <w:rPr>
          <w:rFonts w:ascii="黑体" w:hAnsi="黑体" w:eastAsia="黑体" w:cs="黑体"/>
          <w:color w:val="000000"/>
          <w:sz w:val="32"/>
        </w:rPr>
        <w:t>五、预算绩效信息</w:t>
      </w:r>
      <w:bookmarkEnd w:id="29"/>
      <w:bookmarkEnd w:id="30"/>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贯彻落实党中央和省委、市委、县委关于行政管理体制和机构改革以及机构编制管理的政策法规；管理和监督全县纪委监委机关及其派驻纪检监察组、县委各机关、县</w:t>
      </w:r>
      <w:r>
        <w:rPr>
          <w:rFonts w:hint="eastAsia"/>
          <w:lang w:eastAsia="zh-CN"/>
        </w:rPr>
        <w:t>人大常委会机关</w:t>
      </w:r>
      <w:r>
        <w:t>、县政府各部门、县政协机关、民主党派县级机关、人民团体县级机关，以及事业单位机构编制工作。组织开展行政管理体制改革、事业单位管理体制改革以及机构编制工作基础性、创新性和前瞻性研究。做好事业单位分类工作；做好各部门所属事业单位分类改革工作；规范事业单位台账管理。</w:t>
      </w:r>
    </w:p>
    <w:p>
      <w:pPr>
        <w:pStyle w:val="23"/>
      </w:pPr>
      <w:r>
        <w:t>按照规定权限，负责县级党政群机构以及部门派出机构的职能配置、机构设置、人员编制和领导职数管理工作；负责协调县委、县政府各部门的职能配置及其调整，协调县委、县政府各部门之间以及县直各部门与乡（镇）之间的职责分工；负责需要承办的省以下垂直管理部门或双重管理部门（单位）机构编制有关工作。负责开发区（园区）行政管理体制改革工作。组织拟订开发区（园区）机构编制管理办法并组织实施；负责开发区（园区）职能配置、机构设置、人员编制和领导职数审核及上报工作。负责全县机构编制统计工作；负责机构编制网站的管理、使用和维护；指导全县党政群机关、事业单位和其他非营利性单位网上名称管理工作。</w:t>
      </w:r>
    </w:p>
    <w:p>
      <w:pPr>
        <w:pStyle w:val="23"/>
      </w:pPr>
      <w:r>
        <w:t>负责全县党政群机关统一社会信用代码赋码管理工作，负责全县事业单位法人登记管理和监督检查工作。负责全县机构编制的总量控制、动态管理。组织拟订县本级年度编制使用计划，审核全县机关事业单位招录、招聘计划和政策性安置等计划，负责全县机关事业单位编制使用核准；负责机构编制实名制管理工作；建立健全机构编制部门与有关部门的协调配合约束机制。负责跟踪评估、监督检查全县各级行政、事业单位管理体制改革、机构改革及机构编制执行情况；负责受理违反机构编制法规、纪律的检举、控告和投诉，对违反机构编制法规、纪律问题进行调查处理。</w:t>
      </w:r>
    </w:p>
    <w:p>
      <w:pPr>
        <w:pStyle w:val="23"/>
      </w:pPr>
      <w:r>
        <w:t>管理我县政务公益域名和网络红页，负责机构编制对外网页的维护管理。</w:t>
      </w:r>
    </w:p>
    <w:p>
      <w:pPr>
        <w:pStyle w:val="23"/>
      </w:pPr>
      <w:r>
        <w:t>做好机关人员管理及保障工作，为充分发挥职能作用提供有效保障。加强机关党组织建设，严格组织生活制度，丰富党建活动内容，做好党员发展、教育、管理和党务干部的教育培训工作，充分发挥党组织的战斗堡垒作用和党员的先锋模范作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一、管理体制改革</w:t>
      </w:r>
    </w:p>
    <w:p>
      <w:pPr>
        <w:pStyle w:val="24"/>
      </w:pPr>
      <w:r>
        <w:t>绩效目标：拟订党政群机关机构改革方案；组织拟订全市事业单位管理体制改革和机构改革方案；组织拟订开发区机构编制管理办法并组织实施。</w:t>
      </w:r>
    </w:p>
    <w:p>
      <w:pPr>
        <w:pStyle w:val="24"/>
      </w:pPr>
      <w:r>
        <w:t>绩效指标：改革方案获得上级批复。</w:t>
      </w:r>
    </w:p>
    <w:p>
      <w:pPr>
        <w:pStyle w:val="24"/>
      </w:pPr>
      <w:r>
        <w:t>二、机构编制管理</w:t>
      </w:r>
    </w:p>
    <w:p>
      <w:pPr>
        <w:pStyle w:val="24"/>
      </w:pPr>
      <w:r>
        <w:t>绩效目标：拟定党政群机关“三定”规定；拟定事业单位“三定”规定；坚决落实财政供养人员只减不增要求；创新机构编制动态管理；进一步严格实名制管理和编制使用核准制度；加强机构编制监督检查。</w:t>
      </w:r>
    </w:p>
    <w:p>
      <w:pPr>
        <w:pStyle w:val="24"/>
      </w:pPr>
      <w:r>
        <w:t>绩效指标：按照“优化协同高效”的原则，做好机构编制管理工作。</w:t>
      </w:r>
    </w:p>
    <w:p>
      <w:pPr>
        <w:pStyle w:val="24"/>
      </w:pPr>
      <w:r>
        <w:t>三、行政事业单位登记管理</w:t>
      </w:r>
    </w:p>
    <w:p>
      <w:pPr>
        <w:pStyle w:val="24"/>
      </w:pPr>
      <w:r>
        <w:t>绩效目标： 做好全市党政群机关统一社会信用代码赋码管理工作；组织实施事业单位法人年度报告公开和法人治理结构工作。</w:t>
      </w:r>
    </w:p>
    <w:p>
      <w:pPr>
        <w:pStyle w:val="24"/>
      </w:pPr>
      <w:r>
        <w:t>绩效指标： 3月底前完成上一年度事业单位法人年度报告工作，并及时进行公示；按照上级文件要求和赋码规则完成全部赋码任务。</w:t>
      </w:r>
    </w:p>
    <w:p>
      <w:pPr>
        <w:pStyle w:val="24"/>
      </w:pPr>
      <w:r>
        <w:t>四、党政机关、事业单位网上名称管理</w:t>
      </w:r>
    </w:p>
    <w:p>
      <w:pPr>
        <w:pStyle w:val="24"/>
      </w:pPr>
      <w:r>
        <w:t>绩效目标：完成全市党政群机关、事业单位和其他非营利性单位网上名称管理工作。</w:t>
      </w:r>
    </w:p>
    <w:p>
      <w:pPr>
        <w:pStyle w:val="24"/>
      </w:pPr>
      <w:r>
        <w:t>绩效指标：做好当年网上名称管理工作。</w:t>
      </w:r>
    </w:p>
    <w:p>
      <w:pPr>
        <w:pStyle w:val="24"/>
      </w:pPr>
      <w:r>
        <w:t>五、编办综合事务管理</w:t>
      </w:r>
    </w:p>
    <w:p>
      <w:pPr>
        <w:pStyle w:val="24"/>
      </w:pPr>
      <w:r>
        <w:t>绩效目标：做好机关人员管理及保障工作，为充分发挥职能作用提供有效保障。</w:t>
      </w:r>
    </w:p>
    <w:p>
      <w:pPr>
        <w:pStyle w:val="24"/>
      </w:pPr>
      <w:r>
        <w:t>绩效指标：完成各项工作任务。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完善制度建设。（包括制定完善预算绩效管理制度、资金管理办法、工作保障制度等，为全年预算绩效目标的实现奠定制度基础。）</w:t>
      </w:r>
    </w:p>
    <w:p>
      <w:pPr>
        <w:pStyle w:val="25"/>
      </w:pPr>
      <w:r>
        <w:t>加强支出管理。通过优化支出结构、编细编实预算、加快履行政府采购手续、尽快启动项目、及时支付资金、按规定及时下达资金等多种措施，确保支出进度达标。</w:t>
      </w:r>
    </w:p>
    <w:p>
      <w:pPr>
        <w:pStyle w:val="25"/>
      </w:pPr>
      <w:r>
        <w:t>加强绩效运行监控。按要求开展绩效运行监控，发现问题及时采取措施，确保绩效目标如期保质实现。</w:t>
      </w:r>
    </w:p>
    <w:p>
      <w:pPr>
        <w:pStyle w:val="25"/>
      </w:pPr>
      <w:r>
        <w:t>做好绩效自评。按要求开展上年度部门预算绩效自评和重点评价工作，对评价中发现的问题及时整改，调整优化支出结构，提高财政资金使用效益。</w:t>
      </w:r>
    </w:p>
    <w:p>
      <w:pPr>
        <w:pStyle w:val="25"/>
      </w:pPr>
      <w:r>
        <w:t>规范财务资产管理。完善财务管理制度，严格审批程序，加强固定资产登记、使用和报废处置管理，做到支出合理，物尽其用。</w:t>
      </w:r>
    </w:p>
    <w:p>
      <w:pPr>
        <w:pStyle w:val="25"/>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jc w:val="left"/>
        <w:outlineLvl w:val="9"/>
        <w:rPr>
          <w:rFonts w:hint="eastAsia" w:ascii="方正楷体_GBK" w:hAnsi="方正楷体_GBK" w:eastAsia="方正楷体_GBK" w:cs="方正楷体_GBK"/>
          <w:b/>
          <w:color w:val="000000"/>
          <w:sz w:val="32"/>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1、2022年电子政务中心绩效目标表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1.保障人员正常办公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按时支付水电暖等日常费用</w:t>
            </w:r>
          </w:p>
        </w:tc>
        <w:tc>
          <w:tcPr>
            <w:tcW w:w="2466" w:type="dxa"/>
            <w:vAlign w:val="center"/>
          </w:tcPr>
          <w:p>
            <w:pPr>
              <w:pStyle w:val="14"/>
            </w:pPr>
            <w:r>
              <w:t>按时支付水电暖等日常费用</w:t>
            </w:r>
          </w:p>
        </w:tc>
        <w:tc>
          <w:tcPr>
            <w:tcW w:w="2466" w:type="dxa"/>
            <w:vAlign w:val="center"/>
          </w:tcPr>
          <w:p>
            <w:pPr>
              <w:pStyle w:val="14"/>
            </w:pPr>
            <w:r>
              <w:t>支付水电暖等日常费用是否及时</w:t>
            </w:r>
          </w:p>
        </w:tc>
        <w:tc>
          <w:tcPr>
            <w:tcW w:w="2466" w:type="dxa"/>
            <w:vAlign w:val="center"/>
          </w:tcPr>
          <w:p>
            <w:pPr>
              <w:pStyle w:val="14"/>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机关运行质量</w:t>
            </w:r>
          </w:p>
        </w:tc>
        <w:tc>
          <w:tcPr>
            <w:tcW w:w="2466" w:type="dxa"/>
            <w:vAlign w:val="center"/>
          </w:tcPr>
          <w:p>
            <w:pPr>
              <w:pStyle w:val="14"/>
            </w:pPr>
            <w:r>
              <w:t>被上级部门批评次数</w:t>
            </w:r>
          </w:p>
        </w:tc>
        <w:tc>
          <w:tcPr>
            <w:tcW w:w="2466" w:type="dxa"/>
            <w:vAlign w:val="center"/>
          </w:tcPr>
          <w:p>
            <w:pPr>
              <w:pStyle w:val="14"/>
            </w:pPr>
            <w:r>
              <w:t>＞1次</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完成日常工作</w:t>
            </w:r>
          </w:p>
        </w:tc>
        <w:tc>
          <w:tcPr>
            <w:tcW w:w="2466" w:type="dxa"/>
            <w:vAlign w:val="center"/>
          </w:tcPr>
          <w:p>
            <w:pPr>
              <w:pStyle w:val="14"/>
            </w:pPr>
            <w:r>
              <w:t>无拖延情况</w:t>
            </w:r>
          </w:p>
        </w:tc>
        <w:tc>
          <w:tcPr>
            <w:tcW w:w="2466" w:type="dxa"/>
            <w:vAlign w:val="center"/>
          </w:tcPr>
          <w:p>
            <w:pPr>
              <w:pStyle w:val="14"/>
            </w:pPr>
            <w:r>
              <w:t>及时完成工作</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不超出各项目预算数</w:t>
            </w:r>
          </w:p>
        </w:tc>
        <w:tc>
          <w:tcPr>
            <w:tcW w:w="2466" w:type="dxa"/>
            <w:vAlign w:val="center"/>
          </w:tcPr>
          <w:p>
            <w:pPr>
              <w:pStyle w:val="14"/>
            </w:pPr>
            <w:r>
              <w:t>超支成本</w:t>
            </w:r>
          </w:p>
        </w:tc>
        <w:tc>
          <w:tcPr>
            <w:tcW w:w="2466" w:type="dxa"/>
            <w:vAlign w:val="center"/>
          </w:tcPr>
          <w:p>
            <w:pPr>
              <w:pStyle w:val="14"/>
            </w:pPr>
            <w:r>
              <w:t>不超出各项目预算数</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保证单位正常运转</w:t>
            </w:r>
          </w:p>
        </w:tc>
        <w:tc>
          <w:tcPr>
            <w:tcW w:w="2466" w:type="dxa"/>
            <w:vAlign w:val="center"/>
          </w:tcPr>
          <w:p>
            <w:pPr>
              <w:pStyle w:val="14"/>
            </w:pPr>
            <w:r>
              <w:t>为单位日常工作开展提供有力保障。</w:t>
            </w:r>
          </w:p>
        </w:tc>
        <w:tc>
          <w:tcPr>
            <w:tcW w:w="2466" w:type="dxa"/>
            <w:vAlign w:val="center"/>
          </w:tcPr>
          <w:p>
            <w:pPr>
              <w:pStyle w:val="14"/>
            </w:pPr>
            <w:r>
              <w:t>保证单位正常运转</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满足正常办公需求</w:t>
            </w:r>
          </w:p>
        </w:tc>
        <w:tc>
          <w:tcPr>
            <w:tcW w:w="2466" w:type="dxa"/>
            <w:vAlign w:val="center"/>
          </w:tcPr>
          <w:p>
            <w:pPr>
              <w:pStyle w:val="14"/>
            </w:pPr>
            <w:r>
              <w:t>保障人员正常办公</w:t>
            </w:r>
          </w:p>
        </w:tc>
        <w:tc>
          <w:tcPr>
            <w:tcW w:w="2466" w:type="dxa"/>
            <w:vAlign w:val="center"/>
          </w:tcPr>
          <w:p>
            <w:pPr>
              <w:pStyle w:val="14"/>
            </w:pPr>
            <w:r>
              <w:t>满足正常办公需求</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保障机关单位正常运转</w:t>
            </w:r>
          </w:p>
        </w:tc>
        <w:tc>
          <w:tcPr>
            <w:tcW w:w="2466" w:type="dxa"/>
            <w:vAlign w:val="center"/>
          </w:tcPr>
          <w:p>
            <w:pPr>
              <w:pStyle w:val="14"/>
            </w:pPr>
            <w:r>
              <w:t>通过开展维修、购置等工作</w:t>
            </w:r>
          </w:p>
        </w:tc>
        <w:tc>
          <w:tcPr>
            <w:tcW w:w="2466" w:type="dxa"/>
            <w:vAlign w:val="center"/>
          </w:tcPr>
          <w:p>
            <w:pPr>
              <w:pStyle w:val="14"/>
            </w:pPr>
            <w:r>
              <w:t>保障机关单位正常运转</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无纸化办公节约率</w:t>
            </w:r>
          </w:p>
        </w:tc>
        <w:tc>
          <w:tcPr>
            <w:tcW w:w="2466" w:type="dxa"/>
            <w:vAlign w:val="center"/>
          </w:tcPr>
          <w:p>
            <w:pPr>
              <w:pStyle w:val="14"/>
            </w:pPr>
            <w:r>
              <w:t>反映使用数据采集终端减少纸质表的填报工作情况</w:t>
            </w:r>
          </w:p>
        </w:tc>
        <w:tc>
          <w:tcPr>
            <w:tcW w:w="2466" w:type="dxa"/>
            <w:vAlign w:val="center"/>
          </w:tcPr>
          <w:p>
            <w:pPr>
              <w:pStyle w:val="14"/>
            </w:pPr>
            <w:r>
              <w:t>无纸化办公节约率</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使用人员满意度</w:t>
            </w:r>
          </w:p>
        </w:tc>
        <w:tc>
          <w:tcPr>
            <w:tcW w:w="2466" w:type="dxa"/>
            <w:vAlign w:val="center"/>
          </w:tcPr>
          <w:p>
            <w:pPr>
              <w:pStyle w:val="14"/>
            </w:pPr>
            <w:r>
              <w:t>系统使用满意情况</w:t>
            </w:r>
          </w:p>
        </w:tc>
        <w:tc>
          <w:tcPr>
            <w:tcW w:w="2466" w:type="dxa"/>
            <w:vAlign w:val="center"/>
          </w:tcPr>
          <w:p>
            <w:pPr>
              <w:pStyle w:val="14"/>
            </w:pPr>
            <w:r>
              <w:t>95%</w:t>
            </w:r>
          </w:p>
        </w:tc>
        <w:tc>
          <w:tcPr>
            <w:tcW w:w="2466" w:type="dxa"/>
            <w:vAlign w:val="center"/>
          </w:tcPr>
          <w:p>
            <w:pPr>
              <w:pStyle w:val="14"/>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干部职工满意度</w:t>
            </w:r>
          </w:p>
        </w:tc>
        <w:tc>
          <w:tcPr>
            <w:tcW w:w="2466" w:type="dxa"/>
            <w:vAlign w:val="center"/>
          </w:tcPr>
          <w:p>
            <w:pPr>
              <w:pStyle w:val="14"/>
            </w:pPr>
            <w:r>
              <w:t>保障机关工作正常运转，服务到位</w:t>
            </w:r>
          </w:p>
        </w:tc>
        <w:tc>
          <w:tcPr>
            <w:tcW w:w="2466" w:type="dxa"/>
            <w:vAlign w:val="center"/>
          </w:tcPr>
          <w:p>
            <w:pPr>
              <w:pStyle w:val="14"/>
            </w:pPr>
            <w:r>
              <w:t>95%</w:t>
            </w:r>
          </w:p>
        </w:tc>
        <w:tc>
          <w:tcPr>
            <w:tcW w:w="2466" w:type="dxa"/>
            <w:vAlign w:val="center"/>
          </w:tcPr>
          <w:p>
            <w:pPr>
              <w:pStyle w:val="14"/>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机关单位工作人员满意度</w:t>
            </w:r>
          </w:p>
        </w:tc>
        <w:tc>
          <w:tcPr>
            <w:tcW w:w="2466" w:type="dxa"/>
            <w:vAlign w:val="center"/>
          </w:tcPr>
          <w:p>
            <w:pPr>
              <w:pStyle w:val="14"/>
            </w:pPr>
            <w:r>
              <w:t>调查中机关单位人员对单位环境和设施满意和较满意的人数占调查总人数的比率</w:t>
            </w:r>
          </w:p>
        </w:tc>
        <w:tc>
          <w:tcPr>
            <w:tcW w:w="2466" w:type="dxa"/>
            <w:vAlign w:val="center"/>
          </w:tcPr>
          <w:p>
            <w:pPr>
              <w:pStyle w:val="14"/>
            </w:pPr>
            <w:r>
              <w:t>95%</w:t>
            </w:r>
          </w:p>
        </w:tc>
        <w:tc>
          <w:tcPr>
            <w:tcW w:w="2466"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2、2022年机构编制标准化管理绩效目标表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1.人员编制使用情况核准，机构编制执行情况跟踪评估和监督检查工作；指导全县党政群机关、事业单位和其他非营利性单位网上名称管理工作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开展机构编制实名制及人员编制使用情况核准</w:t>
            </w:r>
          </w:p>
        </w:tc>
        <w:tc>
          <w:tcPr>
            <w:tcW w:w="2466" w:type="dxa"/>
            <w:vAlign w:val="center"/>
          </w:tcPr>
          <w:p>
            <w:pPr>
              <w:pStyle w:val="14"/>
            </w:pPr>
            <w:r>
              <w:t>开展机构编制实名制及人员编制使用情况核准，机构编制执行情况跟踪评估和监督检查工作；指导全县党政群机关、事业单位和其他非营利性单位网上名称管理工作</w:t>
            </w:r>
          </w:p>
        </w:tc>
        <w:tc>
          <w:tcPr>
            <w:tcW w:w="2466" w:type="dxa"/>
            <w:vAlign w:val="center"/>
          </w:tcPr>
          <w:p>
            <w:pPr>
              <w:pStyle w:val="14"/>
            </w:pPr>
            <w:r>
              <w:t>100%</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机构编制执行情况跟踪评估和监督检查工作</w:t>
            </w:r>
          </w:p>
        </w:tc>
        <w:tc>
          <w:tcPr>
            <w:tcW w:w="2466" w:type="dxa"/>
            <w:vAlign w:val="center"/>
          </w:tcPr>
          <w:p>
            <w:pPr>
              <w:pStyle w:val="14"/>
            </w:pPr>
            <w:r>
              <w:t>人员编制使用情况核准，机构编制执行情况跟踪评估和监督检查工作；指导全县党政群机关、事业单位和其他非营利性单位网上名称管理工作</w:t>
            </w:r>
          </w:p>
        </w:tc>
        <w:tc>
          <w:tcPr>
            <w:tcW w:w="2466" w:type="dxa"/>
            <w:vAlign w:val="center"/>
          </w:tcPr>
          <w:p>
            <w:pPr>
              <w:pStyle w:val="14"/>
            </w:pPr>
            <w:r>
              <w:t>100%</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指导全县党政群机关、事业单位和其他非营利性单位网上名称管理工作</w:t>
            </w:r>
          </w:p>
        </w:tc>
        <w:tc>
          <w:tcPr>
            <w:tcW w:w="2466" w:type="dxa"/>
            <w:vAlign w:val="center"/>
          </w:tcPr>
          <w:p>
            <w:pPr>
              <w:pStyle w:val="14"/>
            </w:pPr>
            <w:r>
              <w:t>全县党政群机关、事业单位和其他非营利性单位网上名称管理工作</w:t>
            </w:r>
          </w:p>
        </w:tc>
        <w:tc>
          <w:tcPr>
            <w:tcW w:w="2466" w:type="dxa"/>
            <w:vAlign w:val="center"/>
          </w:tcPr>
          <w:p>
            <w:pPr>
              <w:pStyle w:val="14"/>
            </w:pPr>
            <w:r>
              <w:t>100%</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全县机构编制统计、数据分析工作</w:t>
            </w:r>
          </w:p>
        </w:tc>
        <w:tc>
          <w:tcPr>
            <w:tcW w:w="2466" w:type="dxa"/>
            <w:vAlign w:val="center"/>
          </w:tcPr>
          <w:p>
            <w:pPr>
              <w:pStyle w:val="14"/>
            </w:pPr>
            <w:r>
              <w:t>机构编制执行情况跟踪评估和监督检查工作</w:t>
            </w:r>
          </w:p>
        </w:tc>
        <w:tc>
          <w:tcPr>
            <w:tcW w:w="2466" w:type="dxa"/>
            <w:vAlign w:val="center"/>
          </w:tcPr>
          <w:p>
            <w:pPr>
              <w:pStyle w:val="14"/>
            </w:pPr>
            <w:r>
              <w:t>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按照上级要求，完成机构编制标准化建设</w:t>
            </w:r>
          </w:p>
        </w:tc>
        <w:tc>
          <w:tcPr>
            <w:tcW w:w="2466" w:type="dxa"/>
            <w:vAlign w:val="center"/>
          </w:tcPr>
          <w:p>
            <w:pPr>
              <w:pStyle w:val="14"/>
            </w:pPr>
            <w:r>
              <w:t>开展机构编制实名制及人员编制使用情况核准，机构编制执行情况跟踪评估和监督检查工作；指导全县党政群机关、事业单位和其他非营利性单位网上名称管理工作</w:t>
            </w:r>
          </w:p>
        </w:tc>
        <w:tc>
          <w:tcPr>
            <w:tcW w:w="2466" w:type="dxa"/>
            <w:vAlign w:val="center"/>
          </w:tcPr>
          <w:p>
            <w:pPr>
              <w:pStyle w:val="14"/>
            </w:pPr>
            <w:r>
              <w:t>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保障机构编制机制正常运转</w:t>
            </w:r>
          </w:p>
        </w:tc>
        <w:tc>
          <w:tcPr>
            <w:tcW w:w="2466" w:type="dxa"/>
            <w:vAlign w:val="center"/>
          </w:tcPr>
          <w:p>
            <w:pPr>
              <w:pStyle w:val="14"/>
            </w:pPr>
            <w:r>
              <w:t>人员编制使用情况核准，机构编制执行情况跟踪评估和监督检查工作；指导全县党政群机关、事业单位和其他非营利性单位网上名称管理工作</w:t>
            </w:r>
          </w:p>
        </w:tc>
        <w:tc>
          <w:tcPr>
            <w:tcW w:w="2466" w:type="dxa"/>
            <w:vAlign w:val="center"/>
          </w:tcPr>
          <w:p>
            <w:pPr>
              <w:pStyle w:val="14"/>
            </w:pPr>
            <w:r>
              <w:t>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加强完善事业单位登记管理工作</w:t>
            </w:r>
          </w:p>
        </w:tc>
        <w:tc>
          <w:tcPr>
            <w:tcW w:w="2466" w:type="dxa"/>
            <w:vAlign w:val="center"/>
          </w:tcPr>
          <w:p>
            <w:pPr>
              <w:pStyle w:val="14"/>
            </w:pPr>
            <w:r>
              <w:t>全县党政群机关、事业单位和其他非营利性单位网上名称管理工作</w:t>
            </w:r>
          </w:p>
        </w:tc>
        <w:tc>
          <w:tcPr>
            <w:tcW w:w="2466" w:type="dxa"/>
            <w:vAlign w:val="center"/>
          </w:tcPr>
          <w:p>
            <w:pPr>
              <w:pStyle w:val="14"/>
            </w:pPr>
            <w:r>
              <w:t>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完成全县机构编制信息化建设工作</w:t>
            </w:r>
          </w:p>
        </w:tc>
        <w:tc>
          <w:tcPr>
            <w:tcW w:w="2466" w:type="dxa"/>
            <w:vAlign w:val="center"/>
          </w:tcPr>
          <w:p>
            <w:pPr>
              <w:pStyle w:val="14"/>
            </w:pPr>
            <w:r>
              <w:t>机构编制执行情况跟踪评估和监督检查工作</w:t>
            </w:r>
          </w:p>
        </w:tc>
        <w:tc>
          <w:tcPr>
            <w:tcW w:w="2466" w:type="dxa"/>
            <w:vAlign w:val="center"/>
          </w:tcPr>
          <w:p>
            <w:pPr>
              <w:pStyle w:val="14"/>
            </w:pPr>
            <w:r>
              <w:t>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服务对象满意率</w:t>
            </w:r>
          </w:p>
        </w:tc>
        <w:tc>
          <w:tcPr>
            <w:tcW w:w="2466" w:type="dxa"/>
            <w:vAlign w:val="center"/>
          </w:tcPr>
          <w:p>
            <w:pPr>
              <w:pStyle w:val="14"/>
            </w:pPr>
            <w:r>
              <w:t>服务对象满意率</w:t>
            </w:r>
          </w:p>
        </w:tc>
        <w:tc>
          <w:tcPr>
            <w:tcW w:w="2466" w:type="dxa"/>
            <w:vAlign w:val="center"/>
          </w:tcPr>
          <w:p>
            <w:pPr>
              <w:pStyle w:val="14"/>
            </w:pPr>
            <w:r>
              <w:t>100%</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服务对象满意率</w:t>
            </w:r>
          </w:p>
        </w:tc>
        <w:tc>
          <w:tcPr>
            <w:tcW w:w="2466" w:type="dxa"/>
            <w:vAlign w:val="center"/>
          </w:tcPr>
          <w:p>
            <w:pPr>
              <w:pStyle w:val="14"/>
            </w:pPr>
            <w:r>
              <w:t>服务对象满意率</w:t>
            </w:r>
          </w:p>
        </w:tc>
        <w:tc>
          <w:tcPr>
            <w:tcW w:w="2466" w:type="dxa"/>
            <w:vAlign w:val="center"/>
          </w:tcPr>
          <w:p>
            <w:pPr>
              <w:pStyle w:val="14"/>
            </w:pPr>
            <w:r>
              <w:t>100%</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服务对象满意率</w:t>
            </w:r>
          </w:p>
        </w:tc>
        <w:tc>
          <w:tcPr>
            <w:tcW w:w="2466" w:type="dxa"/>
            <w:vAlign w:val="center"/>
          </w:tcPr>
          <w:p>
            <w:pPr>
              <w:pStyle w:val="14"/>
            </w:pPr>
            <w:r>
              <w:t>服务对象满意率</w:t>
            </w:r>
          </w:p>
        </w:tc>
        <w:tc>
          <w:tcPr>
            <w:tcW w:w="2466" w:type="dxa"/>
            <w:vAlign w:val="center"/>
          </w:tcPr>
          <w:p>
            <w:pPr>
              <w:pStyle w:val="14"/>
            </w:pPr>
            <w:r>
              <w:t>100%</w:t>
            </w:r>
          </w:p>
        </w:tc>
        <w:tc>
          <w:tcPr>
            <w:tcW w:w="2466" w:type="dxa"/>
            <w:vAlign w:val="center"/>
          </w:tcPr>
          <w:p>
            <w:pPr>
              <w:pStyle w:val="14"/>
            </w:pPr>
            <w:r>
              <w:t>机构编制条例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3、2022年事业单位法人登记管理绩效目标表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1.保障人员正常办公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按时支付水电暖等日常费用</w:t>
            </w:r>
          </w:p>
        </w:tc>
        <w:tc>
          <w:tcPr>
            <w:tcW w:w="2466" w:type="dxa"/>
            <w:vAlign w:val="center"/>
          </w:tcPr>
          <w:p>
            <w:pPr>
              <w:pStyle w:val="14"/>
            </w:pPr>
            <w:r>
              <w:t>按时支付水电暖等日常费用</w:t>
            </w:r>
          </w:p>
        </w:tc>
        <w:tc>
          <w:tcPr>
            <w:tcW w:w="2466" w:type="dxa"/>
            <w:vAlign w:val="center"/>
          </w:tcPr>
          <w:p>
            <w:pPr>
              <w:pStyle w:val="14"/>
            </w:pPr>
            <w:r>
              <w:t>支付水电暖等日常费用是否及时</w:t>
            </w:r>
          </w:p>
        </w:tc>
        <w:tc>
          <w:tcPr>
            <w:tcW w:w="2466" w:type="dxa"/>
            <w:vAlign w:val="center"/>
          </w:tcPr>
          <w:p>
            <w:pPr>
              <w:pStyle w:val="14"/>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机关运行质量</w:t>
            </w:r>
          </w:p>
        </w:tc>
        <w:tc>
          <w:tcPr>
            <w:tcW w:w="2466" w:type="dxa"/>
            <w:vAlign w:val="center"/>
          </w:tcPr>
          <w:p>
            <w:pPr>
              <w:pStyle w:val="14"/>
            </w:pPr>
            <w:r>
              <w:t>被上级部门批评次数</w:t>
            </w:r>
          </w:p>
        </w:tc>
        <w:tc>
          <w:tcPr>
            <w:tcW w:w="2466" w:type="dxa"/>
            <w:vAlign w:val="center"/>
          </w:tcPr>
          <w:p>
            <w:pPr>
              <w:pStyle w:val="14"/>
            </w:pPr>
            <w:r>
              <w:t>＞1次</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完成日常工作</w:t>
            </w:r>
          </w:p>
        </w:tc>
        <w:tc>
          <w:tcPr>
            <w:tcW w:w="2466" w:type="dxa"/>
            <w:vAlign w:val="center"/>
          </w:tcPr>
          <w:p>
            <w:pPr>
              <w:pStyle w:val="14"/>
            </w:pPr>
            <w:r>
              <w:t>无拖延情况</w:t>
            </w:r>
          </w:p>
        </w:tc>
        <w:tc>
          <w:tcPr>
            <w:tcW w:w="2466" w:type="dxa"/>
            <w:vAlign w:val="center"/>
          </w:tcPr>
          <w:p>
            <w:pPr>
              <w:pStyle w:val="14"/>
            </w:pPr>
            <w:r>
              <w:t>及时完成工作</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不超出各项目预算数</w:t>
            </w:r>
          </w:p>
        </w:tc>
        <w:tc>
          <w:tcPr>
            <w:tcW w:w="2466" w:type="dxa"/>
            <w:vAlign w:val="center"/>
          </w:tcPr>
          <w:p>
            <w:pPr>
              <w:pStyle w:val="14"/>
            </w:pPr>
            <w:r>
              <w:t>超支成本</w:t>
            </w:r>
          </w:p>
        </w:tc>
        <w:tc>
          <w:tcPr>
            <w:tcW w:w="2466" w:type="dxa"/>
            <w:vAlign w:val="center"/>
          </w:tcPr>
          <w:p>
            <w:pPr>
              <w:pStyle w:val="14"/>
            </w:pPr>
            <w:r>
              <w:t>不超出各项目预算数</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保证单位正常运转</w:t>
            </w:r>
          </w:p>
        </w:tc>
        <w:tc>
          <w:tcPr>
            <w:tcW w:w="2466" w:type="dxa"/>
            <w:vAlign w:val="center"/>
          </w:tcPr>
          <w:p>
            <w:pPr>
              <w:pStyle w:val="14"/>
            </w:pPr>
            <w:r>
              <w:t>为单位日常工作开展提供有力保障。</w:t>
            </w:r>
          </w:p>
        </w:tc>
        <w:tc>
          <w:tcPr>
            <w:tcW w:w="2466" w:type="dxa"/>
            <w:vAlign w:val="center"/>
          </w:tcPr>
          <w:p>
            <w:pPr>
              <w:pStyle w:val="14"/>
            </w:pPr>
            <w:r>
              <w:t>保证单位正常运转</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满足正常办公需求</w:t>
            </w:r>
          </w:p>
        </w:tc>
        <w:tc>
          <w:tcPr>
            <w:tcW w:w="2466" w:type="dxa"/>
            <w:vAlign w:val="center"/>
          </w:tcPr>
          <w:p>
            <w:pPr>
              <w:pStyle w:val="14"/>
            </w:pPr>
            <w:r>
              <w:t>保障人员正常办公</w:t>
            </w:r>
          </w:p>
        </w:tc>
        <w:tc>
          <w:tcPr>
            <w:tcW w:w="2466" w:type="dxa"/>
            <w:vAlign w:val="center"/>
          </w:tcPr>
          <w:p>
            <w:pPr>
              <w:pStyle w:val="14"/>
            </w:pPr>
            <w:r>
              <w:t>满足正常办公需求</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保障机关单位正常运转</w:t>
            </w:r>
          </w:p>
        </w:tc>
        <w:tc>
          <w:tcPr>
            <w:tcW w:w="2466" w:type="dxa"/>
            <w:vAlign w:val="center"/>
          </w:tcPr>
          <w:p>
            <w:pPr>
              <w:pStyle w:val="14"/>
            </w:pPr>
            <w:r>
              <w:t>通过开展维修、购置等工作</w:t>
            </w:r>
          </w:p>
        </w:tc>
        <w:tc>
          <w:tcPr>
            <w:tcW w:w="2466" w:type="dxa"/>
            <w:vAlign w:val="center"/>
          </w:tcPr>
          <w:p>
            <w:pPr>
              <w:pStyle w:val="14"/>
            </w:pPr>
            <w:r>
              <w:t>保障机关单位正常运转</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无纸化办公节约率</w:t>
            </w:r>
          </w:p>
        </w:tc>
        <w:tc>
          <w:tcPr>
            <w:tcW w:w="2466" w:type="dxa"/>
            <w:vAlign w:val="center"/>
          </w:tcPr>
          <w:p>
            <w:pPr>
              <w:pStyle w:val="14"/>
            </w:pPr>
            <w:r>
              <w:t>反映使用数据采集终端减少纸质表的填报工作情况</w:t>
            </w:r>
          </w:p>
        </w:tc>
        <w:tc>
          <w:tcPr>
            <w:tcW w:w="2466" w:type="dxa"/>
            <w:vAlign w:val="center"/>
          </w:tcPr>
          <w:p>
            <w:pPr>
              <w:pStyle w:val="14"/>
            </w:pPr>
            <w:r>
              <w:t>无纸化办公节约率</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使用人员满意度</w:t>
            </w:r>
          </w:p>
        </w:tc>
        <w:tc>
          <w:tcPr>
            <w:tcW w:w="2466" w:type="dxa"/>
            <w:vAlign w:val="center"/>
          </w:tcPr>
          <w:p>
            <w:pPr>
              <w:pStyle w:val="14"/>
            </w:pPr>
            <w:r>
              <w:t>系统使用满意情况</w:t>
            </w:r>
          </w:p>
        </w:tc>
        <w:tc>
          <w:tcPr>
            <w:tcW w:w="2466" w:type="dxa"/>
            <w:vAlign w:val="center"/>
          </w:tcPr>
          <w:p>
            <w:pPr>
              <w:pStyle w:val="14"/>
            </w:pPr>
            <w:r>
              <w:t>95%</w:t>
            </w:r>
          </w:p>
        </w:tc>
        <w:tc>
          <w:tcPr>
            <w:tcW w:w="2466" w:type="dxa"/>
            <w:vAlign w:val="center"/>
          </w:tcPr>
          <w:p>
            <w:pPr>
              <w:pStyle w:val="14"/>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干部职工满意度</w:t>
            </w:r>
          </w:p>
        </w:tc>
        <w:tc>
          <w:tcPr>
            <w:tcW w:w="2466" w:type="dxa"/>
            <w:vAlign w:val="center"/>
          </w:tcPr>
          <w:p>
            <w:pPr>
              <w:pStyle w:val="14"/>
            </w:pPr>
            <w:r>
              <w:t>保障机关工作正常运转，服务到位</w:t>
            </w:r>
          </w:p>
        </w:tc>
        <w:tc>
          <w:tcPr>
            <w:tcW w:w="2466" w:type="dxa"/>
            <w:vAlign w:val="center"/>
          </w:tcPr>
          <w:p>
            <w:pPr>
              <w:pStyle w:val="14"/>
            </w:pPr>
            <w:r>
              <w:t>95%</w:t>
            </w:r>
          </w:p>
        </w:tc>
        <w:tc>
          <w:tcPr>
            <w:tcW w:w="2466" w:type="dxa"/>
            <w:vAlign w:val="center"/>
          </w:tcPr>
          <w:p>
            <w:pPr>
              <w:pStyle w:val="14"/>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机关单位工作人员满意度</w:t>
            </w:r>
          </w:p>
        </w:tc>
        <w:tc>
          <w:tcPr>
            <w:tcW w:w="2466" w:type="dxa"/>
            <w:vAlign w:val="center"/>
          </w:tcPr>
          <w:p>
            <w:pPr>
              <w:pStyle w:val="14"/>
            </w:pPr>
            <w:r>
              <w:t>调查中机关单位人员对单位环境和设施满意和较满意的人数占调查总人数的比率</w:t>
            </w:r>
          </w:p>
        </w:tc>
        <w:tc>
          <w:tcPr>
            <w:tcW w:w="2466" w:type="dxa"/>
            <w:vAlign w:val="center"/>
          </w:tcPr>
          <w:p>
            <w:pPr>
              <w:pStyle w:val="14"/>
            </w:pPr>
            <w:r>
              <w:t>95%</w:t>
            </w:r>
          </w:p>
        </w:tc>
        <w:tc>
          <w:tcPr>
            <w:tcW w:w="2466"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4、2022年行政和事业单位机构改革绩效目标表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1.保障人员正常办公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按时支付水电暖等日常费用</w:t>
            </w:r>
          </w:p>
        </w:tc>
        <w:tc>
          <w:tcPr>
            <w:tcW w:w="2466" w:type="dxa"/>
            <w:vAlign w:val="center"/>
          </w:tcPr>
          <w:p>
            <w:pPr>
              <w:pStyle w:val="14"/>
            </w:pPr>
            <w:r>
              <w:t>按时支付水电暖等日常费用</w:t>
            </w:r>
          </w:p>
        </w:tc>
        <w:tc>
          <w:tcPr>
            <w:tcW w:w="2466" w:type="dxa"/>
            <w:vAlign w:val="center"/>
          </w:tcPr>
          <w:p>
            <w:pPr>
              <w:pStyle w:val="14"/>
            </w:pPr>
            <w:r>
              <w:t>支付水电暖等日常费用是否及时</w:t>
            </w:r>
          </w:p>
        </w:tc>
        <w:tc>
          <w:tcPr>
            <w:tcW w:w="2466" w:type="dxa"/>
            <w:vAlign w:val="center"/>
          </w:tcPr>
          <w:p>
            <w:pPr>
              <w:pStyle w:val="14"/>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机关运行质量</w:t>
            </w:r>
          </w:p>
        </w:tc>
        <w:tc>
          <w:tcPr>
            <w:tcW w:w="2466" w:type="dxa"/>
            <w:vAlign w:val="center"/>
          </w:tcPr>
          <w:p>
            <w:pPr>
              <w:pStyle w:val="14"/>
            </w:pPr>
            <w:r>
              <w:t>被上级部门批评次数</w:t>
            </w:r>
          </w:p>
        </w:tc>
        <w:tc>
          <w:tcPr>
            <w:tcW w:w="2466" w:type="dxa"/>
            <w:vAlign w:val="center"/>
          </w:tcPr>
          <w:p>
            <w:pPr>
              <w:pStyle w:val="14"/>
            </w:pPr>
            <w:r>
              <w:t>＞1次</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完成日常工作</w:t>
            </w:r>
          </w:p>
        </w:tc>
        <w:tc>
          <w:tcPr>
            <w:tcW w:w="2466" w:type="dxa"/>
            <w:vAlign w:val="center"/>
          </w:tcPr>
          <w:p>
            <w:pPr>
              <w:pStyle w:val="14"/>
            </w:pPr>
            <w:r>
              <w:t>无拖延情况</w:t>
            </w:r>
          </w:p>
        </w:tc>
        <w:tc>
          <w:tcPr>
            <w:tcW w:w="2466" w:type="dxa"/>
            <w:vAlign w:val="center"/>
          </w:tcPr>
          <w:p>
            <w:pPr>
              <w:pStyle w:val="14"/>
            </w:pPr>
            <w:r>
              <w:t>及时完成工作</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不超出各项目预算数</w:t>
            </w:r>
          </w:p>
        </w:tc>
        <w:tc>
          <w:tcPr>
            <w:tcW w:w="2466" w:type="dxa"/>
            <w:vAlign w:val="center"/>
          </w:tcPr>
          <w:p>
            <w:pPr>
              <w:pStyle w:val="14"/>
            </w:pPr>
            <w:r>
              <w:t>超支成本</w:t>
            </w:r>
          </w:p>
        </w:tc>
        <w:tc>
          <w:tcPr>
            <w:tcW w:w="2466" w:type="dxa"/>
            <w:vAlign w:val="center"/>
          </w:tcPr>
          <w:p>
            <w:pPr>
              <w:pStyle w:val="14"/>
            </w:pPr>
            <w:r>
              <w:t>不超出各项目预算数</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保证单位正常运转</w:t>
            </w:r>
          </w:p>
        </w:tc>
        <w:tc>
          <w:tcPr>
            <w:tcW w:w="2466" w:type="dxa"/>
            <w:vAlign w:val="center"/>
          </w:tcPr>
          <w:p>
            <w:pPr>
              <w:pStyle w:val="14"/>
            </w:pPr>
            <w:r>
              <w:t>为单位日常工作开展提供有力保障。</w:t>
            </w:r>
          </w:p>
        </w:tc>
        <w:tc>
          <w:tcPr>
            <w:tcW w:w="2466" w:type="dxa"/>
            <w:vAlign w:val="center"/>
          </w:tcPr>
          <w:p>
            <w:pPr>
              <w:pStyle w:val="14"/>
            </w:pPr>
            <w:r>
              <w:t>保证单位正常运转</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满足正常办公需求</w:t>
            </w:r>
          </w:p>
        </w:tc>
        <w:tc>
          <w:tcPr>
            <w:tcW w:w="2466" w:type="dxa"/>
            <w:vAlign w:val="center"/>
          </w:tcPr>
          <w:p>
            <w:pPr>
              <w:pStyle w:val="14"/>
            </w:pPr>
            <w:r>
              <w:t>保障人员正常办公</w:t>
            </w:r>
          </w:p>
        </w:tc>
        <w:tc>
          <w:tcPr>
            <w:tcW w:w="2466" w:type="dxa"/>
            <w:vAlign w:val="center"/>
          </w:tcPr>
          <w:p>
            <w:pPr>
              <w:pStyle w:val="14"/>
            </w:pPr>
            <w:r>
              <w:t>满足正常办公需求</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保障机关单位正常运转</w:t>
            </w:r>
          </w:p>
        </w:tc>
        <w:tc>
          <w:tcPr>
            <w:tcW w:w="2466" w:type="dxa"/>
            <w:vAlign w:val="center"/>
          </w:tcPr>
          <w:p>
            <w:pPr>
              <w:pStyle w:val="14"/>
            </w:pPr>
            <w:r>
              <w:t>通过开展维修、购置等工作</w:t>
            </w:r>
          </w:p>
        </w:tc>
        <w:tc>
          <w:tcPr>
            <w:tcW w:w="2466" w:type="dxa"/>
            <w:vAlign w:val="center"/>
          </w:tcPr>
          <w:p>
            <w:pPr>
              <w:pStyle w:val="14"/>
            </w:pPr>
            <w:r>
              <w:t>保障机关单位正常运转</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无纸化办公节约率</w:t>
            </w:r>
          </w:p>
        </w:tc>
        <w:tc>
          <w:tcPr>
            <w:tcW w:w="2466" w:type="dxa"/>
            <w:vAlign w:val="center"/>
          </w:tcPr>
          <w:p>
            <w:pPr>
              <w:pStyle w:val="14"/>
            </w:pPr>
            <w:r>
              <w:t>反映使用数据采集终端减少纸质表的填报工作情况</w:t>
            </w:r>
          </w:p>
        </w:tc>
        <w:tc>
          <w:tcPr>
            <w:tcW w:w="2466" w:type="dxa"/>
            <w:vAlign w:val="center"/>
          </w:tcPr>
          <w:p>
            <w:pPr>
              <w:pStyle w:val="14"/>
            </w:pPr>
            <w:r>
              <w:t>无纸化办公节约率</w:t>
            </w:r>
          </w:p>
        </w:tc>
        <w:tc>
          <w:tcPr>
            <w:tcW w:w="2466"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使用人员满意度</w:t>
            </w:r>
          </w:p>
        </w:tc>
        <w:tc>
          <w:tcPr>
            <w:tcW w:w="2466" w:type="dxa"/>
            <w:vAlign w:val="center"/>
          </w:tcPr>
          <w:p>
            <w:pPr>
              <w:pStyle w:val="14"/>
            </w:pPr>
            <w:r>
              <w:t>系统使用满意情况</w:t>
            </w:r>
          </w:p>
        </w:tc>
        <w:tc>
          <w:tcPr>
            <w:tcW w:w="2466" w:type="dxa"/>
            <w:vAlign w:val="center"/>
          </w:tcPr>
          <w:p>
            <w:pPr>
              <w:pStyle w:val="14"/>
            </w:pPr>
            <w:r>
              <w:t>95%</w:t>
            </w:r>
          </w:p>
        </w:tc>
        <w:tc>
          <w:tcPr>
            <w:tcW w:w="2466" w:type="dxa"/>
            <w:vAlign w:val="center"/>
          </w:tcPr>
          <w:p>
            <w:pPr>
              <w:pStyle w:val="14"/>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干部职工满意度</w:t>
            </w:r>
          </w:p>
        </w:tc>
        <w:tc>
          <w:tcPr>
            <w:tcW w:w="2466" w:type="dxa"/>
            <w:vAlign w:val="center"/>
          </w:tcPr>
          <w:p>
            <w:pPr>
              <w:pStyle w:val="14"/>
            </w:pPr>
            <w:r>
              <w:t>保障机关工作正常运转，服务到位</w:t>
            </w:r>
          </w:p>
        </w:tc>
        <w:tc>
          <w:tcPr>
            <w:tcW w:w="2466" w:type="dxa"/>
            <w:vAlign w:val="center"/>
          </w:tcPr>
          <w:p>
            <w:pPr>
              <w:pStyle w:val="14"/>
            </w:pPr>
            <w:r>
              <w:t>95%</w:t>
            </w:r>
          </w:p>
        </w:tc>
        <w:tc>
          <w:tcPr>
            <w:tcW w:w="2466" w:type="dxa"/>
            <w:vAlign w:val="center"/>
          </w:tcPr>
          <w:p>
            <w:pPr>
              <w:pStyle w:val="14"/>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机关单位工作人员满意度</w:t>
            </w:r>
          </w:p>
        </w:tc>
        <w:tc>
          <w:tcPr>
            <w:tcW w:w="2466" w:type="dxa"/>
            <w:vAlign w:val="center"/>
          </w:tcPr>
          <w:p>
            <w:pPr>
              <w:pStyle w:val="14"/>
            </w:pPr>
            <w:r>
              <w:t>调查中机关单位人员对单位环境和设施满意和较满意的人数占调查总人数的比率</w:t>
            </w:r>
          </w:p>
        </w:tc>
        <w:tc>
          <w:tcPr>
            <w:tcW w:w="2466" w:type="dxa"/>
            <w:vAlign w:val="center"/>
          </w:tcPr>
          <w:p>
            <w:pPr>
              <w:pStyle w:val="14"/>
            </w:pPr>
            <w:r>
              <w:t>95%</w:t>
            </w:r>
          </w:p>
        </w:tc>
        <w:tc>
          <w:tcPr>
            <w:tcW w:w="2466"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5、2022年行政体制改革考察学习和交流绩效目标表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1.管理体制改革工作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机构编制资源深入交流</w:t>
            </w:r>
          </w:p>
        </w:tc>
        <w:tc>
          <w:tcPr>
            <w:tcW w:w="2466" w:type="dxa"/>
            <w:vAlign w:val="center"/>
          </w:tcPr>
          <w:p>
            <w:pPr>
              <w:pStyle w:val="14"/>
            </w:pPr>
            <w:r>
              <w:t>机构编制资源深入交流</w:t>
            </w:r>
          </w:p>
        </w:tc>
        <w:tc>
          <w:tcPr>
            <w:tcW w:w="2466" w:type="dxa"/>
            <w:vAlign w:val="center"/>
          </w:tcPr>
          <w:p>
            <w:pPr>
              <w:pStyle w:val="14"/>
            </w:pPr>
            <w:r>
              <w:t>100完成率达到90%以上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强化干部人事管理方面</w:t>
            </w:r>
          </w:p>
        </w:tc>
        <w:tc>
          <w:tcPr>
            <w:tcW w:w="2466" w:type="dxa"/>
            <w:vAlign w:val="center"/>
          </w:tcPr>
          <w:p>
            <w:pPr>
              <w:pStyle w:val="14"/>
            </w:pPr>
            <w:r>
              <w:t>强化干部人事管理方面</w:t>
            </w:r>
          </w:p>
        </w:tc>
        <w:tc>
          <w:tcPr>
            <w:tcW w:w="2466" w:type="dxa"/>
            <w:vAlign w:val="center"/>
          </w:tcPr>
          <w:p>
            <w:pPr>
              <w:pStyle w:val="14"/>
            </w:pPr>
            <w:r>
              <w:t>100完成率达到90%以上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管理体制改革工作</w:t>
            </w:r>
          </w:p>
        </w:tc>
        <w:tc>
          <w:tcPr>
            <w:tcW w:w="2466" w:type="dxa"/>
            <w:vAlign w:val="center"/>
          </w:tcPr>
          <w:p>
            <w:pPr>
              <w:pStyle w:val="14"/>
            </w:pPr>
            <w:r>
              <w:t>管理体制改革工作</w:t>
            </w:r>
          </w:p>
        </w:tc>
        <w:tc>
          <w:tcPr>
            <w:tcW w:w="2466" w:type="dxa"/>
            <w:vAlign w:val="center"/>
          </w:tcPr>
          <w:p>
            <w:pPr>
              <w:pStyle w:val="14"/>
            </w:pPr>
            <w:r>
              <w:t>100完成率达到90%以上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加大交流沟通，强化信息共享</w:t>
            </w:r>
          </w:p>
        </w:tc>
        <w:tc>
          <w:tcPr>
            <w:tcW w:w="2466" w:type="dxa"/>
            <w:vAlign w:val="center"/>
          </w:tcPr>
          <w:p>
            <w:pPr>
              <w:pStyle w:val="14"/>
            </w:pPr>
            <w:r>
              <w:t>加大交流沟通，强化信息共享</w:t>
            </w:r>
          </w:p>
        </w:tc>
        <w:tc>
          <w:tcPr>
            <w:tcW w:w="2466" w:type="dxa"/>
            <w:vAlign w:val="center"/>
          </w:tcPr>
          <w:p>
            <w:pPr>
              <w:pStyle w:val="14"/>
            </w:pPr>
            <w:r>
              <w:t>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是否能提高工作效率</w:t>
            </w:r>
          </w:p>
        </w:tc>
        <w:tc>
          <w:tcPr>
            <w:tcW w:w="2466" w:type="dxa"/>
            <w:vAlign w:val="center"/>
          </w:tcPr>
          <w:p>
            <w:pPr>
              <w:pStyle w:val="14"/>
            </w:pPr>
            <w:r>
              <w:t>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社会影响力</w:t>
            </w:r>
          </w:p>
        </w:tc>
        <w:tc>
          <w:tcPr>
            <w:tcW w:w="2466" w:type="dxa"/>
            <w:vAlign w:val="center"/>
          </w:tcPr>
          <w:p>
            <w:pPr>
              <w:pStyle w:val="14"/>
            </w:pPr>
            <w:r>
              <w:t>提高巡察工作社会影响力</w:t>
            </w:r>
          </w:p>
        </w:tc>
        <w:tc>
          <w:tcPr>
            <w:tcW w:w="2466" w:type="dxa"/>
            <w:vAlign w:val="center"/>
          </w:tcPr>
          <w:p>
            <w:pPr>
              <w:pStyle w:val="14"/>
            </w:pPr>
            <w:r>
              <w:t>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保持培训人员稳定</w:t>
            </w:r>
          </w:p>
        </w:tc>
        <w:tc>
          <w:tcPr>
            <w:tcW w:w="2466" w:type="dxa"/>
            <w:vAlign w:val="center"/>
          </w:tcPr>
          <w:p>
            <w:pPr>
              <w:pStyle w:val="14"/>
            </w:pPr>
            <w:r>
              <w:t>保持培训人员稳定</w:t>
            </w:r>
          </w:p>
        </w:tc>
        <w:tc>
          <w:tcPr>
            <w:tcW w:w="2466" w:type="dxa"/>
            <w:vAlign w:val="center"/>
          </w:tcPr>
          <w:p>
            <w:pPr>
              <w:pStyle w:val="14"/>
            </w:pPr>
            <w:r>
              <w:t>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专业业务水平</w:t>
            </w:r>
          </w:p>
        </w:tc>
        <w:tc>
          <w:tcPr>
            <w:tcW w:w="2466" w:type="dxa"/>
            <w:vAlign w:val="center"/>
          </w:tcPr>
          <w:p>
            <w:pPr>
              <w:pStyle w:val="14"/>
            </w:pPr>
            <w:r>
              <w:t>专业业务水平</w:t>
            </w:r>
          </w:p>
        </w:tc>
        <w:tc>
          <w:tcPr>
            <w:tcW w:w="2466" w:type="dxa"/>
            <w:vAlign w:val="center"/>
          </w:tcPr>
          <w:p>
            <w:pPr>
              <w:pStyle w:val="14"/>
            </w:pPr>
            <w:r>
              <w:t>完成率达到90%以上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相关处室满意度</w:t>
            </w:r>
          </w:p>
        </w:tc>
        <w:tc>
          <w:tcPr>
            <w:tcW w:w="2466" w:type="dxa"/>
            <w:vAlign w:val="center"/>
          </w:tcPr>
          <w:p>
            <w:pPr>
              <w:pStyle w:val="14"/>
            </w:pPr>
            <w:r>
              <w:t>相关处室满意度</w:t>
            </w:r>
          </w:p>
        </w:tc>
        <w:tc>
          <w:tcPr>
            <w:tcW w:w="2466" w:type="dxa"/>
            <w:vAlign w:val="center"/>
          </w:tcPr>
          <w:p>
            <w:pPr>
              <w:pStyle w:val="14"/>
            </w:pPr>
            <w:r>
              <w:t>100相关处室满意率达到90%以上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相关处室满意度</w:t>
            </w:r>
          </w:p>
        </w:tc>
        <w:tc>
          <w:tcPr>
            <w:tcW w:w="2466" w:type="dxa"/>
            <w:vAlign w:val="center"/>
          </w:tcPr>
          <w:p>
            <w:pPr>
              <w:pStyle w:val="14"/>
            </w:pPr>
            <w:r>
              <w:t>相关处室满意度</w:t>
            </w:r>
          </w:p>
        </w:tc>
        <w:tc>
          <w:tcPr>
            <w:tcW w:w="2466" w:type="dxa"/>
            <w:vAlign w:val="center"/>
          </w:tcPr>
          <w:p>
            <w:pPr>
              <w:pStyle w:val="14"/>
            </w:pPr>
            <w:r>
              <w:t>100相关处室满意率达到90%以上</w:t>
            </w:r>
          </w:p>
        </w:tc>
        <w:tc>
          <w:tcPr>
            <w:tcW w:w="2466" w:type="dxa"/>
            <w:vAlign w:val="center"/>
          </w:tcPr>
          <w:p>
            <w:pPr>
              <w:pStyle w:val="14"/>
            </w:pPr>
            <w:r>
              <w:t>机构编制条例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相关处室满意度</w:t>
            </w:r>
          </w:p>
        </w:tc>
        <w:tc>
          <w:tcPr>
            <w:tcW w:w="2466" w:type="dxa"/>
            <w:vAlign w:val="center"/>
          </w:tcPr>
          <w:p>
            <w:pPr>
              <w:pStyle w:val="14"/>
            </w:pPr>
            <w:r>
              <w:t>相关处室满意度</w:t>
            </w:r>
          </w:p>
        </w:tc>
        <w:tc>
          <w:tcPr>
            <w:tcW w:w="2466" w:type="dxa"/>
            <w:vAlign w:val="center"/>
          </w:tcPr>
          <w:p>
            <w:pPr>
              <w:pStyle w:val="14"/>
            </w:pPr>
            <w:r>
              <w:t>100相关处室满意率达到90%以上</w:t>
            </w:r>
          </w:p>
        </w:tc>
        <w:tc>
          <w:tcPr>
            <w:tcW w:w="2466" w:type="dxa"/>
            <w:vAlign w:val="center"/>
          </w:tcPr>
          <w:p>
            <w:pPr>
              <w:pStyle w:val="14"/>
            </w:pPr>
            <w:r>
              <w:t>机构编制条例</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31" w:name="_Toc_3_3_0000000015"/>
      <w:bookmarkStart w:id="32" w:name="_Toc6203"/>
      <w:r>
        <w:rPr>
          <w:rFonts w:ascii="黑体" w:hAnsi="黑体" w:eastAsia="黑体" w:cs="黑体"/>
          <w:color w:val="000000"/>
          <w:sz w:val="32"/>
        </w:rPr>
        <w:t>六、政府采购预算情况</w:t>
      </w:r>
      <w:bookmarkEnd w:id="31"/>
      <w:bookmarkEnd w:id="32"/>
    </w:p>
    <w:p>
      <w:pPr>
        <w:spacing w:before="0" w:after="0" w:line="500" w:lineRule="exact"/>
        <w:ind w:firstLine="560"/>
        <w:jc w:val="left"/>
        <w:outlineLvl w:val="9"/>
      </w:pPr>
      <w:r>
        <w:rPr>
          <w:rFonts w:ascii="Times New Roman" w:hAnsi="Times New Roman" w:eastAsia="方正仿宋_GBK" w:cs="Times New Roman"/>
          <w:b w:val="0"/>
          <w:color w:val="000000"/>
          <w:sz w:val="28"/>
        </w:rPr>
        <w:t>2022年，中共无极县委机构编制委员会办公室安排政府采购预算0.00万元。具体内容见下表。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225中共无极县委机构编制委员会办公室</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33" w:name="_Toc_3_3_0000000016"/>
      <w:bookmarkStart w:id="34" w:name="_Toc7657"/>
      <w:r>
        <w:rPr>
          <w:rFonts w:ascii="黑体" w:hAnsi="黑体" w:eastAsia="黑体" w:cs="黑体"/>
          <w:color w:val="000000"/>
          <w:sz w:val="32"/>
        </w:rPr>
        <w:t>七、国有资产信息</w:t>
      </w:r>
      <w:bookmarkEnd w:id="33"/>
      <w:bookmarkEnd w:id="34"/>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中共无极县委机构编制委员会办公室（含所属单位）上年末固定资产金额为24.04万元（详见下表）。本年度拟购置固定资产总额为0.00万元。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225中共无极县委机构编制委员会办公室</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24.04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p>
        </w:tc>
        <w:tc>
          <w:tcPr>
            <w:tcW w:w="4933" w:type="dxa"/>
            <w:vAlign w:val="center"/>
          </w:tcPr>
          <w:p>
            <w:pPr>
              <w:pStyle w:val="13"/>
            </w:pPr>
            <w:r>
              <w:t>22.84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35" w:name="_Toc25648"/>
      <w:bookmarkStart w:id="36" w:name="_Toc_3_3_0000000017"/>
      <w:r>
        <w:rPr>
          <w:rFonts w:ascii="黑体" w:hAnsi="黑体" w:eastAsia="黑体" w:cs="黑体"/>
          <w:color w:val="000000"/>
          <w:sz w:val="32"/>
        </w:rPr>
        <w:t>八、名词解释</w:t>
      </w:r>
      <w:bookmarkEnd w:id="35"/>
      <w:bookmarkEnd w:id="3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37" w:name="_Toc_3_3_0000000018"/>
      <w:bookmarkStart w:id="38" w:name="_Toc27352"/>
      <w:r>
        <w:rPr>
          <w:rFonts w:ascii="黑体" w:hAnsi="黑体" w:eastAsia="黑体" w:cs="黑体"/>
          <w:color w:val="000000"/>
          <w:sz w:val="32"/>
        </w:rPr>
        <w:t>九、其他需要说明的事项</w:t>
      </w:r>
      <w:bookmarkEnd w:id="37"/>
      <w:bookmarkEnd w:id="38"/>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209433"/>
    <w:multiLevelType w:val="singleLevel"/>
    <w:tmpl w:val="99209433"/>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Q2MmRiMmUzN2IwZDc0MGE1NzgyYWU4OGEyYWUyOGEifQ=="/>
  </w:docVars>
  <w:rsids>
    <w:rsidRoot w:val="00000000"/>
    <w:rsid w:val="016D6AC7"/>
    <w:rsid w:val="043E4FE0"/>
    <w:rsid w:val="11E116C4"/>
    <w:rsid w:val="253E6726"/>
    <w:rsid w:val="2BDB1CF8"/>
    <w:rsid w:val="2ED61950"/>
    <w:rsid w:val="347030E0"/>
    <w:rsid w:val="3C73553C"/>
    <w:rsid w:val="3ED61BE1"/>
    <w:rsid w:val="45C51EEE"/>
    <w:rsid w:val="55326B1C"/>
    <w:rsid w:val="572A5ED4"/>
    <w:rsid w:val="5771558E"/>
    <w:rsid w:val="6B7606E6"/>
    <w:rsid w:val="75BF0B4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7" Type="http://schemas.openxmlformats.org/officeDocument/2006/relationships/fontTable" Target="fontTable.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2022-06-23T10:37:56Z</dcterms:created>
  <dcterms:modified xsi:type="dcterms:W3CDTF">2022-06-23T02:37:56Z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2022-06-23T10:37:57Z</dcterms:created>
  <dcterms:modified xsi:type="dcterms:W3CDTF">2022-06-23T02:37:57Z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2022-06-23T10:37:58Z</dcterms:created>
  <dcterms:modified xsi:type="dcterms:W3CDTF">2022-06-23T02:37:58Z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2022-06-23T10:37:59Z</dcterms:created>
  <dcterms:modified xsi:type="dcterms:W3CDTF">2022-06-23T02:37:59Z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2022-06-23T10:37:59Z</dcterms:created>
  <dcterms:modified xsi:type="dcterms:W3CDTF">2022-06-23T02:37:59Z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2022-06-23T10:37:59Z</dcterms:created>
  <dcterms:modified xsi:type="dcterms:W3CDTF">2022-06-23T02:37:59Z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2022-06-23T10:37:59Z</dcterms:created>
  <dcterms:modified xsi:type="dcterms:W3CDTF">2022-06-23T02:37:59Z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2022-06-23T10:37:59Z</dcterms:created>
  <dcterms:modified xsi:type="dcterms:W3CDTF">2022-06-23T02:37:59Z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2022-06-23T10:37:59Z</dcterms:created>
  <dcterms:modified xsi:type="dcterms:W3CDTF">2022-06-23T02:37:59Z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2022-06-23T10:37:56Z</dcterms:created>
  <dcterms:modified xsi:type="dcterms:W3CDTF">2022-06-23T02:37:56Z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2022-06-23T10:37:56Z</dcterms:created>
  <dcterms:modified xsi:type="dcterms:W3CDTF">2022-06-23T02:37:56Z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2022-06-23T10:37:56Z</dcterms:created>
  <dcterms:modified xsi:type="dcterms:W3CDTF">2022-06-23T02:37:56Z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2022-06-23T10:37:55Z</dcterms:created>
  <dcterms:modified xsi:type="dcterms:W3CDTF">2022-06-23T02:37:55Z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2022-06-23T10:37:56Z</dcterms:created>
  <dcterms:modified xsi:type="dcterms:W3CDTF">2022-06-23T02:37:56Z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2022-06-23T10:37:56Z</dcterms:created>
  <dcterms:modified xsi:type="dcterms:W3CDTF">2022-06-23T02:37:56Z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8bff7d7-4f0f-4112-a2bf-895fd6cefab1}">
  <ds:schemaRefs/>
</ds:datastoreItem>
</file>

<file path=customXml/itemProps10.xml><?xml version="1.0" encoding="utf-8"?>
<ds:datastoreItem xmlns:ds="http://schemas.openxmlformats.org/officeDocument/2006/customXml" ds:itemID="{8c52913b-7096-45c7-baad-59dc081cdb0c}">
  <ds:schemaRefs/>
</ds:datastoreItem>
</file>

<file path=customXml/itemProps11.xml><?xml version="1.0" encoding="utf-8"?>
<ds:datastoreItem xmlns:ds="http://schemas.openxmlformats.org/officeDocument/2006/customXml" ds:itemID="{333443d4-9ca1-47b6-863f-522b9ca69eca}">
  <ds:schemaRefs/>
</ds:datastoreItem>
</file>

<file path=customXml/itemProps12.xml><?xml version="1.0" encoding="utf-8"?>
<ds:datastoreItem xmlns:ds="http://schemas.openxmlformats.org/officeDocument/2006/customXml" ds:itemID="{2a82d4c3-1af7-4131-a7b4-0a17cf198d22}">
  <ds:schemaRefs/>
</ds:datastoreItem>
</file>

<file path=customXml/itemProps13.xml><?xml version="1.0" encoding="utf-8"?>
<ds:datastoreItem xmlns:ds="http://schemas.openxmlformats.org/officeDocument/2006/customXml" ds:itemID="{f089ec5b-f076-4e81-99c3-4bb89afdbe2e}">
  <ds:schemaRefs/>
</ds:datastoreItem>
</file>

<file path=customXml/itemProps14.xml><?xml version="1.0" encoding="utf-8"?>
<ds:datastoreItem xmlns:ds="http://schemas.openxmlformats.org/officeDocument/2006/customXml" ds:itemID="{a1184af4-b87e-4ca8-892d-2107aee263f1}">
  <ds:schemaRefs/>
</ds:datastoreItem>
</file>

<file path=customXml/itemProps15.xml><?xml version="1.0" encoding="utf-8"?>
<ds:datastoreItem xmlns:ds="http://schemas.openxmlformats.org/officeDocument/2006/customXml" ds:itemID="{0cc42427-176b-4ef5-9b8d-dcfa7e21862b}">
  <ds:schemaRefs/>
</ds:datastoreItem>
</file>

<file path=customXml/itemProps16.xml><?xml version="1.0" encoding="utf-8"?>
<ds:datastoreItem xmlns:ds="http://schemas.openxmlformats.org/officeDocument/2006/customXml" ds:itemID="{9db400c7-1bff-49aa-8b97-5d3b5e360b5c}">
  <ds:schemaRefs/>
</ds:datastoreItem>
</file>

<file path=customXml/itemProps17.xml><?xml version="1.0" encoding="utf-8"?>
<ds:datastoreItem xmlns:ds="http://schemas.openxmlformats.org/officeDocument/2006/customXml" ds:itemID="{364a6767-c132-46f5-940e-c7088396c2ec}">
  <ds:schemaRefs/>
</ds:datastoreItem>
</file>

<file path=customXml/itemProps18.xml><?xml version="1.0" encoding="utf-8"?>
<ds:datastoreItem xmlns:ds="http://schemas.openxmlformats.org/officeDocument/2006/customXml" ds:itemID="{49820338-2ebd-4fa4-874a-c45e3f1b5bec}">
  <ds:schemaRefs/>
</ds:datastoreItem>
</file>

<file path=customXml/itemProps19.xml><?xml version="1.0" encoding="utf-8"?>
<ds:datastoreItem xmlns:ds="http://schemas.openxmlformats.org/officeDocument/2006/customXml" ds:itemID="{a0596374-6d4f-40d7-87bb-79c7f7f04003}">
  <ds:schemaRefs/>
</ds:datastoreItem>
</file>

<file path=customXml/itemProps2.xml><?xml version="1.0" encoding="utf-8"?>
<ds:datastoreItem xmlns:ds="http://schemas.openxmlformats.org/officeDocument/2006/customXml" ds:itemID="{8bb8d85f-7077-4db7-a0f2-95e4be25db25}">
  <ds:schemaRefs/>
</ds:datastoreItem>
</file>

<file path=customXml/itemProps20.xml><?xml version="1.0" encoding="utf-8"?>
<ds:datastoreItem xmlns:ds="http://schemas.openxmlformats.org/officeDocument/2006/customXml" ds:itemID="{9177ae4c-cc32-4917-929c-b96250ff1fa9}">
  <ds:schemaRefs/>
</ds:datastoreItem>
</file>

<file path=customXml/itemProps21.xml><?xml version="1.0" encoding="utf-8"?>
<ds:datastoreItem xmlns:ds="http://schemas.openxmlformats.org/officeDocument/2006/customXml" ds:itemID="{8123c714-5925-48dc-8199-ffd5cf0e6c70}">
  <ds:schemaRefs/>
</ds:datastoreItem>
</file>

<file path=customXml/itemProps22.xml><?xml version="1.0" encoding="utf-8"?>
<ds:datastoreItem xmlns:ds="http://schemas.openxmlformats.org/officeDocument/2006/customXml" ds:itemID="{626b9b30-61c4-4486-b993-1e61a36e9f33}">
  <ds:schemaRefs/>
</ds:datastoreItem>
</file>

<file path=customXml/itemProps23.xml><?xml version="1.0" encoding="utf-8"?>
<ds:datastoreItem xmlns:ds="http://schemas.openxmlformats.org/officeDocument/2006/customXml" ds:itemID="{80679c4f-e9aa-4429-8765-ab3336ea0eec}">
  <ds:schemaRefs/>
</ds:datastoreItem>
</file>

<file path=customXml/itemProps24.xml><?xml version="1.0" encoding="utf-8"?>
<ds:datastoreItem xmlns:ds="http://schemas.openxmlformats.org/officeDocument/2006/customXml" ds:itemID="{147c160f-c4af-4593-a004-4c5ae75eb04a}">
  <ds:schemaRefs/>
</ds:datastoreItem>
</file>

<file path=customXml/itemProps25.xml><?xml version="1.0" encoding="utf-8"?>
<ds:datastoreItem xmlns:ds="http://schemas.openxmlformats.org/officeDocument/2006/customXml" ds:itemID="{e9310bfb-8ac3-4d00-abb8-f7fe93bfb1e9}">
  <ds:schemaRefs/>
</ds:datastoreItem>
</file>

<file path=customXml/itemProps26.xml><?xml version="1.0" encoding="utf-8"?>
<ds:datastoreItem xmlns:ds="http://schemas.openxmlformats.org/officeDocument/2006/customXml" ds:itemID="{90056ad6-8b8e-4af1-9a3f-e1f22a922134}">
  <ds:schemaRefs/>
</ds:datastoreItem>
</file>

<file path=customXml/itemProps27.xml><?xml version="1.0" encoding="utf-8"?>
<ds:datastoreItem xmlns:ds="http://schemas.openxmlformats.org/officeDocument/2006/customXml" ds:itemID="{e6eaaf78-d5cc-4b65-af20-9eb81bae891c}">
  <ds:schemaRefs/>
</ds:datastoreItem>
</file>

<file path=customXml/itemProps28.xml><?xml version="1.0" encoding="utf-8"?>
<ds:datastoreItem xmlns:ds="http://schemas.openxmlformats.org/officeDocument/2006/customXml" ds:itemID="{170f019a-50f3-4645-be66-0a7c6f94df71}">
  <ds:schemaRefs/>
</ds:datastoreItem>
</file>

<file path=customXml/itemProps29.xml><?xml version="1.0" encoding="utf-8"?>
<ds:datastoreItem xmlns:ds="http://schemas.openxmlformats.org/officeDocument/2006/customXml" ds:itemID="{cf79a760-7036-4f24-8ae3-6ddfdf962965}">
  <ds:schemaRefs/>
</ds:datastoreItem>
</file>

<file path=customXml/itemProps3.xml><?xml version="1.0" encoding="utf-8"?>
<ds:datastoreItem xmlns:ds="http://schemas.openxmlformats.org/officeDocument/2006/customXml" ds:itemID="{3d182766-5182-42a5-b845-d985401888b9}">
  <ds:schemaRefs/>
</ds:datastoreItem>
</file>

<file path=customXml/itemProps30.xml><?xml version="1.0" encoding="utf-8"?>
<ds:datastoreItem xmlns:ds="http://schemas.openxmlformats.org/officeDocument/2006/customXml" ds:itemID="{e6d8cc56-b05f-44e2-b37e-2571c7e223a4}">
  <ds:schemaRefs/>
</ds:datastoreItem>
</file>

<file path=customXml/itemProps4.xml><?xml version="1.0" encoding="utf-8"?>
<ds:datastoreItem xmlns:ds="http://schemas.openxmlformats.org/officeDocument/2006/customXml" ds:itemID="{234e919b-76f5-40a0-94cb-655898c985a7}">
  <ds:schemaRefs/>
</ds:datastoreItem>
</file>

<file path=customXml/itemProps5.xml><?xml version="1.0" encoding="utf-8"?>
<ds:datastoreItem xmlns:ds="http://schemas.openxmlformats.org/officeDocument/2006/customXml" ds:itemID="{7e7e15c5-2b45-46d6-bdec-2cf4a44b6608}">
  <ds:schemaRefs/>
</ds:datastoreItem>
</file>

<file path=customXml/itemProps6.xml><?xml version="1.0" encoding="utf-8"?>
<ds:datastoreItem xmlns:ds="http://schemas.openxmlformats.org/officeDocument/2006/customXml" ds:itemID="{f25b9549-d1a2-4537-84ed-af97ce0aafc0}">
  <ds:schemaRefs/>
</ds:datastoreItem>
</file>

<file path=customXml/itemProps7.xml><?xml version="1.0" encoding="utf-8"?>
<ds:datastoreItem xmlns:ds="http://schemas.openxmlformats.org/officeDocument/2006/customXml" ds:itemID="{157dd99f-7d8a-4f31-bdae-469ffd5d6199}">
  <ds:schemaRefs/>
</ds:datastoreItem>
</file>

<file path=customXml/itemProps8.xml><?xml version="1.0" encoding="utf-8"?>
<ds:datastoreItem xmlns:ds="http://schemas.openxmlformats.org/officeDocument/2006/customXml" ds:itemID="{05c3def0-67bf-4795-8154-12489e9137c4}">
  <ds:schemaRefs/>
</ds:datastoreItem>
</file>

<file path=customXml/itemProps9.xml><?xml version="1.0" encoding="utf-8"?>
<ds:datastoreItem xmlns:ds="http://schemas.openxmlformats.org/officeDocument/2006/customXml" ds:itemID="{e9b5cd10-c3ea-4b14-8bec-25ce39be13ed}">
  <ds:schemaRefs/>
</ds:datastoreItem>
</file>

<file path=docProps/app.xml><?xml version="1.0" encoding="utf-8"?>
<Properties xmlns="http://schemas.openxmlformats.org/officeDocument/2006/extended-properties" xmlns:vt="http://schemas.openxmlformats.org/officeDocument/2006/docPropsVTypes">
  <Pages>42</Pages>
  <Words>10621</Words>
  <Characters>11768</Characters>
  <TotalTime>21</TotalTime>
  <ScaleCrop>false</ScaleCrop>
  <LinksUpToDate>false</LinksUpToDate>
  <CharactersWithSpaces>11953</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2022-06-23T10:37:00Z</dcterms:created>
  <dc:creator>Administrator</dc:creator>
  <cp:lastModifiedBy>Administrator</cp:lastModifiedBy>
  <dcterms:modified xsi:type="dcterms:W3CDTF">2024-06-20T13:39:10Z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EEAB8B44364F4A288896CABB9E6D18DE</vt:lpwstr>
  </property>
</Properties>
</file>