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0" w:name="_Toc18690"/>
      <w:bookmarkStart w:id="1" w:name="_Toc13503"/>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bookmarkEnd w:id="0"/>
      <w:bookmarkEnd w:id="1"/>
    </w:p>
    <w:p>
      <w:pPr>
        <w:jc w:val="center"/>
      </w:pPr>
      <w:r>
        <w:rPr>
          <w:rFonts w:ascii="黑体" w:hAnsi="黑体" w:eastAsia="黑体" w:cs="黑体"/>
          <w:b/>
          <w:color w:val="000000"/>
          <w:sz w:val="30"/>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pStyle w:val="34"/>
        <w:tabs>
          <w:tab w:val="right" w:leader="dot" w:pos="14562"/>
        </w:tabs>
      </w:pPr>
      <w:r>
        <w:rPr>
          <w:rFonts w:ascii="方正小标宋_GBK" w:hAnsi="方正小标宋_GBK" w:eastAsia="方正小标宋_GBK" w:cs="方正小标宋_GBK"/>
          <w:color w:val="000000"/>
          <w:sz w:val="44"/>
        </w:rPr>
        <w:fldChar w:fldCharType="begin"/>
      </w:r>
      <w:r>
        <w:rPr>
          <w:rFonts w:ascii="方正小标宋_GBK" w:hAnsi="方正小标宋_GBK" w:eastAsia="方正小标宋_GBK" w:cs="方正小标宋_GBK"/>
          <w:color w:val="000000"/>
          <w:sz w:val="44"/>
        </w:rPr>
        <w:instrText xml:space="preserve">TOC \o "1-3" \h \u </w:instrText>
      </w:r>
      <w:r>
        <w:rPr>
          <w:rFonts w:ascii="方正小标宋_GBK" w:hAnsi="方正小标宋_GBK" w:eastAsia="方正小标宋_GBK" w:cs="方正小标宋_GBK"/>
          <w:color w:val="000000"/>
          <w:sz w:val="44"/>
        </w:rPr>
        <w:fldChar w:fldCharType="separate"/>
      </w:r>
      <w:r>
        <w:rPr>
          <w:rFonts w:ascii="黑体" w:hAnsi="黑体" w:eastAsia="黑体" w:cs="黑体"/>
        </w:rPr>
        <w:fldChar w:fldCharType="begin"/>
      </w:r>
      <w:r>
        <w:rPr>
          <w:rFonts w:ascii="黑体" w:hAnsi="黑体" w:eastAsia="黑体" w:cs="黑体"/>
        </w:rPr>
        <w:instrText xml:space="preserve"> HYPERLINK \l _Toc18690 </w:instrText>
      </w:r>
      <w:r>
        <w:rPr>
          <w:rFonts w:ascii="黑体" w:hAnsi="黑体" w:eastAsia="黑体" w:cs="黑体"/>
        </w:rPr>
        <w:fldChar w:fldCharType="separate"/>
      </w:r>
      <w:r>
        <w:rPr>
          <w:rFonts w:ascii="黑体" w:hAnsi="黑体" w:eastAsia="黑体" w:cs="黑体"/>
        </w:rPr>
        <w:t>一、无极县红十字会本级收支预算</w:t>
      </w:r>
      <w:r>
        <w:rPr>
          <w:rFonts w:ascii="黑体" w:hAnsi="黑体" w:eastAsia="黑体" w:cs="黑体"/>
        </w:rPr>
        <w:tab/>
      </w:r>
      <w:r>
        <w:rPr>
          <w:rFonts w:hint="eastAsia" w:ascii="黑体" w:hAnsi="黑体" w:eastAsia="黑体" w:cs="黑体"/>
          <w:lang w:val="en-US" w:eastAsia="zh-CN"/>
        </w:rPr>
        <w:t>2</w:t>
      </w:r>
      <w:r>
        <w:rPr>
          <w:rFonts w:ascii="黑体" w:hAnsi="黑体" w:eastAsia="黑体" w:cs="黑体"/>
        </w:rPr>
        <w:fldChar w:fldCharType="end"/>
      </w:r>
    </w:p>
    <w:p>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rP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cols w:space="720" w:num="1"/>
        </w:sectPr>
      </w:pPr>
    </w:p>
    <w:p>
      <w:pPr>
        <w:jc w:val="center"/>
        <w:outlineLvl w:val="3"/>
        <w:rPr>
          <w:rFonts w:ascii="方正小标宋_GBK" w:hAnsi="方正小标宋_GBK" w:eastAsia="方正小标宋_GBK" w:cs="方正小标宋_GBK"/>
          <w:color w:val="000000"/>
          <w:sz w:val="44"/>
        </w:rPr>
      </w:pPr>
      <w:bookmarkStart w:id="2" w:name="_Toc_4_4_0000000019"/>
    </w:p>
    <w:p>
      <w:pPr>
        <w:jc w:val="center"/>
        <w:outlineLvl w:val="3"/>
      </w:pPr>
      <w:r>
        <w:rPr>
          <w:rFonts w:ascii="方正小标宋_GBK" w:hAnsi="方正小标宋_GBK" w:eastAsia="方正小标宋_GBK" w:cs="方正小标宋_GBK"/>
          <w:color w:val="000000"/>
          <w:sz w:val="44"/>
        </w:rPr>
        <w:t>一、无极县红十字会本级收支预算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761001无极县红十字会本级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72.90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6"/>
            </w:pPr>
            <w:r>
              <w:t>本年收入合计</w:t>
            </w:r>
          </w:p>
        </w:tc>
        <w:tc>
          <w:tcPr>
            <w:tcW w:w="2126" w:type="dxa"/>
            <w:vAlign w:val="center"/>
          </w:tcPr>
          <w:p>
            <w:pPr>
              <w:pStyle w:val="17"/>
            </w:pPr>
            <w:r>
              <w:t>72.90</w:t>
            </w:r>
          </w:p>
        </w:tc>
        <w:tc>
          <w:tcPr>
            <w:tcW w:w="4535" w:type="dxa"/>
            <w:vAlign w:val="center"/>
          </w:tcPr>
          <w:p>
            <w:pPr>
              <w:pStyle w:val="16"/>
            </w:pPr>
            <w:r>
              <w:t>本年支出合计</w:t>
            </w:r>
          </w:p>
        </w:tc>
        <w:tc>
          <w:tcPr>
            <w:tcW w:w="2126" w:type="dxa"/>
            <w:vAlign w:val="center"/>
          </w:tcPr>
          <w:p>
            <w:pPr>
              <w:pStyle w:val="17"/>
            </w:pPr>
            <w:r>
              <w:t>72.90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6" w:type="dxa"/>
            <w:vAlign w:val="center"/>
          </w:tcPr>
          <w:p>
            <w:pPr>
              <w:pStyle w:val="16"/>
            </w:pPr>
            <w:r>
              <w:t>收入总计</w:t>
            </w:r>
          </w:p>
        </w:tc>
        <w:tc>
          <w:tcPr>
            <w:tcW w:w="2126" w:type="dxa"/>
            <w:vAlign w:val="center"/>
          </w:tcPr>
          <w:p>
            <w:pPr>
              <w:pStyle w:val="17"/>
            </w:pPr>
            <w:r>
              <w:t>72.90</w:t>
            </w:r>
          </w:p>
        </w:tc>
        <w:tc>
          <w:tcPr>
            <w:tcW w:w="4535" w:type="dxa"/>
            <w:vAlign w:val="center"/>
          </w:tcPr>
          <w:p>
            <w:pPr>
              <w:pStyle w:val="16"/>
            </w:pPr>
            <w:r>
              <w:t>支出总计</w:t>
            </w:r>
          </w:p>
        </w:tc>
        <w:tc>
          <w:tcPr>
            <w:tcW w:w="2126" w:type="dxa"/>
            <w:vAlign w:val="center"/>
          </w:tcPr>
          <w:p>
            <w:pPr>
              <w:pStyle w:val="17"/>
            </w:pPr>
            <w:r>
              <w:t>72.90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761001无极县红十字会本级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72.90</w:t>
            </w:r>
          </w:p>
        </w:tc>
        <w:tc>
          <w:tcPr>
            <w:tcW w:w="1134" w:type="dxa"/>
            <w:vAlign w:val="center"/>
          </w:tcPr>
          <w:p>
            <w:pPr>
              <w:pStyle w:val="17"/>
            </w:pPr>
            <w:r>
              <w:t>72.90</w:t>
            </w:r>
          </w:p>
        </w:tc>
        <w:tc>
          <w:tcPr>
            <w:tcW w:w="1134" w:type="dxa"/>
            <w:vAlign w:val="center"/>
          </w:tcPr>
          <w:p>
            <w:pPr>
              <w:pStyle w:val="17"/>
            </w:pPr>
            <w:r>
              <w:t>72.90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69.40</w:t>
            </w:r>
          </w:p>
        </w:tc>
        <w:tc>
          <w:tcPr>
            <w:tcW w:w="1134" w:type="dxa"/>
            <w:vAlign w:val="center"/>
          </w:tcPr>
          <w:p>
            <w:pPr>
              <w:pStyle w:val="13"/>
            </w:pPr>
            <w:r>
              <w:t>69.40</w:t>
            </w:r>
          </w:p>
        </w:tc>
        <w:tc>
          <w:tcPr>
            <w:tcW w:w="1134" w:type="dxa"/>
            <w:vAlign w:val="center"/>
          </w:tcPr>
          <w:p>
            <w:pPr>
              <w:pStyle w:val="13"/>
            </w:pPr>
            <w:r>
              <w:t>69.40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9.50</w:t>
            </w:r>
          </w:p>
        </w:tc>
        <w:tc>
          <w:tcPr>
            <w:tcW w:w="1134" w:type="dxa"/>
            <w:vAlign w:val="center"/>
          </w:tcPr>
          <w:p>
            <w:pPr>
              <w:pStyle w:val="13"/>
            </w:pPr>
            <w:r>
              <w:t>9.50</w:t>
            </w:r>
          </w:p>
        </w:tc>
        <w:tc>
          <w:tcPr>
            <w:tcW w:w="1134" w:type="dxa"/>
            <w:vAlign w:val="center"/>
          </w:tcPr>
          <w:p>
            <w:pPr>
              <w:pStyle w:val="13"/>
            </w:pPr>
            <w:r>
              <w:t>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1.50</w:t>
            </w:r>
          </w:p>
        </w:tc>
        <w:tc>
          <w:tcPr>
            <w:tcW w:w="1134" w:type="dxa"/>
            <w:vAlign w:val="center"/>
          </w:tcPr>
          <w:p>
            <w:pPr>
              <w:pStyle w:val="13"/>
            </w:pPr>
            <w:r>
              <w:t>1.50</w:t>
            </w:r>
          </w:p>
        </w:tc>
        <w:tc>
          <w:tcPr>
            <w:tcW w:w="1134" w:type="dxa"/>
            <w:vAlign w:val="center"/>
          </w:tcPr>
          <w:p>
            <w:pPr>
              <w:pStyle w:val="13"/>
            </w:pPr>
            <w:r>
              <w:t>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20816</w:t>
            </w:r>
          </w:p>
        </w:tc>
        <w:tc>
          <w:tcPr>
            <w:tcW w:w="1559" w:type="dxa"/>
            <w:vAlign w:val="center"/>
          </w:tcPr>
          <w:p>
            <w:pPr>
              <w:pStyle w:val="14"/>
            </w:pPr>
            <w:r>
              <w:t>红十字事业</w:t>
            </w:r>
          </w:p>
        </w:tc>
        <w:tc>
          <w:tcPr>
            <w:tcW w:w="1134" w:type="dxa"/>
            <w:vAlign w:val="center"/>
          </w:tcPr>
          <w:p>
            <w:pPr>
              <w:pStyle w:val="13"/>
            </w:pPr>
            <w:r>
              <w:t>59.90</w:t>
            </w:r>
          </w:p>
        </w:tc>
        <w:tc>
          <w:tcPr>
            <w:tcW w:w="1134" w:type="dxa"/>
            <w:vAlign w:val="center"/>
          </w:tcPr>
          <w:p>
            <w:pPr>
              <w:pStyle w:val="13"/>
            </w:pPr>
            <w:r>
              <w:t>59.90</w:t>
            </w:r>
          </w:p>
        </w:tc>
        <w:tc>
          <w:tcPr>
            <w:tcW w:w="1134" w:type="dxa"/>
            <w:vAlign w:val="center"/>
          </w:tcPr>
          <w:p>
            <w:pPr>
              <w:pStyle w:val="13"/>
            </w:pPr>
            <w:r>
              <w:t>59.90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2081601</w:t>
            </w:r>
          </w:p>
        </w:tc>
        <w:tc>
          <w:tcPr>
            <w:tcW w:w="1559" w:type="dxa"/>
            <w:vAlign w:val="center"/>
          </w:tcPr>
          <w:p>
            <w:pPr>
              <w:pStyle w:val="14"/>
            </w:pPr>
            <w:r>
              <w:t>行政运行</w:t>
            </w:r>
          </w:p>
        </w:tc>
        <w:tc>
          <w:tcPr>
            <w:tcW w:w="1134" w:type="dxa"/>
            <w:vAlign w:val="center"/>
          </w:tcPr>
          <w:p>
            <w:pPr>
              <w:pStyle w:val="13"/>
            </w:pPr>
            <w:r>
              <w:t>59.90</w:t>
            </w:r>
          </w:p>
        </w:tc>
        <w:tc>
          <w:tcPr>
            <w:tcW w:w="1134" w:type="dxa"/>
            <w:vAlign w:val="center"/>
          </w:tcPr>
          <w:p>
            <w:pPr>
              <w:pStyle w:val="13"/>
            </w:pPr>
            <w:r>
              <w:t>59.90</w:t>
            </w:r>
          </w:p>
        </w:tc>
        <w:tc>
          <w:tcPr>
            <w:tcW w:w="1134" w:type="dxa"/>
            <w:vAlign w:val="center"/>
          </w:tcPr>
          <w:p>
            <w:pPr>
              <w:pStyle w:val="13"/>
            </w:pPr>
            <w:r>
              <w:t>59.90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3.50</w:t>
            </w:r>
          </w:p>
        </w:tc>
        <w:tc>
          <w:tcPr>
            <w:tcW w:w="1134" w:type="dxa"/>
            <w:vAlign w:val="center"/>
          </w:tcPr>
          <w:p>
            <w:pPr>
              <w:pStyle w:val="13"/>
            </w:pPr>
            <w:r>
              <w:t>3.50</w:t>
            </w:r>
          </w:p>
        </w:tc>
        <w:tc>
          <w:tcPr>
            <w:tcW w:w="1134" w:type="dxa"/>
            <w:vAlign w:val="center"/>
          </w:tcPr>
          <w:p>
            <w:pPr>
              <w:pStyle w:val="13"/>
            </w:pPr>
            <w:r>
              <w:t>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3.50</w:t>
            </w:r>
          </w:p>
        </w:tc>
        <w:tc>
          <w:tcPr>
            <w:tcW w:w="1134" w:type="dxa"/>
            <w:vAlign w:val="center"/>
          </w:tcPr>
          <w:p>
            <w:pPr>
              <w:pStyle w:val="13"/>
            </w:pPr>
            <w:r>
              <w:t>3.50</w:t>
            </w:r>
          </w:p>
        </w:tc>
        <w:tc>
          <w:tcPr>
            <w:tcW w:w="1134" w:type="dxa"/>
            <w:vAlign w:val="center"/>
          </w:tcPr>
          <w:p>
            <w:pPr>
              <w:pStyle w:val="13"/>
            </w:pPr>
            <w:r>
              <w:t>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3.50</w:t>
            </w:r>
          </w:p>
        </w:tc>
        <w:tc>
          <w:tcPr>
            <w:tcW w:w="1134" w:type="dxa"/>
            <w:vAlign w:val="center"/>
          </w:tcPr>
          <w:p>
            <w:pPr>
              <w:pStyle w:val="13"/>
            </w:pPr>
            <w:r>
              <w:t>3.50</w:t>
            </w:r>
          </w:p>
        </w:tc>
        <w:tc>
          <w:tcPr>
            <w:tcW w:w="1134" w:type="dxa"/>
            <w:vAlign w:val="center"/>
          </w:tcPr>
          <w:p>
            <w:pPr>
              <w:pStyle w:val="13"/>
            </w:pPr>
            <w:r>
              <w:t>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761001无极县红十字会本级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72.90</w:t>
            </w:r>
          </w:p>
        </w:tc>
        <w:tc>
          <w:tcPr>
            <w:tcW w:w="1361" w:type="dxa"/>
            <w:vAlign w:val="center"/>
          </w:tcPr>
          <w:p>
            <w:pPr>
              <w:pStyle w:val="17"/>
            </w:pPr>
            <w:r>
              <w:t>72.90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69.40</w:t>
            </w:r>
          </w:p>
        </w:tc>
        <w:tc>
          <w:tcPr>
            <w:tcW w:w="1361" w:type="dxa"/>
            <w:vAlign w:val="center"/>
          </w:tcPr>
          <w:p>
            <w:pPr>
              <w:pStyle w:val="13"/>
            </w:pPr>
            <w:r>
              <w:t>69.40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9.50</w:t>
            </w:r>
          </w:p>
        </w:tc>
        <w:tc>
          <w:tcPr>
            <w:tcW w:w="1361" w:type="dxa"/>
            <w:vAlign w:val="center"/>
          </w:tcPr>
          <w:p>
            <w:pPr>
              <w:pStyle w:val="13"/>
            </w:pPr>
            <w:r>
              <w:t>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8.00</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2080506</w:t>
            </w:r>
          </w:p>
        </w:tc>
        <w:tc>
          <w:tcPr>
            <w:tcW w:w="4536" w:type="dxa"/>
            <w:vAlign w:val="center"/>
          </w:tcPr>
          <w:p>
            <w:pPr>
              <w:pStyle w:val="14"/>
            </w:pPr>
            <w:r>
              <w:t>机关事业单位职业年金缴费支出</w:t>
            </w:r>
          </w:p>
        </w:tc>
        <w:tc>
          <w:tcPr>
            <w:tcW w:w="1361" w:type="dxa"/>
            <w:vAlign w:val="center"/>
          </w:tcPr>
          <w:p>
            <w:pPr>
              <w:pStyle w:val="13"/>
            </w:pPr>
            <w:r>
              <w:t>1.50</w:t>
            </w:r>
          </w:p>
        </w:tc>
        <w:tc>
          <w:tcPr>
            <w:tcW w:w="1361" w:type="dxa"/>
            <w:vAlign w:val="center"/>
          </w:tcPr>
          <w:p>
            <w:pPr>
              <w:pStyle w:val="13"/>
            </w:pPr>
            <w:r>
              <w:t>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20816</w:t>
            </w:r>
          </w:p>
        </w:tc>
        <w:tc>
          <w:tcPr>
            <w:tcW w:w="4536" w:type="dxa"/>
            <w:vAlign w:val="center"/>
          </w:tcPr>
          <w:p>
            <w:pPr>
              <w:pStyle w:val="14"/>
            </w:pPr>
            <w:r>
              <w:t>红十字事业</w:t>
            </w:r>
          </w:p>
        </w:tc>
        <w:tc>
          <w:tcPr>
            <w:tcW w:w="1361" w:type="dxa"/>
            <w:vAlign w:val="center"/>
          </w:tcPr>
          <w:p>
            <w:pPr>
              <w:pStyle w:val="13"/>
            </w:pPr>
            <w:r>
              <w:t>59.90</w:t>
            </w:r>
          </w:p>
        </w:tc>
        <w:tc>
          <w:tcPr>
            <w:tcW w:w="1361" w:type="dxa"/>
            <w:vAlign w:val="center"/>
          </w:tcPr>
          <w:p>
            <w:pPr>
              <w:pStyle w:val="13"/>
            </w:pPr>
            <w:r>
              <w:t>59.90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2081601</w:t>
            </w:r>
          </w:p>
        </w:tc>
        <w:tc>
          <w:tcPr>
            <w:tcW w:w="4536" w:type="dxa"/>
            <w:vAlign w:val="center"/>
          </w:tcPr>
          <w:p>
            <w:pPr>
              <w:pStyle w:val="14"/>
            </w:pPr>
            <w:r>
              <w:t>行政运行</w:t>
            </w:r>
          </w:p>
        </w:tc>
        <w:tc>
          <w:tcPr>
            <w:tcW w:w="1361" w:type="dxa"/>
            <w:vAlign w:val="center"/>
          </w:tcPr>
          <w:p>
            <w:pPr>
              <w:pStyle w:val="13"/>
            </w:pPr>
            <w:r>
              <w:t>59.90</w:t>
            </w:r>
          </w:p>
        </w:tc>
        <w:tc>
          <w:tcPr>
            <w:tcW w:w="1361" w:type="dxa"/>
            <w:vAlign w:val="center"/>
          </w:tcPr>
          <w:p>
            <w:pPr>
              <w:pStyle w:val="13"/>
            </w:pPr>
            <w:r>
              <w:t>59.90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3.50</w:t>
            </w:r>
          </w:p>
        </w:tc>
        <w:tc>
          <w:tcPr>
            <w:tcW w:w="1361" w:type="dxa"/>
            <w:vAlign w:val="center"/>
          </w:tcPr>
          <w:p>
            <w:pPr>
              <w:pStyle w:val="13"/>
            </w:pPr>
            <w:r>
              <w:t>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3.50</w:t>
            </w:r>
          </w:p>
        </w:tc>
        <w:tc>
          <w:tcPr>
            <w:tcW w:w="1361" w:type="dxa"/>
            <w:vAlign w:val="center"/>
          </w:tcPr>
          <w:p>
            <w:pPr>
              <w:pStyle w:val="13"/>
            </w:pPr>
            <w:r>
              <w:t>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3.50</w:t>
            </w:r>
          </w:p>
        </w:tc>
        <w:tc>
          <w:tcPr>
            <w:tcW w:w="1361" w:type="dxa"/>
            <w:vAlign w:val="center"/>
          </w:tcPr>
          <w:p>
            <w:pPr>
              <w:pStyle w:val="13"/>
            </w:pPr>
            <w:r>
              <w:t>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761001无极县红十字会本级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72.90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69.40</w:t>
            </w:r>
          </w:p>
        </w:tc>
        <w:tc>
          <w:tcPr>
            <w:tcW w:w="1474" w:type="dxa"/>
            <w:vAlign w:val="center"/>
          </w:tcPr>
          <w:p>
            <w:pPr>
              <w:pStyle w:val="13"/>
            </w:pPr>
            <w:r>
              <w:t>69.40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3.50</w:t>
            </w:r>
          </w:p>
        </w:tc>
        <w:tc>
          <w:tcPr>
            <w:tcW w:w="1474" w:type="dxa"/>
            <w:vAlign w:val="center"/>
          </w:tcPr>
          <w:p>
            <w:pPr>
              <w:pStyle w:val="13"/>
            </w:pPr>
            <w:r>
              <w:t>3.50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72.90</w:t>
            </w:r>
          </w:p>
        </w:tc>
        <w:tc>
          <w:tcPr>
            <w:tcW w:w="3402" w:type="dxa"/>
            <w:vAlign w:val="center"/>
          </w:tcPr>
          <w:p>
            <w:pPr>
              <w:pStyle w:val="16"/>
            </w:pPr>
            <w:r>
              <w:t>本年支出合计</w:t>
            </w:r>
          </w:p>
        </w:tc>
        <w:tc>
          <w:tcPr>
            <w:tcW w:w="1474" w:type="dxa"/>
            <w:vAlign w:val="center"/>
          </w:tcPr>
          <w:p>
            <w:pPr>
              <w:pStyle w:val="17"/>
            </w:pPr>
            <w:r>
              <w:t>72.90</w:t>
            </w:r>
          </w:p>
        </w:tc>
        <w:tc>
          <w:tcPr>
            <w:tcW w:w="1474" w:type="dxa"/>
            <w:vAlign w:val="center"/>
          </w:tcPr>
          <w:p>
            <w:pPr>
              <w:pStyle w:val="17"/>
            </w:pPr>
            <w:r>
              <w:t>72.90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72.90</w:t>
            </w:r>
          </w:p>
        </w:tc>
        <w:tc>
          <w:tcPr>
            <w:tcW w:w="3402" w:type="dxa"/>
            <w:vAlign w:val="center"/>
          </w:tcPr>
          <w:p>
            <w:pPr>
              <w:pStyle w:val="16"/>
            </w:pPr>
            <w:r>
              <w:t>支出总计</w:t>
            </w:r>
          </w:p>
        </w:tc>
        <w:tc>
          <w:tcPr>
            <w:tcW w:w="1474" w:type="dxa"/>
            <w:vAlign w:val="center"/>
          </w:tcPr>
          <w:p>
            <w:pPr>
              <w:pStyle w:val="17"/>
            </w:pPr>
            <w:r>
              <w:t>72.90</w:t>
            </w:r>
          </w:p>
        </w:tc>
        <w:tc>
          <w:tcPr>
            <w:tcW w:w="1474" w:type="dxa"/>
            <w:vAlign w:val="center"/>
          </w:tcPr>
          <w:p>
            <w:pPr>
              <w:pStyle w:val="17"/>
            </w:pPr>
            <w:r>
              <w:t>72.90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72.90</w:t>
            </w:r>
          </w:p>
        </w:tc>
        <w:tc>
          <w:tcPr>
            <w:tcW w:w="2551" w:type="dxa"/>
            <w:vAlign w:val="center"/>
          </w:tcPr>
          <w:p>
            <w:pPr>
              <w:pStyle w:val="17"/>
            </w:pPr>
            <w:r>
              <w:t>72.90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69.40</w:t>
            </w:r>
          </w:p>
        </w:tc>
        <w:tc>
          <w:tcPr>
            <w:tcW w:w="2551" w:type="dxa"/>
            <w:vAlign w:val="center"/>
          </w:tcPr>
          <w:p>
            <w:pPr>
              <w:pStyle w:val="13"/>
            </w:pPr>
            <w:r>
              <w:t>69.40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9.50</w:t>
            </w:r>
          </w:p>
        </w:tc>
        <w:tc>
          <w:tcPr>
            <w:tcW w:w="2551" w:type="dxa"/>
            <w:vAlign w:val="center"/>
          </w:tcPr>
          <w:p>
            <w:pPr>
              <w:pStyle w:val="13"/>
            </w:pPr>
            <w:r>
              <w:t>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1.50</w:t>
            </w:r>
          </w:p>
        </w:tc>
        <w:tc>
          <w:tcPr>
            <w:tcW w:w="2551" w:type="dxa"/>
            <w:vAlign w:val="center"/>
          </w:tcPr>
          <w:p>
            <w:pPr>
              <w:pStyle w:val="13"/>
            </w:pPr>
            <w:r>
              <w:t>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20816</w:t>
            </w:r>
          </w:p>
        </w:tc>
        <w:tc>
          <w:tcPr>
            <w:tcW w:w="4535" w:type="dxa"/>
            <w:vAlign w:val="center"/>
          </w:tcPr>
          <w:p>
            <w:pPr>
              <w:pStyle w:val="14"/>
            </w:pPr>
            <w:r>
              <w:t>红十字事业</w:t>
            </w:r>
          </w:p>
        </w:tc>
        <w:tc>
          <w:tcPr>
            <w:tcW w:w="2551" w:type="dxa"/>
            <w:vAlign w:val="center"/>
          </w:tcPr>
          <w:p>
            <w:pPr>
              <w:pStyle w:val="13"/>
            </w:pPr>
            <w:r>
              <w:t>59.90</w:t>
            </w:r>
          </w:p>
        </w:tc>
        <w:tc>
          <w:tcPr>
            <w:tcW w:w="2551" w:type="dxa"/>
            <w:vAlign w:val="center"/>
          </w:tcPr>
          <w:p>
            <w:pPr>
              <w:pStyle w:val="13"/>
            </w:pPr>
            <w:r>
              <w:t>59.90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2081601</w:t>
            </w:r>
          </w:p>
        </w:tc>
        <w:tc>
          <w:tcPr>
            <w:tcW w:w="4535" w:type="dxa"/>
            <w:vAlign w:val="center"/>
          </w:tcPr>
          <w:p>
            <w:pPr>
              <w:pStyle w:val="14"/>
            </w:pPr>
            <w:r>
              <w:t>行政运行</w:t>
            </w:r>
          </w:p>
        </w:tc>
        <w:tc>
          <w:tcPr>
            <w:tcW w:w="2551" w:type="dxa"/>
            <w:vAlign w:val="center"/>
          </w:tcPr>
          <w:p>
            <w:pPr>
              <w:pStyle w:val="13"/>
            </w:pPr>
            <w:r>
              <w:t>59.90</w:t>
            </w:r>
          </w:p>
        </w:tc>
        <w:tc>
          <w:tcPr>
            <w:tcW w:w="2551" w:type="dxa"/>
            <w:vAlign w:val="center"/>
          </w:tcPr>
          <w:p>
            <w:pPr>
              <w:pStyle w:val="13"/>
            </w:pPr>
            <w:r>
              <w:t>59.90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3.50</w:t>
            </w:r>
          </w:p>
        </w:tc>
        <w:tc>
          <w:tcPr>
            <w:tcW w:w="2551" w:type="dxa"/>
            <w:vAlign w:val="center"/>
          </w:tcPr>
          <w:p>
            <w:pPr>
              <w:pStyle w:val="13"/>
            </w:pPr>
            <w:r>
              <w:t>3.50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3.50</w:t>
            </w:r>
          </w:p>
        </w:tc>
        <w:tc>
          <w:tcPr>
            <w:tcW w:w="2551" w:type="dxa"/>
            <w:vAlign w:val="center"/>
          </w:tcPr>
          <w:p>
            <w:pPr>
              <w:pStyle w:val="13"/>
            </w:pPr>
            <w:r>
              <w:t>3.50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3.50</w:t>
            </w:r>
          </w:p>
        </w:tc>
        <w:tc>
          <w:tcPr>
            <w:tcW w:w="2551" w:type="dxa"/>
            <w:vAlign w:val="center"/>
          </w:tcPr>
          <w:p>
            <w:pPr>
              <w:pStyle w:val="13"/>
            </w:pPr>
            <w:r>
              <w:t>3.50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72.90</w:t>
            </w:r>
          </w:p>
        </w:tc>
        <w:tc>
          <w:tcPr>
            <w:tcW w:w="2551" w:type="dxa"/>
            <w:vAlign w:val="center"/>
          </w:tcPr>
          <w:p>
            <w:pPr>
              <w:pStyle w:val="17"/>
            </w:pPr>
            <w:r>
              <w:t>68.90</w:t>
            </w:r>
          </w:p>
        </w:tc>
        <w:tc>
          <w:tcPr>
            <w:tcW w:w="2552"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66.90</w:t>
            </w:r>
          </w:p>
        </w:tc>
        <w:tc>
          <w:tcPr>
            <w:tcW w:w="2551" w:type="dxa"/>
            <w:vAlign w:val="center"/>
          </w:tcPr>
          <w:p>
            <w:pPr>
              <w:pStyle w:val="13"/>
            </w:pPr>
            <w:r>
              <w:t>66.90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31.00</w:t>
            </w:r>
          </w:p>
        </w:tc>
        <w:tc>
          <w:tcPr>
            <w:tcW w:w="2551" w:type="dxa"/>
            <w:vAlign w:val="center"/>
          </w:tcPr>
          <w:p>
            <w:pPr>
              <w:pStyle w:val="13"/>
            </w:pPr>
            <w:r>
              <w:t>31.00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9.20</w:t>
            </w:r>
          </w:p>
        </w:tc>
        <w:tc>
          <w:tcPr>
            <w:tcW w:w="2551" w:type="dxa"/>
            <w:vAlign w:val="center"/>
          </w:tcPr>
          <w:p>
            <w:pPr>
              <w:pStyle w:val="13"/>
            </w:pPr>
            <w:r>
              <w:t>9.20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6.20</w:t>
            </w:r>
          </w:p>
        </w:tc>
        <w:tc>
          <w:tcPr>
            <w:tcW w:w="2551" w:type="dxa"/>
            <w:vAlign w:val="center"/>
          </w:tcPr>
          <w:p>
            <w:pPr>
              <w:pStyle w:val="13"/>
            </w:pPr>
            <w:r>
              <w:t>6.20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7.00</w:t>
            </w:r>
          </w:p>
        </w:tc>
        <w:tc>
          <w:tcPr>
            <w:tcW w:w="2551" w:type="dxa"/>
            <w:vAlign w:val="center"/>
          </w:tcPr>
          <w:p>
            <w:pPr>
              <w:pStyle w:val="13"/>
            </w:pPr>
            <w:r>
              <w:t>7.00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8.00</w:t>
            </w:r>
          </w:p>
        </w:tc>
        <w:tc>
          <w:tcPr>
            <w:tcW w:w="2551" w:type="dxa"/>
            <w:vAlign w:val="center"/>
          </w:tcPr>
          <w:p>
            <w:pPr>
              <w:pStyle w:val="13"/>
            </w:pPr>
            <w:r>
              <w:t>8.00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1.50</w:t>
            </w:r>
          </w:p>
        </w:tc>
        <w:tc>
          <w:tcPr>
            <w:tcW w:w="2551" w:type="dxa"/>
            <w:vAlign w:val="center"/>
          </w:tcPr>
          <w:p>
            <w:pPr>
              <w:pStyle w:val="13"/>
            </w:pPr>
            <w:r>
              <w:t>1.50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3.50</w:t>
            </w:r>
          </w:p>
        </w:tc>
        <w:tc>
          <w:tcPr>
            <w:tcW w:w="2551" w:type="dxa"/>
            <w:vAlign w:val="center"/>
          </w:tcPr>
          <w:p>
            <w:pPr>
              <w:pStyle w:val="13"/>
            </w:pPr>
            <w:r>
              <w:t>3.50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0.50</w:t>
            </w:r>
          </w:p>
        </w:tc>
        <w:tc>
          <w:tcPr>
            <w:tcW w:w="2551" w:type="dxa"/>
            <w:vAlign w:val="center"/>
          </w:tcPr>
          <w:p>
            <w:pPr>
              <w:pStyle w:val="13"/>
            </w:pPr>
            <w:r>
              <w:t>0.50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4.00</w:t>
            </w:r>
          </w:p>
        </w:tc>
        <w:tc>
          <w:tcPr>
            <w:tcW w:w="2551" w:type="dxa"/>
            <w:vAlign w:val="center"/>
          </w:tcPr>
          <w:p>
            <w:pPr>
              <w:pStyle w:val="13"/>
            </w:pPr>
          </w:p>
        </w:tc>
        <w:tc>
          <w:tcPr>
            <w:tcW w:w="2552"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1.50</w:t>
            </w:r>
          </w:p>
        </w:tc>
        <w:tc>
          <w:tcPr>
            <w:tcW w:w="2551" w:type="dxa"/>
            <w:vAlign w:val="center"/>
          </w:tcPr>
          <w:p>
            <w:pPr>
              <w:pStyle w:val="13"/>
            </w:pPr>
          </w:p>
        </w:tc>
        <w:tc>
          <w:tcPr>
            <w:tcW w:w="2552"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1.00</w:t>
            </w:r>
          </w:p>
        </w:tc>
        <w:tc>
          <w:tcPr>
            <w:tcW w:w="2551" w:type="dxa"/>
            <w:vAlign w:val="center"/>
          </w:tcPr>
          <w:p>
            <w:pPr>
              <w:pStyle w:val="13"/>
            </w:pPr>
          </w:p>
        </w:tc>
        <w:tc>
          <w:tcPr>
            <w:tcW w:w="255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1.50</w:t>
            </w:r>
          </w:p>
        </w:tc>
        <w:tc>
          <w:tcPr>
            <w:tcW w:w="2551" w:type="dxa"/>
            <w:vAlign w:val="center"/>
          </w:tcPr>
          <w:p>
            <w:pPr>
              <w:pStyle w:val="13"/>
            </w:pPr>
          </w:p>
        </w:tc>
        <w:tc>
          <w:tcPr>
            <w:tcW w:w="2552"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2.00</w:t>
            </w:r>
          </w:p>
        </w:tc>
        <w:tc>
          <w:tcPr>
            <w:tcW w:w="2551" w:type="dxa"/>
            <w:vAlign w:val="center"/>
          </w:tcPr>
          <w:p>
            <w:pPr>
              <w:pStyle w:val="13"/>
            </w:pPr>
            <w:r>
              <w:t>2.00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2.00</w:t>
            </w:r>
          </w:p>
        </w:tc>
        <w:tc>
          <w:tcPr>
            <w:tcW w:w="2551" w:type="dxa"/>
            <w:vAlign w:val="center"/>
          </w:tcPr>
          <w:p>
            <w:pPr>
              <w:pStyle w:val="13"/>
            </w:pPr>
            <w:r>
              <w:t>2.00</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761001无极县红十字会本级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无极县红十字会本级2023年单位预算信息公开情况说明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按照《预算法》、《地方预决算公开操作规程》和《关于进一步推进预算公开工作的实施意见》规定，现将无极县红十字会本级2023年单位预算公开如下：</w:t>
      </w:r>
    </w:p>
    <w:p>
      <w:pPr>
        <w:spacing w:before="10" w:after="10" w:line="360" w:lineRule="auto"/>
        <w:ind w:firstLine="640"/>
        <w:outlineLvl w:val="2"/>
      </w:pPr>
      <w:bookmarkStart w:id="3" w:name="_Toc15266"/>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3"/>
    </w:p>
    <w:p>
      <w:pPr>
        <w:ind w:firstLine="640"/>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pStyle w:val="19"/>
      </w:pPr>
      <w:r>
        <w:t>根据《红十字会职能配置、内设机构和人员编制规定》， 红十字会的主要职责是：</w:t>
      </w:r>
    </w:p>
    <w:p>
      <w:pPr>
        <w:pStyle w:val="19"/>
      </w:pPr>
      <w:r>
        <w:t>（一）开展救援、救灾的相关工作，建立红十字应急救援体系。在战争、武装冲突和自然灾害、事故灾难、公共卫生事件等突发事件中，对伤病人员和其他受害者提供紧急救援和人道救助；</w:t>
      </w:r>
    </w:p>
    <w:p>
      <w:pPr>
        <w:pStyle w:val="19"/>
      </w:pPr>
      <w:r>
        <w:t>（二）开展应急救护培训，普及应急救护、防灾避险和卫生健康知识，组织志愿者参与现场救护；</w:t>
      </w:r>
    </w:p>
    <w:p>
      <w:pPr>
        <w:pStyle w:val="19"/>
      </w:pPr>
      <w:r>
        <w:t>（三）参与、推动无偿献血、遗体和人体器官捐献工作，参与开展造血干细胞捐献的相关工作；</w:t>
      </w:r>
    </w:p>
    <w:p>
      <w:pPr>
        <w:pStyle w:val="19"/>
      </w:pPr>
      <w:r>
        <w:t>（四）组织开展红十字志愿服务、红十字青少年工作；</w:t>
      </w:r>
    </w:p>
    <w:p>
      <w:pPr>
        <w:pStyle w:val="19"/>
      </w:pPr>
      <w:r>
        <w:t>（五）参加国际人道主义救援工作；</w:t>
      </w:r>
    </w:p>
    <w:p>
      <w:pPr>
        <w:pStyle w:val="19"/>
      </w:pPr>
      <w:r>
        <w:t>（六）宣传国际红十字和红新月运动的基本原则和日内瓦公约及其附加议定书；</w:t>
      </w:r>
    </w:p>
    <w:p>
      <w:pPr>
        <w:pStyle w:val="19"/>
      </w:pPr>
      <w:r>
        <w:t>（七）依照国际红十字和红新月运动的基本原则，完成人民政府委托事宜；</w:t>
      </w:r>
    </w:p>
    <w:p>
      <w:pPr>
        <w:pStyle w:val="19"/>
      </w:pPr>
      <w:r>
        <w:t>（八）依照日内瓦公约及其附加议定书的有关规定开展工作；</w:t>
      </w:r>
    </w:p>
    <w:p>
      <w:pPr>
        <w:pStyle w:val="19"/>
      </w:pPr>
      <w:r>
        <w:t>（九）协助人民政府开展与其职责相关的其他人道主义服务活动。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无极县红十字会本级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rPr>
          <w:rFonts w:hint="eastAsia" w:eastAsiaTheme="minorEastAsia"/>
          <w:color w:val="000000"/>
          <w:sz w:val="28"/>
          <w:lang w:eastAsia="zh-CN"/>
        </w:rPr>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县单位</w:t>
      </w:r>
      <w:r>
        <w:rPr>
          <w:rFonts w:eastAsia="方正仿宋_GBK"/>
          <w:color w:val="000000"/>
          <w:sz w:val="28"/>
        </w:rPr>
        <w:t>预算的编制实行综合预算管理，即全部收入和支出都反映在</w:t>
      </w:r>
      <w:r>
        <w:rPr>
          <w:rFonts w:hint="eastAsia" w:eastAsia="方正仿宋_GBK"/>
          <w:color w:val="000000"/>
          <w:sz w:val="28"/>
          <w:lang w:val="en-US" w:eastAsia="zh-CN"/>
        </w:rPr>
        <w:t>单位</w:t>
      </w:r>
      <w:r>
        <w:rPr>
          <w:rFonts w:eastAsia="方正仿宋_GBK"/>
          <w:color w:val="000000"/>
          <w:sz w:val="28"/>
        </w:rPr>
        <w:t>预算中。红十字会</w:t>
      </w:r>
      <w:r>
        <w:rPr>
          <w:rFonts w:hint="eastAsia" w:eastAsia="方正仿宋_GBK"/>
          <w:color w:val="000000"/>
          <w:sz w:val="28"/>
          <w:lang w:val="en-US" w:eastAsia="zh-CN"/>
        </w:rPr>
        <w:t>本级</w:t>
      </w:r>
      <w:r>
        <w:rPr>
          <w:rFonts w:eastAsia="方正仿宋_GBK"/>
          <w:color w:val="000000"/>
          <w:sz w:val="28"/>
        </w:rPr>
        <w:t>的收支包含在</w:t>
      </w:r>
      <w:r>
        <w:rPr>
          <w:rFonts w:hint="eastAsia" w:eastAsia="方正仿宋_GBK"/>
          <w:color w:val="000000"/>
          <w:sz w:val="28"/>
          <w:lang w:eastAsia="zh-CN"/>
        </w:rPr>
        <w:t>单位</w:t>
      </w:r>
      <w:r>
        <w:rPr>
          <w:rFonts w:eastAsia="方正仿宋_GBK"/>
          <w:color w:val="000000"/>
          <w:sz w:val="28"/>
        </w:rPr>
        <w:t>预算中。</w:t>
      </w:r>
    </w:p>
    <w:p>
      <w:pPr>
        <w:pStyle w:val="20"/>
      </w:pPr>
      <w:r>
        <w:t>1、收入说明</w:t>
      </w:r>
    </w:p>
    <w:p>
      <w:pPr>
        <w:pStyle w:val="20"/>
      </w:pPr>
      <w:r>
        <w:t>反映本</w:t>
      </w:r>
      <w:r>
        <w:rPr>
          <w:rFonts w:hint="eastAsia"/>
          <w:lang w:eastAsia="zh-CN"/>
        </w:rPr>
        <w:t>单位</w:t>
      </w:r>
      <w:r>
        <w:t>当年全部收入。202</w:t>
      </w:r>
      <w:r>
        <w:rPr>
          <w:rFonts w:hint="eastAsia"/>
          <w:lang w:val="en-US" w:eastAsia="zh-CN"/>
        </w:rPr>
        <w:t>3</w:t>
      </w:r>
      <w:r>
        <w:t>年预算收入72.9万元，其中：一般公共预算收入72.9万元，基金预算收入0万元，财政专户核拨收入0万元，其他来源收入0万元。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收支预算总表支出栏、基本支出表、项目支出表按经济分类和支出功能分类科目编制，反映河无极县红十字会年度</w:t>
      </w:r>
      <w:r>
        <w:rPr>
          <w:rFonts w:hint="eastAsia"/>
          <w:lang w:eastAsia="zh-CN"/>
        </w:rPr>
        <w:t>单位</w:t>
      </w:r>
      <w:r>
        <w:t>预算中支出预算的总体情况。202</w:t>
      </w:r>
      <w:r>
        <w:rPr>
          <w:rFonts w:hint="eastAsia"/>
          <w:lang w:val="en-US" w:eastAsia="zh-CN"/>
        </w:rPr>
        <w:t>3</w:t>
      </w:r>
      <w:r>
        <w:t>年单位支出预算为72.9万元，其中基本支出72.9万元，包括人员经费</w:t>
      </w:r>
      <w:r>
        <w:rPr>
          <w:rFonts w:hint="eastAsia" w:eastAsiaTheme="minorEastAsia"/>
          <w:lang w:eastAsia="zh-CN"/>
        </w:rPr>
        <w:t>68.9</w:t>
      </w:r>
      <w:r>
        <w:t>万元和日常公用经费4万元.</w:t>
      </w:r>
    </w:p>
    <w:p>
      <w:pPr>
        <w:pStyle w:val="20"/>
      </w:pPr>
      <w:r>
        <w:t>3、比上年增减情况</w:t>
      </w:r>
    </w:p>
    <w:p>
      <w:pPr>
        <w:pStyle w:val="28"/>
      </w:pPr>
      <w:r>
        <w:rPr>
          <w:highlight w:val="none"/>
        </w:rPr>
        <w:t>2023年</w:t>
      </w:r>
      <w:r>
        <w:rPr>
          <w:rFonts w:hint="eastAsia"/>
          <w:highlight w:val="none"/>
          <w:lang w:val="en-US" w:eastAsia="zh-CN"/>
        </w:rPr>
        <w:t>单位</w:t>
      </w:r>
      <w:r>
        <w:rPr>
          <w:highlight w:val="none"/>
        </w:rPr>
        <w:t>预算收支安排</w:t>
      </w:r>
      <w:r>
        <w:rPr>
          <w:rFonts w:hint="eastAsia"/>
          <w:highlight w:val="none"/>
          <w:lang w:val="en-US" w:eastAsia="zh-CN"/>
        </w:rPr>
        <w:t>72.9</w:t>
      </w:r>
      <w:r>
        <w:rPr>
          <w:highlight w:val="none"/>
        </w:rPr>
        <w:t>万元，较2022年</w:t>
      </w:r>
      <w:r>
        <w:rPr>
          <w:rFonts w:hint="eastAsia"/>
          <w:highlight w:val="none"/>
          <w:lang w:eastAsia="zh-CN"/>
        </w:rPr>
        <w:t>增加</w:t>
      </w:r>
      <w:r>
        <w:rPr>
          <w:rFonts w:hint="eastAsia"/>
          <w:highlight w:val="none"/>
          <w:lang w:val="en-US" w:eastAsia="zh-CN"/>
        </w:rPr>
        <w:t>19.77</w:t>
      </w:r>
      <w:r>
        <w:rPr>
          <w:highlight w:val="none"/>
        </w:rPr>
        <w:t>万元，其中：基本支出增加</w:t>
      </w:r>
      <w:r>
        <w:rPr>
          <w:rFonts w:hint="eastAsia"/>
          <w:highlight w:val="none"/>
          <w:lang w:val="en-US" w:eastAsia="zh-CN"/>
        </w:rPr>
        <w:t>19.77</w:t>
      </w:r>
      <w:r>
        <w:rPr>
          <w:highlight w:val="none"/>
        </w:rPr>
        <w:t>万元，主要是</w:t>
      </w:r>
      <w:r>
        <w:rPr>
          <w:rFonts w:hint="eastAsia"/>
          <w:highlight w:val="none"/>
          <w:lang w:val="en-US" w:eastAsia="zh-CN"/>
        </w:rPr>
        <w:t>人员经费增加和</w:t>
      </w:r>
      <w:r>
        <w:rPr>
          <w:rFonts w:hint="eastAsia"/>
          <w:highlight w:val="none"/>
          <w:lang w:eastAsia="zh-CN"/>
        </w:rPr>
        <w:t>增加</w:t>
      </w:r>
      <w:r>
        <w:rPr>
          <w:highlight w:val="none"/>
        </w:rPr>
        <w:t>日常公用经费开支。</w:t>
      </w:r>
    </w:p>
    <w:p>
      <w:pPr>
        <w:spacing w:before="10" w:after="10"/>
        <w:ind w:firstLine="640"/>
        <w:outlineLvl w:val="5"/>
      </w:pPr>
      <w:r>
        <w:rPr>
          <w:rFonts w:ascii="黑体" w:hAnsi="黑体" w:eastAsia="黑体" w:cs="黑体"/>
          <w:color w:val="000000"/>
          <w:sz w:val="32"/>
        </w:rPr>
        <w:t>三、机关运行经费安排情况</w:t>
      </w:r>
    </w:p>
    <w:p>
      <w:pPr>
        <w:pStyle w:val="29"/>
      </w:pPr>
      <w:r>
        <w:t>2023年，我</w:t>
      </w:r>
      <w:r>
        <w:rPr>
          <w:rFonts w:hint="eastAsia"/>
          <w:lang w:eastAsia="zh-CN"/>
        </w:rPr>
        <w:t>单位</w:t>
      </w:r>
      <w:r>
        <w:t>机关运行经费共计安排4万元，主要用于保证机关正常运转的办公及印刷费、邮电费、差旅费、一般设备购置费、办公用房电费、日常维修费等支出。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2023年，我</w:t>
      </w:r>
      <w:r>
        <w:rPr>
          <w:rFonts w:hint="eastAsia"/>
          <w:lang w:eastAsia="zh-CN"/>
        </w:rPr>
        <w:t>单位</w:t>
      </w:r>
      <w:r>
        <w:t>财政拨款“三公”经费预算安排0万元，其中：因公出国（境）费0万元</w:t>
      </w:r>
      <w:r>
        <w:rPr>
          <w:rFonts w:hint="eastAsia"/>
          <w:lang w:eastAsia="zh-CN"/>
        </w:rPr>
        <w:t>，</w:t>
      </w:r>
      <w:r>
        <w:rPr>
          <w:rFonts w:hint="eastAsia"/>
          <w:lang w:val="en-US" w:eastAsia="zh-CN"/>
        </w:rPr>
        <w:t>与上年持平，原因为未安排出国（境）经费</w:t>
      </w:r>
      <w:r>
        <w:t>；公务用车购置及运维费0万元（其中：公务用车购置费0万元，公务用车运行维护费0万元))</w:t>
      </w:r>
      <w:r>
        <w:rPr>
          <w:rFonts w:hint="eastAsia"/>
          <w:lang w:eastAsia="zh-CN"/>
        </w:rPr>
        <w:t>，</w:t>
      </w:r>
      <w:r>
        <w:rPr>
          <w:rFonts w:hint="eastAsia"/>
          <w:lang w:val="en-US" w:eastAsia="zh-CN"/>
        </w:rPr>
        <w:t>原因为严格按照公务用车相关制度执行，厉行节约</w:t>
      </w:r>
      <w:r>
        <w:t>。其中公务接待费0万元。与2022年相比持平无增减变化。</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2023年，无极县红十字会本级安排政府采购预算0.00万元。具体内容见下表。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761001无极县红十字会本级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无极县红十字会本级上年末固定资产金额为0.00万元（详见下表）。本年度拟购置固定资产总额为0.00万元</w:t>
      </w:r>
      <w:bookmarkStart w:id="4" w:name="_GoBack"/>
      <w:bookmarkEnd w:id="4"/>
      <w:r>
        <w:rPr>
          <w:rFonts w:eastAsia="方正仿宋_GBK"/>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761001无极县红十字会本级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U5NDk4OTNkYmYzNWY5ODExNzhkMGRmNjcxZGExOTEifQ=="/>
  </w:docVars>
  <w:rsids>
    <w:rsidRoot w:val="00070DFE"/>
    <w:rsid w:val="00055D22"/>
    <w:rsid w:val="00070DFE"/>
    <w:rsid w:val="00332E6C"/>
    <w:rsid w:val="004402C7"/>
    <w:rsid w:val="004875D0"/>
    <w:rsid w:val="004A10F5"/>
    <w:rsid w:val="072D3625"/>
    <w:rsid w:val="0AB457AA"/>
    <w:rsid w:val="0ADD5583"/>
    <w:rsid w:val="0BCE6D10"/>
    <w:rsid w:val="0D326306"/>
    <w:rsid w:val="11BE539D"/>
    <w:rsid w:val="23C929C1"/>
    <w:rsid w:val="39B966C8"/>
    <w:rsid w:val="4CE05933"/>
    <w:rsid w:val="4E342A1C"/>
    <w:rsid w:val="55183796"/>
    <w:rsid w:val="5C1A200B"/>
    <w:rsid w:val="5E26628B"/>
    <w:rsid w:val="5FE76A37"/>
    <w:rsid w:val="62735361"/>
    <w:rsid w:val="6E6B4A88"/>
    <w:rsid w:val="716022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unhideWhenUsed/>
    <w:qFormat/>
    <w:uiPriority w:val="39"/>
    <w:pPr>
      <w:ind w:left="840" w:leftChars="400"/>
    </w:pPr>
  </w:style>
  <w:style w:type="paragraph" w:styleId="3">
    <w:name w:val="footer"/>
    <w:basedOn w:val="1"/>
    <w:link w:val="36"/>
    <w:unhideWhenUsed/>
    <w:qFormat/>
    <w:uiPriority w:val="99"/>
    <w:pPr>
      <w:tabs>
        <w:tab w:val="center" w:pos="4153"/>
        <w:tab w:val="right" w:pos="8306"/>
      </w:tabs>
      <w:snapToGrid w:val="0"/>
    </w:pPr>
    <w:rPr>
      <w:sz w:val="18"/>
      <w:szCs w:val="18"/>
    </w:rPr>
  </w:style>
  <w:style w:type="paragraph" w:styleId="4">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unhideWhenUsed/>
    <w:qFormat/>
    <w:uiPriority w:val="39"/>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 w:type="character" w:customStyle="1" w:styleId="35">
    <w:name w:val="页眉 Char"/>
    <w:basedOn w:val="8"/>
    <w:link w:val="4"/>
    <w:semiHidden/>
    <w:qFormat/>
    <w:uiPriority w:val="99"/>
    <w:rPr>
      <w:rFonts w:eastAsia="Times New Roman"/>
      <w:sz w:val="18"/>
      <w:szCs w:val="18"/>
      <w:lang w:eastAsia="uk-UA"/>
    </w:rPr>
  </w:style>
  <w:style w:type="character" w:customStyle="1" w:styleId="36">
    <w:name w:val="页脚 Char"/>
    <w:basedOn w:val="8"/>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2023-05-15T14:27:52Z</dcterms:created>
  <dcterms:modified xsi:type="dcterms:W3CDTF">2023-05-15T06:27:52Z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2023-05-15T14:27:52Z</dcterms:created>
  <dcterms:modified xsi:type="dcterms:W3CDTF">2023-05-15T06:27:52Z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2023-05-15T14:27:52Z</dcterms:created>
  <dcterms:modified xsi:type="dcterms:W3CDTF">2023-05-15T06:27:52Z</dcterms:modified>
</cp:coreProperties>
</file>

<file path=customXml/itemProps1.xml><?xml version="1.0" encoding="utf-8"?>
<ds:datastoreItem xmlns:ds="http://schemas.openxmlformats.org/officeDocument/2006/customXml" ds:itemID="{ED719571-495B-4190-9973-DE7E6B81FB1F}">
  <ds:schemaRefs/>
</ds:datastoreItem>
</file>

<file path=customXml/itemProps10.xml><?xml version="1.0" encoding="utf-8"?>
<ds:datastoreItem xmlns:ds="http://schemas.openxmlformats.org/officeDocument/2006/customXml" ds:itemID="{3A5DD5AF-BD5F-48B6-A73E-B608248D6EE7}">
  <ds:schemaRefs/>
</ds:datastoreItem>
</file>

<file path=customXml/itemProps2.xml><?xml version="1.0" encoding="utf-8"?>
<ds:datastoreItem xmlns:ds="http://schemas.openxmlformats.org/officeDocument/2006/customXml" ds:itemID="{31F01468-A0DA-42F4-9101-58A92384D8A4}">
  <ds:schemaRefs/>
</ds:datastoreItem>
</file>

<file path=customXml/itemProps3.xml><?xml version="1.0" encoding="utf-8"?>
<ds:datastoreItem xmlns:ds="http://schemas.openxmlformats.org/officeDocument/2006/customXml" ds:itemID="{5EBB7F00-AEAC-4D41-BBBD-10D1189AC214}">
  <ds:schemaRefs/>
</ds:datastoreItem>
</file>

<file path=customXml/itemProps4.xml><?xml version="1.0" encoding="utf-8"?>
<ds:datastoreItem xmlns:ds="http://schemas.openxmlformats.org/officeDocument/2006/customXml" ds:itemID="{8DFF7A10-FDD1-4A12-91C3-07276EF05083}">
  <ds:schemaRefs/>
</ds:datastoreItem>
</file>

<file path=customXml/itemProps5.xml><?xml version="1.0" encoding="utf-8"?>
<ds:datastoreItem xmlns:ds="http://schemas.openxmlformats.org/officeDocument/2006/customXml" ds:itemID="{B608CA81-9644-4BFC-B834-1B7347F9806D}">
  <ds:schemaRefs/>
</ds:datastoreItem>
</file>

<file path=customXml/itemProps6.xml><?xml version="1.0" encoding="utf-8"?>
<ds:datastoreItem xmlns:ds="http://schemas.openxmlformats.org/officeDocument/2006/customXml" ds:itemID="{28E4A49B-A1F4-4840-B1E3-9E567F9C7267}">
  <ds:schemaRefs/>
</ds:datastoreItem>
</file>

<file path=customXml/itemProps7.xml><?xml version="1.0" encoding="utf-8"?>
<ds:datastoreItem xmlns:ds="http://schemas.openxmlformats.org/officeDocument/2006/customXml" ds:itemID="{67E96221-3EE3-4F9E-9B04-A93C1BBB3D14}">
  <ds:schemaRefs/>
</ds:datastoreItem>
</file>

<file path=customXml/itemProps8.xml><?xml version="1.0" encoding="utf-8"?>
<ds:datastoreItem xmlns:ds="http://schemas.openxmlformats.org/officeDocument/2006/customXml" ds:itemID="{CDD89F9C-332D-4B56-9E48-BC7E933F0BBC}">
  <ds:schemaRefs/>
</ds:datastoreItem>
</file>

<file path=customXml/itemProps9.xml><?xml version="1.0" encoding="utf-8"?>
<ds:datastoreItem xmlns:ds="http://schemas.openxmlformats.org/officeDocument/2006/customXml" ds:itemID="{54B0A92D-CB64-4C84-9D9C-9CFC0D113748}">
  <ds:schemaRefs/>
</ds:datastoreItem>
</file>

<file path=docProps/app.xml><?xml version="1.0" encoding="utf-8"?>
<Properties xmlns="http://schemas.openxmlformats.org/officeDocument/2006/extended-properties" xmlns:vt="http://schemas.openxmlformats.org/officeDocument/2006/docPropsVTypes">
  <Template>Normal.dotm</Template>
  <Company>www.window7.com</Company>
  <Pages>39</Pages>
  <Words>2430</Words>
  <Characters>13857</Characters>
  <Lines>115</Lines>
  <Paragraphs>32</Paragraphs>
  <TotalTime>0</TotalTime>
  <ScaleCrop>false</ScaleCrop>
  <LinksUpToDate>false</LinksUpToDate>
  <CharactersWithSpaces>16255</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2023-05-15T14:27:00Z</dcterms:created>
  <dc:creator>Administrator</dc:creator>
  <cp:lastModifiedBy>你的贝贝贝贝贝哥哥</cp:lastModifiedBy>
  <dcterms:modified xsi:type="dcterms:W3CDTF">2023-09-02T05:15:21Z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42214F210A174256A8C12F4089BA92D4</vt:lpwstr>
  </property>
</Properties>
</file>