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p>
    <w:p/>
    <w:p>
      <w:pPr>
        <w:jc w:val="center"/>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一、中国共产党无极县委员会老干部本级收支预算</w:t>
      </w:r>
      <w:r>
        <w:tab/>
      </w:r>
      <w:r>
        <w:rPr>
          <w:rFonts w:hint="eastAsia"/>
          <w:lang w:val="en-US" w:eastAsia="zh-CN"/>
        </w:rPr>
        <w:t>2</w:t>
      </w:r>
      <w:r>
        <w:fldChar w:fldCharType="end"/>
      </w:r>
    </w:p>
    <w:p>
      <w:r>
        <w:fldChar w:fldCharType="end"/>
      </w:r>
    </w:p>
    <w:p>
      <w:pPr>
        <w:jc w:val="center"/>
      </w:pPr>
    </w:p>
    <w:p>
      <w:pPr>
        <w:jc w:val="center"/>
      </w:pPr>
    </w:p>
    <w:p>
      <w:pPr>
        <w:jc w:val="center"/>
      </w:pPr>
    </w:p>
    <w:p>
      <w:pPr>
        <w:jc w:val="center"/>
      </w:pPr>
    </w:p>
    <w:p>
      <w:pPr>
        <w:jc w:val="center"/>
      </w:pPr>
    </w:p>
    <w:p>
      <w:pPr>
        <w:jc w:val="center"/>
      </w:pPr>
    </w:p>
    <w:p>
      <w:pPr>
        <w:jc w:val="center"/>
      </w:pPr>
    </w:p>
    <w:p>
      <w:pPr>
        <w:jc w:val="center"/>
        <w:outlineLvl w:val="0"/>
        <w:sectPr>
          <w:headerReference r:id="rId3" w:type="default"/>
          <w:footerReference r:id="rId5" w:type="default"/>
          <w:headerReference r:id="rId4" w:type="even"/>
          <w:footerReference r:id="rId6" w:type="even"/>
          <w:pgSz w:w="16840" w:h="11900" w:orient="landscape"/>
          <w:pgMar w:top="1361" w:right="1020" w:bottom="1134" w:left="1020" w:header="720" w:footer="720" w:gutter="0"/>
          <w:cols w:space="720" w:num="1"/>
        </w:sectPr>
      </w:pPr>
    </w:p>
    <w:p>
      <w:pPr>
        <w:jc w:val="center"/>
        <w:outlineLvl w:val="3"/>
      </w:pPr>
      <w:bookmarkStart w:id="0" w:name="_Toc_4_4_0000000019"/>
      <w:r>
        <w:rPr>
          <w:rFonts w:ascii="方正小标宋_GBK" w:hAnsi="方正小标宋_GBK" w:eastAsia="方正小标宋_GBK" w:cs="方正小标宋_GBK"/>
          <w:color w:val="000000"/>
          <w:sz w:val="44"/>
        </w:rPr>
        <w:t>一、中国共产党无极县委员会老干部本级收支预算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367.70</w:t>
            </w:r>
          </w:p>
        </w:tc>
        <w:tc>
          <w:tcPr>
            <w:tcW w:w="4535" w:type="dxa"/>
            <w:vAlign w:val="center"/>
          </w:tcPr>
          <w:p>
            <w:pPr>
              <w:pStyle w:val="12"/>
            </w:pPr>
            <w:r>
              <w:t>一、一般公共服务支出</w:t>
            </w:r>
          </w:p>
        </w:tc>
        <w:tc>
          <w:tcPr>
            <w:tcW w:w="2126" w:type="dxa"/>
            <w:vAlign w:val="center"/>
          </w:tcPr>
          <w:p>
            <w:pPr>
              <w:pStyle w:val="11"/>
            </w:pPr>
            <w:r>
              <w:t>147.50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4"/>
            </w:pPr>
            <w:r>
              <w:t>本年收入合计</w:t>
            </w:r>
          </w:p>
        </w:tc>
        <w:tc>
          <w:tcPr>
            <w:tcW w:w="2126" w:type="dxa"/>
            <w:vAlign w:val="center"/>
          </w:tcPr>
          <w:p>
            <w:pPr>
              <w:pStyle w:val="15"/>
            </w:pPr>
            <w:r>
              <w:t>367.70</w:t>
            </w:r>
          </w:p>
        </w:tc>
        <w:tc>
          <w:tcPr>
            <w:tcW w:w="4535" w:type="dxa"/>
            <w:vAlign w:val="center"/>
          </w:tcPr>
          <w:p>
            <w:pPr>
              <w:pStyle w:val="14"/>
            </w:pPr>
            <w:r>
              <w:t>本年支出合计</w:t>
            </w:r>
          </w:p>
        </w:tc>
        <w:tc>
          <w:tcPr>
            <w:tcW w:w="2126" w:type="dxa"/>
            <w:vAlign w:val="center"/>
          </w:tcPr>
          <w:p>
            <w:pPr>
              <w:pStyle w:val="15"/>
            </w:pPr>
            <w:r>
              <w:t>367.70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4"/>
            </w:pPr>
            <w:r>
              <w:t>收入总计</w:t>
            </w:r>
          </w:p>
        </w:tc>
        <w:tc>
          <w:tcPr>
            <w:tcW w:w="2126" w:type="dxa"/>
            <w:vAlign w:val="center"/>
          </w:tcPr>
          <w:p>
            <w:pPr>
              <w:pStyle w:val="15"/>
            </w:pPr>
            <w:r>
              <w:t>367.70</w:t>
            </w:r>
          </w:p>
        </w:tc>
        <w:tc>
          <w:tcPr>
            <w:tcW w:w="4535" w:type="dxa"/>
            <w:vAlign w:val="center"/>
          </w:tcPr>
          <w:p>
            <w:pPr>
              <w:pStyle w:val="14"/>
            </w:pPr>
            <w:r>
              <w:t>支出总计</w:t>
            </w:r>
          </w:p>
        </w:tc>
        <w:tc>
          <w:tcPr>
            <w:tcW w:w="2126" w:type="dxa"/>
            <w:vAlign w:val="center"/>
          </w:tcPr>
          <w:p>
            <w:pPr>
              <w:pStyle w:val="15"/>
            </w:pPr>
            <w:r>
              <w:t>367.70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367.70</w:t>
            </w:r>
          </w:p>
        </w:tc>
        <w:tc>
          <w:tcPr>
            <w:tcW w:w="1134" w:type="dxa"/>
            <w:vAlign w:val="center"/>
          </w:tcPr>
          <w:p>
            <w:pPr>
              <w:pStyle w:val="15"/>
            </w:pPr>
            <w:r>
              <w:t>367.70</w:t>
            </w:r>
          </w:p>
        </w:tc>
        <w:tc>
          <w:tcPr>
            <w:tcW w:w="1134" w:type="dxa"/>
            <w:vAlign w:val="center"/>
          </w:tcPr>
          <w:p>
            <w:pPr>
              <w:pStyle w:val="15"/>
            </w:pPr>
            <w:r>
              <w:t>367.70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147.50</w:t>
            </w:r>
          </w:p>
        </w:tc>
        <w:tc>
          <w:tcPr>
            <w:tcW w:w="1134" w:type="dxa"/>
            <w:vAlign w:val="center"/>
          </w:tcPr>
          <w:p>
            <w:pPr>
              <w:pStyle w:val="11"/>
            </w:pPr>
            <w:r>
              <w:t>147.50</w:t>
            </w:r>
          </w:p>
        </w:tc>
        <w:tc>
          <w:tcPr>
            <w:tcW w:w="1134" w:type="dxa"/>
            <w:vAlign w:val="center"/>
          </w:tcPr>
          <w:p>
            <w:pPr>
              <w:pStyle w:val="11"/>
            </w:pPr>
            <w:r>
              <w:t>147.50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147.50</w:t>
            </w:r>
          </w:p>
        </w:tc>
        <w:tc>
          <w:tcPr>
            <w:tcW w:w="1134" w:type="dxa"/>
            <w:vAlign w:val="center"/>
          </w:tcPr>
          <w:p>
            <w:pPr>
              <w:pStyle w:val="11"/>
            </w:pPr>
            <w:r>
              <w:t>147.50</w:t>
            </w:r>
          </w:p>
        </w:tc>
        <w:tc>
          <w:tcPr>
            <w:tcW w:w="1134" w:type="dxa"/>
            <w:vAlign w:val="center"/>
          </w:tcPr>
          <w:p>
            <w:pPr>
              <w:pStyle w:val="11"/>
            </w:pPr>
            <w:r>
              <w:t>147.50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2013601</w:t>
            </w:r>
          </w:p>
        </w:tc>
        <w:tc>
          <w:tcPr>
            <w:tcW w:w="1559" w:type="dxa"/>
            <w:vAlign w:val="center"/>
          </w:tcPr>
          <w:p>
            <w:pPr>
              <w:pStyle w:val="12"/>
            </w:pPr>
            <w:r>
              <w:t>行政运行</w:t>
            </w:r>
          </w:p>
        </w:tc>
        <w:tc>
          <w:tcPr>
            <w:tcW w:w="1134" w:type="dxa"/>
            <w:vAlign w:val="center"/>
          </w:tcPr>
          <w:p>
            <w:pPr>
              <w:pStyle w:val="11"/>
            </w:pPr>
            <w:r>
              <w:t>147.50</w:t>
            </w:r>
          </w:p>
        </w:tc>
        <w:tc>
          <w:tcPr>
            <w:tcW w:w="1134" w:type="dxa"/>
            <w:vAlign w:val="center"/>
          </w:tcPr>
          <w:p>
            <w:pPr>
              <w:pStyle w:val="11"/>
            </w:pPr>
            <w:r>
              <w:t>147.50</w:t>
            </w:r>
          </w:p>
        </w:tc>
        <w:tc>
          <w:tcPr>
            <w:tcW w:w="1134" w:type="dxa"/>
            <w:vAlign w:val="center"/>
          </w:tcPr>
          <w:p>
            <w:pPr>
              <w:pStyle w:val="11"/>
            </w:pPr>
            <w:r>
              <w:t>147.50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214.40</w:t>
            </w:r>
          </w:p>
        </w:tc>
        <w:tc>
          <w:tcPr>
            <w:tcW w:w="1134" w:type="dxa"/>
            <w:vAlign w:val="center"/>
          </w:tcPr>
          <w:p>
            <w:pPr>
              <w:pStyle w:val="11"/>
            </w:pPr>
            <w:r>
              <w:t>214.40</w:t>
            </w:r>
          </w:p>
        </w:tc>
        <w:tc>
          <w:tcPr>
            <w:tcW w:w="1134" w:type="dxa"/>
            <w:vAlign w:val="center"/>
          </w:tcPr>
          <w:p>
            <w:pPr>
              <w:pStyle w:val="11"/>
            </w:pPr>
            <w:r>
              <w:t>214.40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214.40</w:t>
            </w:r>
          </w:p>
        </w:tc>
        <w:tc>
          <w:tcPr>
            <w:tcW w:w="1134" w:type="dxa"/>
            <w:vAlign w:val="center"/>
          </w:tcPr>
          <w:p>
            <w:pPr>
              <w:pStyle w:val="11"/>
            </w:pPr>
            <w:r>
              <w:t>214.40</w:t>
            </w:r>
          </w:p>
        </w:tc>
        <w:tc>
          <w:tcPr>
            <w:tcW w:w="1134" w:type="dxa"/>
            <w:vAlign w:val="center"/>
          </w:tcPr>
          <w:p>
            <w:pPr>
              <w:pStyle w:val="11"/>
            </w:pPr>
            <w:r>
              <w:t>214.40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104.40</w:t>
            </w:r>
          </w:p>
        </w:tc>
        <w:tc>
          <w:tcPr>
            <w:tcW w:w="1134" w:type="dxa"/>
            <w:vAlign w:val="center"/>
          </w:tcPr>
          <w:p>
            <w:pPr>
              <w:pStyle w:val="11"/>
            </w:pPr>
            <w:r>
              <w:t>104.40</w:t>
            </w:r>
          </w:p>
        </w:tc>
        <w:tc>
          <w:tcPr>
            <w:tcW w:w="1134" w:type="dxa"/>
            <w:vAlign w:val="center"/>
          </w:tcPr>
          <w:p>
            <w:pPr>
              <w:pStyle w:val="11"/>
            </w:pPr>
            <w:r>
              <w:t>104.40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2080503</w:t>
            </w:r>
          </w:p>
        </w:tc>
        <w:tc>
          <w:tcPr>
            <w:tcW w:w="1559" w:type="dxa"/>
            <w:vAlign w:val="center"/>
          </w:tcPr>
          <w:p>
            <w:pPr>
              <w:pStyle w:val="12"/>
            </w:pPr>
            <w:r>
              <w:t>离退休人员管理机构</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r>
              <w:t>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367.70</w:t>
            </w:r>
          </w:p>
        </w:tc>
        <w:tc>
          <w:tcPr>
            <w:tcW w:w="1361" w:type="dxa"/>
            <w:vAlign w:val="center"/>
          </w:tcPr>
          <w:p>
            <w:pPr>
              <w:pStyle w:val="15"/>
            </w:pPr>
            <w:r>
              <w:t>269.70</w:t>
            </w:r>
          </w:p>
        </w:tc>
        <w:tc>
          <w:tcPr>
            <w:tcW w:w="1361" w:type="dxa"/>
            <w:vAlign w:val="center"/>
          </w:tcPr>
          <w:p>
            <w:pPr>
              <w:pStyle w:val="15"/>
            </w:pPr>
            <w:r>
              <w:t>98.00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147.50</w:t>
            </w:r>
          </w:p>
        </w:tc>
        <w:tc>
          <w:tcPr>
            <w:tcW w:w="1361" w:type="dxa"/>
            <w:vAlign w:val="center"/>
          </w:tcPr>
          <w:p>
            <w:pPr>
              <w:pStyle w:val="11"/>
            </w:pPr>
            <w:r>
              <w:t>147.50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20136</w:t>
            </w:r>
          </w:p>
        </w:tc>
        <w:tc>
          <w:tcPr>
            <w:tcW w:w="4536" w:type="dxa"/>
            <w:vAlign w:val="center"/>
          </w:tcPr>
          <w:p>
            <w:pPr>
              <w:pStyle w:val="12"/>
            </w:pPr>
            <w:r>
              <w:t>其他共产党事务支出</w:t>
            </w:r>
          </w:p>
        </w:tc>
        <w:tc>
          <w:tcPr>
            <w:tcW w:w="1361" w:type="dxa"/>
            <w:vAlign w:val="center"/>
          </w:tcPr>
          <w:p>
            <w:pPr>
              <w:pStyle w:val="11"/>
            </w:pPr>
            <w:r>
              <w:t>147.50</w:t>
            </w:r>
          </w:p>
        </w:tc>
        <w:tc>
          <w:tcPr>
            <w:tcW w:w="1361" w:type="dxa"/>
            <w:vAlign w:val="center"/>
          </w:tcPr>
          <w:p>
            <w:pPr>
              <w:pStyle w:val="11"/>
            </w:pPr>
            <w:r>
              <w:t>147.50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2013601</w:t>
            </w:r>
          </w:p>
        </w:tc>
        <w:tc>
          <w:tcPr>
            <w:tcW w:w="4536" w:type="dxa"/>
            <w:vAlign w:val="center"/>
          </w:tcPr>
          <w:p>
            <w:pPr>
              <w:pStyle w:val="12"/>
            </w:pPr>
            <w:r>
              <w:t>行政运行</w:t>
            </w:r>
          </w:p>
        </w:tc>
        <w:tc>
          <w:tcPr>
            <w:tcW w:w="1361" w:type="dxa"/>
            <w:vAlign w:val="center"/>
          </w:tcPr>
          <w:p>
            <w:pPr>
              <w:pStyle w:val="11"/>
            </w:pPr>
            <w:r>
              <w:t>147.50</w:t>
            </w:r>
          </w:p>
        </w:tc>
        <w:tc>
          <w:tcPr>
            <w:tcW w:w="1361" w:type="dxa"/>
            <w:vAlign w:val="center"/>
          </w:tcPr>
          <w:p>
            <w:pPr>
              <w:pStyle w:val="11"/>
            </w:pPr>
            <w:r>
              <w:t>147.50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214.40</w:t>
            </w:r>
          </w:p>
        </w:tc>
        <w:tc>
          <w:tcPr>
            <w:tcW w:w="1361" w:type="dxa"/>
            <w:vAlign w:val="center"/>
          </w:tcPr>
          <w:p>
            <w:pPr>
              <w:pStyle w:val="11"/>
            </w:pPr>
            <w:r>
              <w:t>116.40</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214.40</w:t>
            </w:r>
          </w:p>
        </w:tc>
        <w:tc>
          <w:tcPr>
            <w:tcW w:w="1361" w:type="dxa"/>
            <w:vAlign w:val="center"/>
          </w:tcPr>
          <w:p>
            <w:pPr>
              <w:pStyle w:val="11"/>
            </w:pPr>
            <w:r>
              <w:t>116.40</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center"/>
          </w:tcPr>
          <w:p>
            <w:pPr>
              <w:pStyle w:val="11"/>
            </w:pPr>
            <w:r>
              <w:t>104.40</w:t>
            </w:r>
          </w:p>
        </w:tc>
        <w:tc>
          <w:tcPr>
            <w:tcW w:w="1361" w:type="dxa"/>
            <w:vAlign w:val="center"/>
          </w:tcPr>
          <w:p>
            <w:pPr>
              <w:pStyle w:val="11"/>
            </w:pPr>
            <w:r>
              <w:t>104.40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2080503</w:t>
            </w:r>
          </w:p>
        </w:tc>
        <w:tc>
          <w:tcPr>
            <w:tcW w:w="4536" w:type="dxa"/>
            <w:vAlign w:val="center"/>
          </w:tcPr>
          <w:p>
            <w:pPr>
              <w:pStyle w:val="12"/>
            </w:pPr>
            <w:r>
              <w:t>离退休人员管理机构</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12.00</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5.80</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5.80</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5.80</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367.70</w:t>
            </w:r>
          </w:p>
        </w:tc>
        <w:tc>
          <w:tcPr>
            <w:tcW w:w="3402" w:type="dxa"/>
            <w:vAlign w:val="center"/>
          </w:tcPr>
          <w:p>
            <w:pPr>
              <w:pStyle w:val="12"/>
            </w:pPr>
            <w:r>
              <w:t>一、一般公共服务支出</w:t>
            </w:r>
          </w:p>
        </w:tc>
        <w:tc>
          <w:tcPr>
            <w:tcW w:w="1474" w:type="dxa"/>
            <w:vAlign w:val="center"/>
          </w:tcPr>
          <w:p>
            <w:pPr>
              <w:pStyle w:val="11"/>
            </w:pPr>
            <w:r>
              <w:t>147.50</w:t>
            </w:r>
          </w:p>
        </w:tc>
        <w:tc>
          <w:tcPr>
            <w:tcW w:w="1474" w:type="dxa"/>
            <w:vAlign w:val="center"/>
          </w:tcPr>
          <w:p>
            <w:pPr>
              <w:pStyle w:val="11"/>
            </w:pPr>
            <w:r>
              <w:t>147.50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214.40</w:t>
            </w:r>
          </w:p>
        </w:tc>
        <w:tc>
          <w:tcPr>
            <w:tcW w:w="1474" w:type="dxa"/>
            <w:vAlign w:val="center"/>
          </w:tcPr>
          <w:p>
            <w:pPr>
              <w:pStyle w:val="11"/>
            </w:pPr>
            <w:r>
              <w:t>214.40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5.80</w:t>
            </w:r>
          </w:p>
        </w:tc>
        <w:tc>
          <w:tcPr>
            <w:tcW w:w="1474" w:type="dxa"/>
            <w:vAlign w:val="center"/>
          </w:tcPr>
          <w:p>
            <w:pPr>
              <w:pStyle w:val="11"/>
            </w:pPr>
            <w:r>
              <w:t>5.80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367.70</w:t>
            </w:r>
          </w:p>
        </w:tc>
        <w:tc>
          <w:tcPr>
            <w:tcW w:w="3402" w:type="dxa"/>
            <w:vAlign w:val="center"/>
          </w:tcPr>
          <w:p>
            <w:pPr>
              <w:pStyle w:val="14"/>
            </w:pPr>
            <w:r>
              <w:t>本年支出合计</w:t>
            </w:r>
          </w:p>
        </w:tc>
        <w:tc>
          <w:tcPr>
            <w:tcW w:w="1474" w:type="dxa"/>
            <w:vAlign w:val="center"/>
          </w:tcPr>
          <w:p>
            <w:pPr>
              <w:pStyle w:val="15"/>
            </w:pPr>
            <w:r>
              <w:t>367.70</w:t>
            </w:r>
          </w:p>
        </w:tc>
        <w:tc>
          <w:tcPr>
            <w:tcW w:w="1474" w:type="dxa"/>
            <w:vAlign w:val="center"/>
          </w:tcPr>
          <w:p>
            <w:pPr>
              <w:pStyle w:val="15"/>
            </w:pPr>
            <w:r>
              <w:t>367.70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367.70</w:t>
            </w:r>
          </w:p>
        </w:tc>
        <w:tc>
          <w:tcPr>
            <w:tcW w:w="3402" w:type="dxa"/>
            <w:vAlign w:val="center"/>
          </w:tcPr>
          <w:p>
            <w:pPr>
              <w:pStyle w:val="14"/>
            </w:pPr>
            <w:r>
              <w:t>支出总计</w:t>
            </w:r>
          </w:p>
        </w:tc>
        <w:tc>
          <w:tcPr>
            <w:tcW w:w="1474" w:type="dxa"/>
            <w:vAlign w:val="center"/>
          </w:tcPr>
          <w:p>
            <w:pPr>
              <w:pStyle w:val="15"/>
            </w:pPr>
            <w:r>
              <w:t>367.70</w:t>
            </w:r>
          </w:p>
        </w:tc>
        <w:tc>
          <w:tcPr>
            <w:tcW w:w="1474" w:type="dxa"/>
            <w:vAlign w:val="center"/>
          </w:tcPr>
          <w:p>
            <w:pPr>
              <w:pStyle w:val="15"/>
            </w:pPr>
            <w:r>
              <w:t>367.70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367.70</w:t>
            </w:r>
          </w:p>
        </w:tc>
        <w:tc>
          <w:tcPr>
            <w:tcW w:w="2551" w:type="dxa"/>
            <w:vAlign w:val="center"/>
          </w:tcPr>
          <w:p>
            <w:pPr>
              <w:pStyle w:val="15"/>
            </w:pPr>
            <w:r>
              <w:t>269.70</w:t>
            </w:r>
          </w:p>
        </w:tc>
        <w:tc>
          <w:tcPr>
            <w:tcW w:w="2551" w:type="dxa"/>
            <w:vAlign w:val="center"/>
          </w:tcPr>
          <w:p>
            <w:pPr>
              <w:pStyle w:val="15"/>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147.50</w:t>
            </w:r>
          </w:p>
        </w:tc>
        <w:tc>
          <w:tcPr>
            <w:tcW w:w="2551" w:type="dxa"/>
            <w:vAlign w:val="center"/>
          </w:tcPr>
          <w:p>
            <w:pPr>
              <w:pStyle w:val="11"/>
            </w:pPr>
            <w:r>
              <w:t>147.50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147.50</w:t>
            </w:r>
          </w:p>
        </w:tc>
        <w:tc>
          <w:tcPr>
            <w:tcW w:w="2551" w:type="dxa"/>
            <w:vAlign w:val="center"/>
          </w:tcPr>
          <w:p>
            <w:pPr>
              <w:pStyle w:val="11"/>
            </w:pPr>
            <w:r>
              <w:t>147.50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2013601</w:t>
            </w:r>
          </w:p>
        </w:tc>
        <w:tc>
          <w:tcPr>
            <w:tcW w:w="4535" w:type="dxa"/>
            <w:vAlign w:val="center"/>
          </w:tcPr>
          <w:p>
            <w:pPr>
              <w:pStyle w:val="12"/>
            </w:pPr>
            <w:r>
              <w:t>行政运行</w:t>
            </w:r>
          </w:p>
        </w:tc>
        <w:tc>
          <w:tcPr>
            <w:tcW w:w="2551" w:type="dxa"/>
            <w:vAlign w:val="center"/>
          </w:tcPr>
          <w:p>
            <w:pPr>
              <w:pStyle w:val="11"/>
            </w:pPr>
            <w:r>
              <w:t>147.50</w:t>
            </w:r>
          </w:p>
        </w:tc>
        <w:tc>
          <w:tcPr>
            <w:tcW w:w="2551" w:type="dxa"/>
            <w:vAlign w:val="center"/>
          </w:tcPr>
          <w:p>
            <w:pPr>
              <w:pStyle w:val="11"/>
            </w:pPr>
            <w:r>
              <w:t>147.50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214.40</w:t>
            </w:r>
          </w:p>
        </w:tc>
        <w:tc>
          <w:tcPr>
            <w:tcW w:w="2551" w:type="dxa"/>
            <w:vAlign w:val="center"/>
          </w:tcPr>
          <w:p>
            <w:pPr>
              <w:pStyle w:val="11"/>
            </w:pPr>
            <w:r>
              <w:t>116.40</w:t>
            </w:r>
          </w:p>
        </w:tc>
        <w:tc>
          <w:tcPr>
            <w:tcW w:w="2551"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214.40</w:t>
            </w:r>
          </w:p>
        </w:tc>
        <w:tc>
          <w:tcPr>
            <w:tcW w:w="2551" w:type="dxa"/>
            <w:vAlign w:val="center"/>
          </w:tcPr>
          <w:p>
            <w:pPr>
              <w:pStyle w:val="11"/>
            </w:pPr>
            <w:r>
              <w:t>116.40</w:t>
            </w:r>
          </w:p>
        </w:tc>
        <w:tc>
          <w:tcPr>
            <w:tcW w:w="2551"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104.40</w:t>
            </w:r>
          </w:p>
        </w:tc>
        <w:tc>
          <w:tcPr>
            <w:tcW w:w="2551" w:type="dxa"/>
            <w:vAlign w:val="center"/>
          </w:tcPr>
          <w:p>
            <w:pPr>
              <w:pStyle w:val="11"/>
            </w:pPr>
            <w:r>
              <w:t>104.40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2080503</w:t>
            </w:r>
          </w:p>
        </w:tc>
        <w:tc>
          <w:tcPr>
            <w:tcW w:w="4535" w:type="dxa"/>
            <w:vAlign w:val="center"/>
          </w:tcPr>
          <w:p>
            <w:pPr>
              <w:pStyle w:val="12"/>
            </w:pPr>
            <w:r>
              <w:t>离退休人员管理机构</w:t>
            </w:r>
          </w:p>
        </w:tc>
        <w:tc>
          <w:tcPr>
            <w:tcW w:w="2551" w:type="dxa"/>
            <w:vAlign w:val="center"/>
          </w:tcPr>
          <w:p>
            <w:pPr>
              <w:pStyle w:val="11"/>
            </w:pPr>
            <w:r>
              <w:t>98.00</w:t>
            </w:r>
          </w:p>
        </w:tc>
        <w:tc>
          <w:tcPr>
            <w:tcW w:w="2551" w:type="dxa"/>
            <w:vAlign w:val="center"/>
          </w:tcPr>
          <w:p>
            <w:pPr>
              <w:pStyle w:val="11"/>
            </w:pPr>
          </w:p>
        </w:tc>
        <w:tc>
          <w:tcPr>
            <w:tcW w:w="2551"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269.70</w:t>
            </w:r>
          </w:p>
        </w:tc>
        <w:tc>
          <w:tcPr>
            <w:tcW w:w="2551" w:type="dxa"/>
            <w:vAlign w:val="center"/>
          </w:tcPr>
          <w:p>
            <w:pPr>
              <w:pStyle w:val="15"/>
            </w:pPr>
            <w:r>
              <w:t>248.90</w:t>
            </w:r>
          </w:p>
        </w:tc>
        <w:tc>
          <w:tcPr>
            <w:tcW w:w="2552" w:type="dxa"/>
            <w:vAlign w:val="center"/>
          </w:tcPr>
          <w:p>
            <w:pPr>
              <w:pStyle w:val="15"/>
            </w:pPr>
            <w:r>
              <w:t>20.80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199.50</w:t>
            </w:r>
          </w:p>
        </w:tc>
        <w:tc>
          <w:tcPr>
            <w:tcW w:w="2551" w:type="dxa"/>
            <w:vAlign w:val="center"/>
          </w:tcPr>
          <w:p>
            <w:pPr>
              <w:pStyle w:val="11"/>
            </w:pPr>
            <w:r>
              <w:t>199.50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55.40</w:t>
            </w:r>
          </w:p>
        </w:tc>
        <w:tc>
          <w:tcPr>
            <w:tcW w:w="2551" w:type="dxa"/>
            <w:vAlign w:val="center"/>
          </w:tcPr>
          <w:p>
            <w:pPr>
              <w:pStyle w:val="11"/>
            </w:pPr>
            <w:r>
              <w:t>55.40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25.50</w:t>
            </w:r>
          </w:p>
        </w:tc>
        <w:tc>
          <w:tcPr>
            <w:tcW w:w="2551" w:type="dxa"/>
            <w:vAlign w:val="center"/>
          </w:tcPr>
          <w:p>
            <w:pPr>
              <w:pStyle w:val="11"/>
            </w:pPr>
            <w:r>
              <w:t>25.50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91.60</w:t>
            </w:r>
          </w:p>
        </w:tc>
        <w:tc>
          <w:tcPr>
            <w:tcW w:w="2551" w:type="dxa"/>
            <w:vAlign w:val="center"/>
          </w:tcPr>
          <w:p>
            <w:pPr>
              <w:pStyle w:val="11"/>
            </w:pPr>
            <w:r>
              <w:t>91.60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8.40</w:t>
            </w:r>
          </w:p>
        </w:tc>
        <w:tc>
          <w:tcPr>
            <w:tcW w:w="2551" w:type="dxa"/>
            <w:vAlign w:val="center"/>
          </w:tcPr>
          <w:p>
            <w:pPr>
              <w:pStyle w:val="11"/>
            </w:pPr>
            <w:r>
              <w:t>8.40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12.00</w:t>
            </w:r>
          </w:p>
        </w:tc>
        <w:tc>
          <w:tcPr>
            <w:tcW w:w="2551" w:type="dxa"/>
            <w:vAlign w:val="center"/>
          </w:tcPr>
          <w:p>
            <w:pPr>
              <w:pStyle w:val="11"/>
            </w:pPr>
            <w:r>
              <w:t>12.00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5.80</w:t>
            </w:r>
          </w:p>
        </w:tc>
        <w:tc>
          <w:tcPr>
            <w:tcW w:w="2551" w:type="dxa"/>
            <w:vAlign w:val="center"/>
          </w:tcPr>
          <w:p>
            <w:pPr>
              <w:pStyle w:val="11"/>
            </w:pPr>
            <w:r>
              <w:t>5.80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0.80</w:t>
            </w:r>
          </w:p>
        </w:tc>
        <w:tc>
          <w:tcPr>
            <w:tcW w:w="2551" w:type="dxa"/>
            <w:vAlign w:val="center"/>
          </w:tcPr>
          <w:p>
            <w:pPr>
              <w:pStyle w:val="11"/>
            </w:pPr>
            <w:r>
              <w:t>0.80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20.80</w:t>
            </w:r>
          </w:p>
        </w:tc>
        <w:tc>
          <w:tcPr>
            <w:tcW w:w="2551" w:type="dxa"/>
            <w:vAlign w:val="center"/>
          </w:tcPr>
          <w:p>
            <w:pPr>
              <w:pStyle w:val="11"/>
            </w:pPr>
          </w:p>
        </w:tc>
        <w:tc>
          <w:tcPr>
            <w:tcW w:w="2552" w:type="dxa"/>
            <w:vAlign w:val="center"/>
          </w:tcPr>
          <w:p>
            <w:pPr>
              <w:pStyle w:val="11"/>
            </w:pPr>
            <w:r>
              <w:t>20.80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w:t>
            </w:r>
          </w:p>
        </w:tc>
        <w:tc>
          <w:tcPr>
            <w:tcW w:w="2551" w:type="dxa"/>
            <w:vAlign w:val="center"/>
          </w:tcPr>
          <w:p>
            <w:pPr>
              <w:pStyle w:val="11"/>
            </w:pPr>
          </w:p>
        </w:tc>
        <w:tc>
          <w:tcPr>
            <w:tcW w:w="2552"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3.60</w:t>
            </w:r>
          </w:p>
        </w:tc>
        <w:tc>
          <w:tcPr>
            <w:tcW w:w="2551" w:type="dxa"/>
            <w:vAlign w:val="center"/>
          </w:tcPr>
          <w:p>
            <w:pPr>
              <w:pStyle w:val="11"/>
            </w:pPr>
          </w:p>
        </w:tc>
        <w:tc>
          <w:tcPr>
            <w:tcW w:w="2552"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2"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5.20</w:t>
            </w:r>
          </w:p>
        </w:tc>
        <w:tc>
          <w:tcPr>
            <w:tcW w:w="2551" w:type="dxa"/>
            <w:vAlign w:val="center"/>
          </w:tcPr>
          <w:p>
            <w:pPr>
              <w:pStyle w:val="11"/>
            </w:pPr>
          </w:p>
        </w:tc>
        <w:tc>
          <w:tcPr>
            <w:tcW w:w="2552" w:type="dxa"/>
            <w:vAlign w:val="center"/>
          </w:tcPr>
          <w:p>
            <w:pPr>
              <w:pStyle w:val="11"/>
            </w:pPr>
            <w:r>
              <w:t>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49.40</w:t>
            </w:r>
          </w:p>
        </w:tc>
        <w:tc>
          <w:tcPr>
            <w:tcW w:w="2551" w:type="dxa"/>
            <w:vAlign w:val="center"/>
          </w:tcPr>
          <w:p>
            <w:pPr>
              <w:pStyle w:val="11"/>
            </w:pPr>
            <w:r>
              <w:t>49.40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43.40</w:t>
            </w:r>
          </w:p>
        </w:tc>
        <w:tc>
          <w:tcPr>
            <w:tcW w:w="2551" w:type="dxa"/>
            <w:vAlign w:val="center"/>
          </w:tcPr>
          <w:p>
            <w:pPr>
              <w:pStyle w:val="11"/>
            </w:pPr>
            <w:r>
              <w:t>43.40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6.00</w:t>
            </w:r>
          </w:p>
        </w:tc>
        <w:tc>
          <w:tcPr>
            <w:tcW w:w="2551" w:type="dxa"/>
            <w:vAlign w:val="center"/>
          </w:tcPr>
          <w:p>
            <w:pPr>
              <w:pStyle w:val="11"/>
            </w:pPr>
            <w:r>
              <w:t>6.00</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2" w:type="dxa"/>
            <w:vAlign w:val="center"/>
          </w:tcPr>
          <w:p>
            <w:pPr>
              <w:pStyle w:val="11"/>
              <w:rPr>
                <w:b/>
              </w:rPr>
            </w:pPr>
            <w:r>
              <w:rPr>
                <w:b/>
              </w:rPr>
              <w:t>6.00</w:t>
            </w:r>
          </w:p>
        </w:tc>
        <w:tc>
          <w:tcPr>
            <w:tcW w:w="2381" w:type="dxa"/>
            <w:vAlign w:val="center"/>
          </w:tcPr>
          <w:p>
            <w:pPr>
              <w:pStyle w:val="11"/>
              <w:rPr>
                <w:b/>
              </w:rPr>
            </w:pPr>
            <w:r>
              <w:rPr>
                <w:b/>
              </w:rPr>
              <w:t>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2"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2"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中国共产党无极县委员会老干部本级2022年单位预算信息公开情况说明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按照《预算法》、《地方预决算公开操作规程》和《关于进一步推进预算公开工作的实施意见》规定，现将中国共产党无极县委员会老干部本级2022年单位预算公开如下：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一）全面贯彻加强党对离退休干部工作的集中统一领导要求，负责宣传贯彻落实党中央、国务院和省、市、县党委、政府关于离退休干部工作的方针政策；落实离退休干部工作有关政策规定并拟定实施办法；总结宣传全县离退休干部工作和先进典型。</w:t>
      </w:r>
    </w:p>
    <w:p>
      <w:pPr>
        <w:pStyle w:val="25"/>
      </w:pPr>
      <w:r>
        <w:t>（二）负责指导、督促、检查各部门离退休干部工作；组织和协调有关部门做好离退休干部工作。</w:t>
      </w:r>
    </w:p>
    <w:p>
      <w:pPr>
        <w:pStyle w:val="25"/>
      </w:pPr>
      <w:r>
        <w:t>（三）负责督促检查各部门落实离退休干部的政治和生活待遇，组织做好走访慰问工作；督促检查离休干部“两费”(离休费、医药费）落实情况；调查研究离退休干部政治和生活待遇中存在的问题，协调有关部门提出解决办法。</w:t>
      </w:r>
    </w:p>
    <w:p>
      <w:pPr>
        <w:pStyle w:val="25"/>
      </w:pPr>
      <w:r>
        <w:t>（四）加强对全县离退休干部的政治引领和教育管理。负责做好新形势下离退休干部党组织建设工作，拟订离退休干部思想政治工作的制度办法和措施；组织开展离退休干部党组织书记的教育培训工作。</w:t>
      </w:r>
    </w:p>
    <w:p>
      <w:pPr>
        <w:pStyle w:val="25"/>
      </w:pPr>
      <w:r>
        <w:t xml:space="preserve">（五）督促检查各部门老干部活动阵地的建设与管理。  </w:t>
      </w:r>
    </w:p>
    <w:p>
      <w:pPr>
        <w:pStyle w:val="25"/>
      </w:pPr>
      <w:r>
        <w:t>（六）组织离退休干部利用自身优势，在政治、经济、文化和青少年教育等各领域发挥作用，增添正能量。</w:t>
      </w:r>
    </w:p>
    <w:p>
      <w:pPr>
        <w:pStyle w:val="25"/>
      </w:pPr>
      <w:r>
        <w:t>（七）了解离退休干部对医疗保健方面的意见和要求。组织离退休干部开展健康科学的文化健身、保健讲座、参观学习等活动。</w:t>
      </w:r>
    </w:p>
    <w:p>
      <w:pPr>
        <w:pStyle w:val="25"/>
      </w:pPr>
      <w:r>
        <w:t>（八）负责易地安置离休干部服务管理工作。</w:t>
      </w:r>
    </w:p>
    <w:p>
      <w:pPr>
        <w:pStyle w:val="25"/>
      </w:pPr>
      <w:r>
        <w:t xml:space="preserve">（九）会同有关部门拟订治丧办法，配合有关部门做好逝世老干部的善后工作，协助承办县委交办的丧葬事宣。 </w:t>
      </w:r>
    </w:p>
    <w:p>
      <w:pPr>
        <w:pStyle w:val="25"/>
      </w:pPr>
      <w:r>
        <w:t>（十）承担县老干部工作领导小组、县关心下一代工作委员会的日常工作。</w:t>
      </w:r>
    </w:p>
    <w:p>
      <w:pPr>
        <w:pStyle w:val="25"/>
      </w:pPr>
      <w:r>
        <w:t>（十一）完成县委交办的其他任务。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中国共产党无极县委员会老干部本级</w:t>
            </w:r>
          </w:p>
        </w:tc>
        <w:tc>
          <w:tcPr>
            <w:tcW w:w="1843" w:type="dxa"/>
            <w:vAlign w:val="center"/>
          </w:tcPr>
          <w:p>
            <w:pPr>
              <w:pStyle w:val="13"/>
            </w:pPr>
            <w:r>
              <w:t>行政</w:t>
            </w:r>
          </w:p>
        </w:tc>
        <w:tc>
          <w:tcPr>
            <w:tcW w:w="2126" w:type="dxa"/>
            <w:vAlign w:val="center"/>
          </w:tcPr>
          <w:p>
            <w:pPr>
              <w:pStyle w:val="13"/>
            </w:pPr>
            <w:r>
              <w:t>股级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按照预算管理有关规定，目前我县</w:t>
      </w:r>
      <w:r>
        <w:rPr>
          <w:rFonts w:hint="eastAsia"/>
          <w:lang w:eastAsia="zh-CN"/>
        </w:rPr>
        <w:t>单位</w:t>
      </w:r>
      <w:r>
        <w:t>预算的编制实行综合预算制度，即全部收入和支出都反映在预算里，我中国共产党无极县委员会老干部</w:t>
      </w:r>
      <w:r>
        <w:rPr>
          <w:rFonts w:hint="eastAsia"/>
          <w:lang w:eastAsia="zh-CN"/>
        </w:rPr>
        <w:t>本级</w:t>
      </w:r>
      <w:r>
        <w:t>及所属单位所有收支都包含在</w:t>
      </w:r>
      <w:r>
        <w:rPr>
          <w:rFonts w:hint="eastAsia"/>
          <w:lang w:eastAsia="zh-CN"/>
        </w:rPr>
        <w:t>单位</w:t>
      </w:r>
      <w:r>
        <w:t>预算中。</w:t>
      </w:r>
    </w:p>
    <w:p>
      <w:pPr>
        <w:pStyle w:val="26"/>
      </w:pPr>
      <w:r>
        <w:t>（一）收入说明</w:t>
      </w:r>
    </w:p>
    <w:p>
      <w:pPr>
        <w:pStyle w:val="26"/>
      </w:pPr>
      <w:r>
        <w:t>无极县老干部局2022年预算收入总计367.7万元。其中，一般公共预算收入367.7万元、政府性基金收入0万元、财政专户核拨收入0万元，其他来源收入0万元。</w:t>
      </w:r>
    </w:p>
    <w:p>
      <w:pPr>
        <w:pStyle w:val="26"/>
      </w:pPr>
      <w:r>
        <w:t>（二）支出说明</w:t>
      </w:r>
    </w:p>
    <w:p>
      <w:pPr>
        <w:pStyle w:val="26"/>
      </w:pPr>
      <w:r>
        <w:t>收支预算总表支出栏、基本支出表、项目支出表按经济分类和支出功能分类科目编制，反映年度</w:t>
      </w:r>
      <w:r>
        <w:rPr>
          <w:rFonts w:hint="eastAsia"/>
          <w:lang w:eastAsia="zh-CN"/>
        </w:rPr>
        <w:t>单位</w:t>
      </w:r>
      <w:r>
        <w:t>预算中支出预算的总体情况。2020年预算支出367.7万元。其中，人员经费支出252.4万元，正常公用经费21.5万元，项目支出98万元。</w:t>
      </w:r>
    </w:p>
    <w:p>
      <w:pPr>
        <w:pStyle w:val="26"/>
      </w:pPr>
      <w:r>
        <w:t>（三）比上年增减情况</w:t>
      </w:r>
    </w:p>
    <w:p>
      <w:pPr>
        <w:pStyle w:val="26"/>
      </w:pPr>
      <w:r>
        <w:t>2022年</w:t>
      </w:r>
      <w:r>
        <w:rPr>
          <w:rFonts w:hint="eastAsia"/>
          <w:lang w:eastAsia="zh-CN"/>
        </w:rPr>
        <w:t>单位</w:t>
      </w:r>
      <w:r>
        <w:t>预算收支安排367.7万元，较2021年减少168.73万元，其中：基本支出减少0.23万元，主要是减少公务移动通讯费用补贴；项目支出减少168.5万元，主要是减少河北美院无极县老干部艺术推广中心、老年大学活动经费。</w:t>
      </w:r>
    </w:p>
    <w:p>
      <w:pPr>
        <w:spacing w:before="10" w:after="10"/>
        <w:ind w:firstLine="640"/>
        <w:outlineLvl w:val="5"/>
      </w:pPr>
      <w:r>
        <w:rPr>
          <w:rFonts w:ascii="黑体" w:hAnsi="黑体" w:eastAsia="黑体" w:cs="黑体"/>
          <w:color w:val="000000"/>
          <w:sz w:val="32"/>
        </w:rPr>
        <w:t>三、机关运行经费安排情况</w:t>
      </w:r>
    </w:p>
    <w:p>
      <w:pPr>
        <w:pStyle w:val="27"/>
      </w:pPr>
      <w:r>
        <w:t>2022年，我</w:t>
      </w:r>
      <w:r>
        <w:rPr>
          <w:rFonts w:hint="eastAsia"/>
          <w:lang w:eastAsia="zh-CN"/>
        </w:rPr>
        <w:t>单位</w:t>
      </w:r>
      <w:r>
        <w:t>机关运行经费共计安排20.8万元，主要用于保证机关正常运转的办公及印刷费、邮电费、一般设备购置费、办公用房电费、日常维修费等支出。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2022年，我</w:t>
      </w:r>
      <w:r>
        <w:rPr>
          <w:rFonts w:hint="eastAsia"/>
          <w:lang w:eastAsia="zh-CN"/>
        </w:rPr>
        <w:t>单位</w:t>
      </w:r>
      <w:r>
        <w:t>财政拨款“三公”经费预算安排6万元，其中：因公出国（境）费0万元；公务用车购置及运维费6万元（其中：公务用车购置费0万元，公务用车运行维护费6万元）。其中公务接待费0万元。与2021年相比持平无增减变化。</w:t>
      </w:r>
      <w:r>
        <w:rPr>
          <w:rFonts w:hint="eastAsia" w:ascii="方正仿宋_GBK" w:hAnsi="方正仿宋_GBK" w:eastAsia="方正仿宋_GBK" w:cs="方正仿宋_GBK"/>
          <w:i w:val="0"/>
          <w:iCs w:val="0"/>
          <w:caps w:val="0"/>
          <w:color w:val="000000"/>
          <w:spacing w:val="0"/>
          <w:sz w:val="28"/>
          <w:szCs w:val="28"/>
          <w:shd w:val="clear" w:fill="FFFFFF"/>
        </w:rPr>
        <w:t>主要原因：坚持厉行勤俭节约，进一步规范公务接待，严格控制“三公”经费支出</w:t>
      </w:r>
      <w:r>
        <w:rPr>
          <w:rFonts w:hint="eastAsia" w:ascii="方正仿宋_GBK" w:hAnsi="方正仿宋_GBK" w:cs="方正仿宋_GBK"/>
          <w:i w:val="0"/>
          <w:iCs w:val="0"/>
          <w:caps w:val="0"/>
          <w:color w:val="000000"/>
          <w:spacing w:val="0"/>
          <w:sz w:val="28"/>
          <w:szCs w:val="28"/>
          <w:shd w:val="clear" w:fill="FFFFFF"/>
          <w:lang w:eastAsia="zh-CN"/>
        </w:rPr>
        <w:t>，</w:t>
      </w:r>
      <w:bookmarkStart w:id="1" w:name="_GoBack"/>
      <w:bookmarkEnd w:id="1"/>
      <w:r>
        <w:rPr>
          <w:rFonts w:hint="eastAsia" w:ascii="方正仿宋_GBK" w:hAnsi="方正仿宋_GBK" w:eastAsia="方正仿宋_GBK" w:cs="方正仿宋_GBK"/>
          <w:i w:val="0"/>
          <w:iCs w:val="0"/>
          <w:caps w:val="0"/>
          <w:color w:val="000000"/>
          <w:spacing w:val="0"/>
          <w:sz w:val="28"/>
          <w:szCs w:val="28"/>
          <w:shd w:val="clear" w:fill="FFFFFF"/>
        </w:rPr>
        <w:t>进一步规范公务用车制度，严格控制公务用车范围</w:t>
      </w:r>
      <w:r>
        <w:rPr>
          <w:rFonts w:hint="eastAsia" w:ascii="方正仿宋_GBK" w:hAnsi="方正仿宋_GBK" w:eastAsia="方正仿宋_GBK" w:cs="方正仿宋_GBK"/>
          <w:sz w:val="28"/>
          <w:szCs w:val="28"/>
        </w:rPr>
        <w:t>。</w:t>
      </w:r>
    </w:p>
    <w:p>
      <w:pPr>
        <w:pStyle w:val="20"/>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1、2022年关工委经费绩效目标表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r>
              <w:rPr>
                <w:rFonts w:hint="eastAsia"/>
                <w:lang w:eastAsia="zh-CN"/>
              </w:rPr>
              <w:t xml:space="preserve"> 开展培训及相关活动。</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2835" w:type="dxa"/>
            <w:vAlign w:val="center"/>
          </w:tcPr>
          <w:p>
            <w:pPr>
              <w:pStyle w:val="12"/>
            </w:pPr>
            <w:r>
              <w:t>培训人员人次</w:t>
            </w:r>
          </w:p>
        </w:tc>
        <w:tc>
          <w:tcPr>
            <w:tcW w:w="2551" w:type="dxa"/>
            <w:vAlign w:val="center"/>
          </w:tcPr>
          <w:p>
            <w:pPr>
              <w:pStyle w:val="12"/>
            </w:pPr>
            <w:r>
              <w:t>≥95积极开展教育活动切实关心下一代</w:t>
            </w:r>
          </w:p>
        </w:tc>
        <w:tc>
          <w:tcPr>
            <w:tcW w:w="2268" w:type="dxa"/>
            <w:vAlign w:val="center"/>
          </w:tcPr>
          <w:p>
            <w:pPr>
              <w:pStyle w:val="12"/>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≥85综合事务管理工作完成情况</w:t>
            </w:r>
          </w:p>
        </w:tc>
        <w:tc>
          <w:tcPr>
            <w:tcW w:w="2268" w:type="dxa"/>
            <w:vAlign w:val="center"/>
          </w:tcPr>
          <w:p>
            <w:pPr>
              <w:pStyle w:val="12"/>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pPr>
            <w:r>
              <w:t>服务的完成度</w:t>
            </w:r>
          </w:p>
        </w:tc>
        <w:tc>
          <w:tcPr>
            <w:tcW w:w="2551" w:type="dxa"/>
            <w:vAlign w:val="center"/>
          </w:tcPr>
          <w:p>
            <w:pPr>
              <w:pStyle w:val="12"/>
            </w:pPr>
            <w:r>
              <w:t>87切实让老干部生活丰富多彩</w:t>
            </w:r>
          </w:p>
        </w:tc>
        <w:tc>
          <w:tcPr>
            <w:tcW w:w="2268" w:type="dxa"/>
            <w:vAlign w:val="center"/>
          </w:tcPr>
          <w:p>
            <w:pPr>
              <w:pStyle w:val="12"/>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参加培训人均成本</w:t>
            </w:r>
          </w:p>
        </w:tc>
        <w:tc>
          <w:tcPr>
            <w:tcW w:w="2835" w:type="dxa"/>
            <w:vAlign w:val="center"/>
          </w:tcPr>
          <w:p>
            <w:pPr>
              <w:pStyle w:val="12"/>
            </w:pPr>
            <w:r>
              <w:t>参加培训人均成本</w:t>
            </w:r>
          </w:p>
        </w:tc>
        <w:tc>
          <w:tcPr>
            <w:tcW w:w="2551" w:type="dxa"/>
            <w:vAlign w:val="center"/>
          </w:tcPr>
          <w:p>
            <w:pPr>
              <w:pStyle w:val="12"/>
            </w:pPr>
            <w:r>
              <w:t>≥90</w:t>
            </w:r>
          </w:p>
        </w:tc>
        <w:tc>
          <w:tcPr>
            <w:tcW w:w="2268" w:type="dxa"/>
            <w:vAlign w:val="center"/>
          </w:tcPr>
          <w:p>
            <w:pPr>
              <w:pStyle w:val="12"/>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80</w:t>
            </w:r>
          </w:p>
        </w:tc>
        <w:tc>
          <w:tcPr>
            <w:tcW w:w="2268" w:type="dxa"/>
            <w:vAlign w:val="center"/>
          </w:tcPr>
          <w:p>
            <w:pPr>
              <w:pStyle w:val="12"/>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参观人数</w:t>
            </w:r>
          </w:p>
        </w:tc>
        <w:tc>
          <w:tcPr>
            <w:tcW w:w="2835" w:type="dxa"/>
            <w:vAlign w:val="center"/>
          </w:tcPr>
          <w:p>
            <w:pPr>
              <w:pStyle w:val="12"/>
            </w:pPr>
            <w:r>
              <w:t>参观人数</w:t>
            </w:r>
          </w:p>
        </w:tc>
        <w:tc>
          <w:tcPr>
            <w:tcW w:w="2551" w:type="dxa"/>
            <w:vAlign w:val="center"/>
          </w:tcPr>
          <w:p>
            <w:pPr>
              <w:pStyle w:val="12"/>
            </w:pPr>
            <w:r>
              <w:t>≥87</w:t>
            </w:r>
          </w:p>
        </w:tc>
        <w:tc>
          <w:tcPr>
            <w:tcW w:w="2268" w:type="dxa"/>
            <w:vAlign w:val="center"/>
          </w:tcPr>
          <w:p>
            <w:pPr>
              <w:pStyle w:val="12"/>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2835" w:type="dxa"/>
            <w:vAlign w:val="center"/>
          </w:tcPr>
          <w:p>
            <w:pPr>
              <w:pStyle w:val="12"/>
            </w:pPr>
            <w:r>
              <w:t>各项工作任务按时完成率</w:t>
            </w:r>
          </w:p>
        </w:tc>
        <w:tc>
          <w:tcPr>
            <w:tcW w:w="2551" w:type="dxa"/>
            <w:vAlign w:val="center"/>
          </w:tcPr>
          <w:p>
            <w:pPr>
              <w:pStyle w:val="12"/>
            </w:pPr>
            <w:r>
              <w:t>85保障社会稳定发展</w:t>
            </w:r>
          </w:p>
        </w:tc>
        <w:tc>
          <w:tcPr>
            <w:tcW w:w="2268" w:type="dxa"/>
            <w:vAlign w:val="center"/>
          </w:tcPr>
          <w:p>
            <w:pPr>
              <w:pStyle w:val="12"/>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提供优质服务</w:t>
            </w:r>
          </w:p>
        </w:tc>
        <w:tc>
          <w:tcPr>
            <w:tcW w:w="2835" w:type="dxa"/>
            <w:vAlign w:val="center"/>
          </w:tcPr>
          <w:p>
            <w:pPr>
              <w:pStyle w:val="12"/>
            </w:pPr>
            <w:r>
              <w:t>提供优质服务</w:t>
            </w:r>
          </w:p>
        </w:tc>
        <w:tc>
          <w:tcPr>
            <w:tcW w:w="2551" w:type="dxa"/>
            <w:vAlign w:val="center"/>
          </w:tcPr>
          <w:p>
            <w:pPr>
              <w:pStyle w:val="12"/>
            </w:pPr>
            <w:r>
              <w:t>≥92</w:t>
            </w:r>
          </w:p>
        </w:tc>
        <w:tc>
          <w:tcPr>
            <w:tcW w:w="2268" w:type="dxa"/>
            <w:vAlign w:val="center"/>
          </w:tcPr>
          <w:p>
            <w:pPr>
              <w:pStyle w:val="12"/>
            </w:pPr>
            <w:r>
              <w:t>年度预算管理要求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2835" w:type="dxa"/>
            <w:vAlign w:val="center"/>
          </w:tcPr>
          <w:p>
            <w:pPr>
              <w:pStyle w:val="12"/>
            </w:pPr>
            <w:r>
              <w:t>活动参与人员满意度</w:t>
            </w:r>
          </w:p>
        </w:tc>
        <w:tc>
          <w:tcPr>
            <w:tcW w:w="2551" w:type="dxa"/>
            <w:vAlign w:val="center"/>
          </w:tcPr>
          <w:p>
            <w:pPr>
              <w:pStyle w:val="12"/>
            </w:pPr>
            <w:r>
              <w:t>95</w:t>
            </w:r>
          </w:p>
        </w:tc>
        <w:tc>
          <w:tcPr>
            <w:tcW w:w="2268" w:type="dxa"/>
            <w:vAlign w:val="center"/>
          </w:tcPr>
          <w:p>
            <w:pPr>
              <w:pStyle w:val="12"/>
            </w:pPr>
            <w:r>
              <w:t>年度预算管理要求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2、2022年老促会经费绩效目标表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1充分发挥老区建设，促进社会调研、牵线搭桥、参谋助手作用，加快老区经济社会发展。</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2835" w:type="dxa"/>
            <w:vAlign w:val="center"/>
          </w:tcPr>
          <w:p>
            <w:pPr>
              <w:pStyle w:val="12"/>
            </w:pPr>
            <w:r>
              <w:t>培训人员人次</w:t>
            </w:r>
          </w:p>
        </w:tc>
        <w:tc>
          <w:tcPr>
            <w:tcW w:w="2551" w:type="dxa"/>
            <w:vAlign w:val="center"/>
          </w:tcPr>
          <w:p>
            <w:pPr>
              <w:pStyle w:val="12"/>
            </w:pPr>
            <w:r>
              <w:t>≥85保证工作正常开展</w:t>
            </w:r>
          </w:p>
        </w:tc>
        <w:tc>
          <w:tcPr>
            <w:tcW w:w="2268"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2835" w:type="dxa"/>
            <w:vAlign w:val="center"/>
          </w:tcPr>
          <w:p>
            <w:pPr>
              <w:pStyle w:val="12"/>
            </w:pPr>
            <w:r>
              <w:t>群众工作中心任务完成率</w:t>
            </w:r>
          </w:p>
        </w:tc>
        <w:tc>
          <w:tcPr>
            <w:tcW w:w="2551" w:type="dxa"/>
            <w:vAlign w:val="center"/>
          </w:tcPr>
          <w:p>
            <w:pPr>
              <w:pStyle w:val="12"/>
            </w:pPr>
            <w:r>
              <w:t>≥80</w:t>
            </w:r>
          </w:p>
        </w:tc>
        <w:tc>
          <w:tcPr>
            <w:tcW w:w="2268"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82保证工作正常开展</w:t>
            </w:r>
          </w:p>
        </w:tc>
        <w:tc>
          <w:tcPr>
            <w:tcW w:w="2268"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服务的完成度</w:t>
            </w:r>
          </w:p>
        </w:tc>
        <w:tc>
          <w:tcPr>
            <w:tcW w:w="2835" w:type="dxa"/>
            <w:vAlign w:val="center"/>
          </w:tcPr>
          <w:p>
            <w:pPr>
              <w:pStyle w:val="12"/>
            </w:pPr>
            <w:r>
              <w:t>服务的完成度</w:t>
            </w:r>
          </w:p>
        </w:tc>
        <w:tc>
          <w:tcPr>
            <w:tcW w:w="2551" w:type="dxa"/>
            <w:vAlign w:val="center"/>
          </w:tcPr>
          <w:p>
            <w:pPr>
              <w:pStyle w:val="12"/>
            </w:pPr>
            <w:r>
              <w:t>≥90保证工作正常开展</w:t>
            </w:r>
          </w:p>
        </w:tc>
        <w:tc>
          <w:tcPr>
            <w:tcW w:w="2268"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≥94</w:t>
            </w:r>
          </w:p>
        </w:tc>
        <w:tc>
          <w:tcPr>
            <w:tcW w:w="2268"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提供服务次数</w:t>
            </w:r>
          </w:p>
        </w:tc>
        <w:tc>
          <w:tcPr>
            <w:tcW w:w="2835" w:type="dxa"/>
            <w:vAlign w:val="center"/>
          </w:tcPr>
          <w:p>
            <w:pPr>
              <w:pStyle w:val="12"/>
            </w:pPr>
            <w:r>
              <w:t>提供服务次数</w:t>
            </w:r>
          </w:p>
        </w:tc>
        <w:tc>
          <w:tcPr>
            <w:tcW w:w="2551" w:type="dxa"/>
            <w:vAlign w:val="center"/>
          </w:tcPr>
          <w:p>
            <w:pPr>
              <w:pStyle w:val="12"/>
            </w:pPr>
            <w:r>
              <w:t>90</w:t>
            </w:r>
          </w:p>
        </w:tc>
        <w:tc>
          <w:tcPr>
            <w:tcW w:w="2268"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89</w:t>
            </w:r>
          </w:p>
        </w:tc>
        <w:tc>
          <w:tcPr>
            <w:tcW w:w="2268" w:type="dxa"/>
            <w:vAlign w:val="center"/>
          </w:tcPr>
          <w:p>
            <w:pPr>
              <w:pStyle w:val="12"/>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提高工作效率</w:t>
            </w:r>
          </w:p>
        </w:tc>
        <w:tc>
          <w:tcPr>
            <w:tcW w:w="2551" w:type="dxa"/>
            <w:vAlign w:val="center"/>
          </w:tcPr>
          <w:p>
            <w:pPr>
              <w:pStyle w:val="12"/>
            </w:pPr>
            <w:r>
              <w:t>≥93</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2835" w:type="dxa"/>
            <w:vAlign w:val="center"/>
          </w:tcPr>
          <w:p>
            <w:pPr>
              <w:pStyle w:val="12"/>
            </w:pPr>
            <w:r>
              <w:t>活动参与人员满意度</w:t>
            </w:r>
          </w:p>
        </w:tc>
        <w:tc>
          <w:tcPr>
            <w:tcW w:w="2551" w:type="dxa"/>
            <w:vAlign w:val="center"/>
          </w:tcPr>
          <w:p>
            <w:pPr>
              <w:pStyle w:val="12"/>
            </w:pPr>
            <w:r>
              <w:t>90</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3、2022年老干部专项经费绩效目标表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1落实老干部政治、生活待遇，保障离退休老干部的各项政策落实，让每位老干部感受政治上的关心，生活上的爱护。</w:t>
            </w:r>
          </w:p>
        </w:tc>
      </w:tr>
    </w:tbl>
    <w:p>
      <w:pPr>
        <w:spacing w:line="2" w:lineRule="exact"/>
        <w:jc w:val="center"/>
      </w:pP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2835" w:type="dxa"/>
            <w:vAlign w:val="center"/>
          </w:tcPr>
          <w:p>
            <w:pPr>
              <w:pStyle w:val="12"/>
            </w:pPr>
            <w:r>
              <w:t>培训人员人次</w:t>
            </w:r>
          </w:p>
        </w:tc>
        <w:tc>
          <w:tcPr>
            <w:tcW w:w="2551" w:type="dxa"/>
            <w:vAlign w:val="center"/>
          </w:tcPr>
          <w:p>
            <w:pPr>
              <w:pStyle w:val="12"/>
            </w:pPr>
            <w:r>
              <w:t>≥80</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2835" w:type="dxa"/>
            <w:vAlign w:val="center"/>
          </w:tcPr>
          <w:p>
            <w:pPr>
              <w:pStyle w:val="12"/>
            </w:pPr>
            <w:r>
              <w:t>群众文化活动参与率</w:t>
            </w:r>
          </w:p>
        </w:tc>
        <w:tc>
          <w:tcPr>
            <w:tcW w:w="2551" w:type="dxa"/>
            <w:vAlign w:val="center"/>
          </w:tcPr>
          <w:p>
            <w:pPr>
              <w:pStyle w:val="12"/>
            </w:pPr>
            <w:r>
              <w:t>85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2835" w:type="dxa"/>
            <w:vAlign w:val="center"/>
          </w:tcPr>
          <w:p>
            <w:pPr>
              <w:pStyle w:val="12"/>
            </w:pPr>
            <w:r>
              <w:t>服务的完成度</w:t>
            </w:r>
          </w:p>
        </w:tc>
        <w:tc>
          <w:tcPr>
            <w:tcW w:w="2551" w:type="dxa"/>
            <w:vAlign w:val="center"/>
          </w:tcPr>
          <w:p>
            <w:pPr>
              <w:pStyle w:val="12"/>
            </w:pPr>
            <w:r>
              <w:t>≥82保障工作正常运转</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完成工作目标所需资金</w:t>
            </w:r>
          </w:p>
        </w:tc>
        <w:tc>
          <w:tcPr>
            <w:tcW w:w="2835" w:type="dxa"/>
            <w:vAlign w:val="center"/>
          </w:tcPr>
          <w:p>
            <w:pPr>
              <w:pStyle w:val="12"/>
            </w:pPr>
            <w:r>
              <w:t>完成工作目标所需资金</w:t>
            </w:r>
          </w:p>
        </w:tc>
        <w:tc>
          <w:tcPr>
            <w:tcW w:w="2551" w:type="dxa"/>
            <w:vAlign w:val="center"/>
          </w:tcPr>
          <w:p>
            <w:pPr>
              <w:pStyle w:val="12"/>
            </w:pPr>
            <w:r>
              <w:t>95保障工作正常运转</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2835" w:type="dxa"/>
            <w:vAlign w:val="center"/>
          </w:tcPr>
          <w:p>
            <w:pPr>
              <w:pStyle w:val="12"/>
            </w:pPr>
            <w:r>
              <w:t>提高效率</w:t>
            </w:r>
          </w:p>
        </w:tc>
        <w:tc>
          <w:tcPr>
            <w:tcW w:w="2551" w:type="dxa"/>
            <w:vAlign w:val="center"/>
          </w:tcPr>
          <w:p>
            <w:pPr>
              <w:pStyle w:val="12"/>
            </w:pPr>
            <w:r>
              <w:t>≥90保障工作正常运转</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提供服务次数</w:t>
            </w:r>
          </w:p>
        </w:tc>
        <w:tc>
          <w:tcPr>
            <w:tcW w:w="2835" w:type="dxa"/>
            <w:vAlign w:val="center"/>
          </w:tcPr>
          <w:p>
            <w:pPr>
              <w:pStyle w:val="12"/>
            </w:pPr>
            <w:r>
              <w:t>提供服务次数</w:t>
            </w:r>
          </w:p>
        </w:tc>
        <w:tc>
          <w:tcPr>
            <w:tcW w:w="2551" w:type="dxa"/>
            <w:vAlign w:val="center"/>
          </w:tcPr>
          <w:p>
            <w:pPr>
              <w:pStyle w:val="12"/>
            </w:pPr>
            <w:r>
              <w:t>92</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≥95</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2835" w:type="dxa"/>
            <w:vAlign w:val="center"/>
          </w:tcPr>
          <w:p>
            <w:pPr>
              <w:pStyle w:val="12"/>
            </w:pPr>
            <w:r>
              <w:t>可持续性服务</w:t>
            </w:r>
          </w:p>
        </w:tc>
        <w:tc>
          <w:tcPr>
            <w:tcW w:w="2551" w:type="dxa"/>
            <w:vAlign w:val="center"/>
          </w:tcPr>
          <w:p>
            <w:pPr>
              <w:pStyle w:val="12"/>
            </w:pPr>
            <w:r>
              <w:t>87</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2835" w:type="dxa"/>
            <w:vAlign w:val="center"/>
          </w:tcPr>
          <w:p>
            <w:pPr>
              <w:pStyle w:val="12"/>
            </w:pPr>
            <w:r>
              <w:t>活动参与人员满意度</w:t>
            </w:r>
          </w:p>
        </w:tc>
        <w:tc>
          <w:tcPr>
            <w:tcW w:w="2551" w:type="dxa"/>
            <w:vAlign w:val="center"/>
          </w:tcPr>
          <w:p>
            <w:pPr>
              <w:pStyle w:val="12"/>
            </w:pPr>
            <w:r>
              <w:t>≥90</w:t>
            </w:r>
          </w:p>
        </w:tc>
        <w:tc>
          <w:tcPr>
            <w:tcW w:w="2268" w:type="dxa"/>
            <w:vAlign w:val="center"/>
          </w:tcPr>
          <w:p>
            <w:pPr>
              <w:pStyle w:val="12"/>
            </w:pPr>
            <w:r>
              <w:t>根据工作需要</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2022年，中国共产党无极县委员会老干部本级安排政府采购预算0.00万元。具体内容见下表。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中国共产党无极县委员会老干部本级上年末固定资产金额为89.31万元（详见下表）。本年度拟购置固定资产总额为0.00万元。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287001中国共产党无极县委员会老干部本级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89.31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40</w:t>
            </w:r>
          </w:p>
        </w:tc>
        <w:tc>
          <w:tcPr>
            <w:tcW w:w="2835" w:type="dxa"/>
            <w:vAlign w:val="center"/>
          </w:tcPr>
          <w:p>
            <w:pPr>
              <w:pStyle w:val="11"/>
            </w:pPr>
            <w:r>
              <w:t>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23.58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60.74</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7EEC"/>
    <w:rsid w:val="000A7EEC"/>
    <w:rsid w:val="000E0A4A"/>
    <w:rsid w:val="005B34BC"/>
    <w:rsid w:val="007945F9"/>
    <w:rsid w:val="00941F07"/>
    <w:rsid w:val="00953BF6"/>
    <w:rsid w:val="11F513F3"/>
    <w:rsid w:val="208A4A96"/>
    <w:rsid w:val="281020DB"/>
    <w:rsid w:val="29C65D96"/>
    <w:rsid w:val="3469778B"/>
    <w:rsid w:val="3A370EB3"/>
    <w:rsid w:val="3BA10B11"/>
    <w:rsid w:val="4D80787C"/>
    <w:rsid w:val="54EC1F48"/>
    <w:rsid w:val="58B05AFC"/>
    <w:rsid w:val="759873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目录 21"/>
    <w:basedOn w:val="1"/>
    <w:qFormat/>
    <w:uiPriority w:val="0"/>
    <w:pPr>
      <w:ind w:left="240"/>
    </w:pPr>
  </w:style>
  <w:style w:type="paragraph" w:customStyle="1" w:styleId="30">
    <w:name w:val="目录 31"/>
    <w:basedOn w:val="1"/>
    <w:qFormat/>
    <w:uiPriority w:val="0"/>
    <w:pPr>
      <w:ind w:left="480"/>
    </w:pPr>
  </w:style>
  <w:style w:type="paragraph" w:customStyle="1" w:styleId="31">
    <w:name w:val="目录 41"/>
    <w:basedOn w:val="1"/>
    <w:qFormat/>
    <w:uiPriority w:val="0"/>
    <w:pPr>
      <w:ind w:left="720"/>
    </w:pPr>
  </w:style>
  <w:style w:type="paragraph" w:customStyle="1" w:styleId="32">
    <w:name w:val="目录 11"/>
    <w:basedOn w:val="1"/>
    <w:qFormat/>
    <w:uiPriority w:val="0"/>
    <w:pPr>
      <w:spacing w:before="120"/>
      <w:ind w:firstLine="560"/>
    </w:pPr>
    <w:rPr>
      <w:rFonts w:eastAsia="方正仿宋_GBK"/>
      <w:color w:val="000000"/>
      <w:sz w:val="28"/>
    </w:rPr>
  </w:style>
  <w:style w:type="character" w:customStyle="1" w:styleId="33">
    <w:name w:val="页眉 Char"/>
    <w:basedOn w:val="6"/>
    <w:link w:val="3"/>
    <w:qFormat/>
    <w:uiPriority w:val="99"/>
    <w:rPr>
      <w:rFonts w:eastAsia="Times New Roman"/>
      <w:sz w:val="18"/>
      <w:szCs w:val="18"/>
      <w:lang w:eastAsia="uk-UA"/>
    </w:rPr>
  </w:style>
  <w:style w:type="character" w:customStyle="1" w:styleId="34">
    <w:name w:val="页脚 Char"/>
    <w:basedOn w:val="6"/>
    <w:link w:val="2"/>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4" Type="http://schemas.openxmlformats.org/officeDocument/2006/relationships/fontTable" Target="fontTable.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header" Target="head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2022-06-23T10:15:32Z</dcterms:created>
  <dcterms:modified xsi:type="dcterms:W3CDTF">2022-06-23T02:15:32Z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2022-06-23T10:15:29Z</dcterms:created>
  <dcterms:modified xsi:type="dcterms:W3CDTF">2022-06-23T02:15:29Z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2022-06-23T10:15:34Z</dcterms:created>
  <dcterms:modified xsi:type="dcterms:W3CDTF">2022-06-23T02:15:34Z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2022-06-23T10:15:34Z</dcterms:created>
  <dcterms:modified xsi:type="dcterms:W3CDTF">2022-06-23T02:15:34Z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2022-06-23T10:15:29Z</dcterms:created>
  <dcterms:modified xsi:type="dcterms:W3CDTF">2022-06-23T02:15:29Z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2022-06-23T10:15:30Z</dcterms:created>
  <dcterms:modified xsi:type="dcterms:W3CDTF">2022-06-23T02:15:30Z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2022-06-23T10:15:32Z</dcterms:created>
  <dcterms:modified xsi:type="dcterms:W3CDTF">2022-06-23T02:15:32Z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2022-06-23T10:15:29Z</dcterms:created>
  <dcterms:modified xsi:type="dcterms:W3CDTF">2022-06-23T02:15:29Z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2022-06-23T10:15:32Z</dcterms:created>
  <dcterms:modified xsi:type="dcterms:W3CDTF">2022-06-23T02:15:31Z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2022-06-23T10:15:29Z</dcterms:created>
  <dcterms:modified xsi:type="dcterms:W3CDTF">2022-06-23T02:15:29Z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2022-06-23T10:15:29Z</dcterms:created>
  <dcterms:modified xsi:type="dcterms:W3CDTF">2022-06-23T02:15:29Z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2022-06-23T10:15:32Z</dcterms:created>
  <dcterms:modified xsi:type="dcterms:W3CDTF">2022-06-23T02:15:32Z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2022-06-23T10:15:32Z</dcterms:created>
  <dcterms:modified xsi:type="dcterms:W3CDTF">2022-06-23T02:15:32Z</dcterms:modified>
</cp:coreProperties>
</file>

<file path=customXml/itemProps1.xml><?xml version="1.0" encoding="utf-8"?>
<ds:datastoreItem xmlns:ds="http://schemas.openxmlformats.org/officeDocument/2006/customXml" ds:itemID="{8B701B95-3C9A-48D4-9064-C9B83662EB54}">
  <ds:schemaRefs/>
</ds:datastoreItem>
</file>

<file path=customXml/itemProps10.xml><?xml version="1.0" encoding="utf-8"?>
<ds:datastoreItem xmlns:ds="http://schemas.openxmlformats.org/officeDocument/2006/customXml" ds:itemID="{5031FD1B-9932-4A1D-B1A6-DF3DACE346BC}">
  <ds:schemaRefs/>
</ds:datastoreItem>
</file>

<file path=customXml/itemProps11.xml><?xml version="1.0" encoding="utf-8"?>
<ds:datastoreItem xmlns:ds="http://schemas.openxmlformats.org/officeDocument/2006/customXml" ds:itemID="{A2AC73B7-F46A-4F8D-89AA-59C21549F481}">
  <ds:schemaRefs/>
</ds:datastoreItem>
</file>

<file path=customXml/itemProps12.xml><?xml version="1.0" encoding="utf-8"?>
<ds:datastoreItem xmlns:ds="http://schemas.openxmlformats.org/officeDocument/2006/customXml" ds:itemID="{DE9B08EA-0FF9-4ECF-A12B-E4C7B5602CB0}">
  <ds:schemaRefs/>
</ds:datastoreItem>
</file>

<file path=customXml/itemProps13.xml><?xml version="1.0" encoding="utf-8"?>
<ds:datastoreItem xmlns:ds="http://schemas.openxmlformats.org/officeDocument/2006/customXml" ds:itemID="{9546AD8B-A511-4EBD-8D85-82D656C9F571}">
  <ds:schemaRefs/>
</ds:datastoreItem>
</file>

<file path=customXml/itemProps14.xml><?xml version="1.0" encoding="utf-8"?>
<ds:datastoreItem xmlns:ds="http://schemas.openxmlformats.org/officeDocument/2006/customXml" ds:itemID="{AB510415-5CA9-45E3-86F8-293F1C9AF8E4}">
  <ds:schemaRefs/>
</ds:datastoreItem>
</file>

<file path=customXml/itemProps15.xml><?xml version="1.0" encoding="utf-8"?>
<ds:datastoreItem xmlns:ds="http://schemas.openxmlformats.org/officeDocument/2006/customXml" ds:itemID="{318846D3-7459-49A7-9300-E8555A5974CB}">
  <ds:schemaRefs/>
</ds:datastoreItem>
</file>

<file path=customXml/itemProps16.xml><?xml version="1.0" encoding="utf-8"?>
<ds:datastoreItem xmlns:ds="http://schemas.openxmlformats.org/officeDocument/2006/customXml" ds:itemID="{B9C5FCA5-FFDD-4245-BD75-803812F34775}">
  <ds:schemaRefs/>
</ds:datastoreItem>
</file>

<file path=customXml/itemProps17.xml><?xml version="1.0" encoding="utf-8"?>
<ds:datastoreItem xmlns:ds="http://schemas.openxmlformats.org/officeDocument/2006/customXml" ds:itemID="{B7BA087A-0439-42A9-9C7F-E127ADF9F71F}">
  <ds:schemaRefs/>
</ds:datastoreItem>
</file>

<file path=customXml/itemProps18.xml><?xml version="1.0" encoding="utf-8"?>
<ds:datastoreItem xmlns:ds="http://schemas.openxmlformats.org/officeDocument/2006/customXml" ds:itemID="{415F07C1-5995-47E7-8FED-476AA5F46E77}">
  <ds:schemaRefs/>
</ds:datastoreItem>
</file>

<file path=customXml/itemProps19.xml><?xml version="1.0" encoding="utf-8"?>
<ds:datastoreItem xmlns:ds="http://schemas.openxmlformats.org/officeDocument/2006/customXml" ds:itemID="{7EDAB78F-C6B6-4AAB-BCF1-46C7B9583478}">
  <ds:schemaRefs/>
</ds:datastoreItem>
</file>

<file path=customXml/itemProps2.xml><?xml version="1.0" encoding="utf-8"?>
<ds:datastoreItem xmlns:ds="http://schemas.openxmlformats.org/officeDocument/2006/customXml" ds:itemID="{E15CFA3D-925E-4DAD-9855-148288620302}">
  <ds:schemaRefs/>
</ds:datastoreItem>
</file>

<file path=customXml/itemProps20.xml><?xml version="1.0" encoding="utf-8"?>
<ds:datastoreItem xmlns:ds="http://schemas.openxmlformats.org/officeDocument/2006/customXml" ds:itemID="{FCA0C8D0-336D-4A8F-9072-15BE44CFD9CB}">
  <ds:schemaRefs/>
</ds:datastoreItem>
</file>

<file path=customXml/itemProps21.xml><?xml version="1.0" encoding="utf-8"?>
<ds:datastoreItem xmlns:ds="http://schemas.openxmlformats.org/officeDocument/2006/customXml" ds:itemID="{9AD62CAE-47C5-42E3-8EDC-1E19A9506378}">
  <ds:schemaRefs/>
</ds:datastoreItem>
</file>

<file path=customXml/itemProps22.xml><?xml version="1.0" encoding="utf-8"?>
<ds:datastoreItem xmlns:ds="http://schemas.openxmlformats.org/officeDocument/2006/customXml" ds:itemID="{8D8EC32F-68A8-46AA-8691-1D6F8252A98F}">
  <ds:schemaRefs/>
</ds:datastoreItem>
</file>

<file path=customXml/itemProps23.xml><?xml version="1.0" encoding="utf-8"?>
<ds:datastoreItem xmlns:ds="http://schemas.openxmlformats.org/officeDocument/2006/customXml" ds:itemID="{661A3EB8-831C-4BBB-8C20-567CFAA89823}">
  <ds:schemaRefs/>
</ds:datastoreItem>
</file>

<file path=customXml/itemProps24.xml><?xml version="1.0" encoding="utf-8"?>
<ds:datastoreItem xmlns:ds="http://schemas.openxmlformats.org/officeDocument/2006/customXml" ds:itemID="{34570882-EAEF-4541-8D1A-D42A294C0738}">
  <ds:schemaRefs/>
</ds:datastoreItem>
</file>

<file path=customXml/itemProps25.xml><?xml version="1.0" encoding="utf-8"?>
<ds:datastoreItem xmlns:ds="http://schemas.openxmlformats.org/officeDocument/2006/customXml" ds:itemID="{000D361F-1067-4537-B1A2-CCE5E7E2B7FB}">
  <ds:schemaRefs/>
</ds:datastoreItem>
</file>

<file path=customXml/itemProps26.xml><?xml version="1.0" encoding="utf-8"?>
<ds:datastoreItem xmlns:ds="http://schemas.openxmlformats.org/officeDocument/2006/customXml" ds:itemID="{0B012E6A-8740-4E30-B07A-95E978CD5D35}">
  <ds:schemaRefs/>
</ds:datastoreItem>
</file>

<file path=customXml/itemProps3.xml><?xml version="1.0" encoding="utf-8"?>
<ds:datastoreItem xmlns:ds="http://schemas.openxmlformats.org/officeDocument/2006/customXml" ds:itemID="{0AA772F2-707F-49E4-9624-28DFF2461D1E}">
  <ds:schemaRefs/>
</ds:datastoreItem>
</file>

<file path=customXml/itemProps4.xml><?xml version="1.0" encoding="utf-8"?>
<ds:datastoreItem xmlns:ds="http://schemas.openxmlformats.org/officeDocument/2006/customXml" ds:itemID="{230E19B8-3EE9-47A1-9A88-554E0C837828}">
  <ds:schemaRefs/>
</ds:datastoreItem>
</file>

<file path=customXml/itemProps5.xml><?xml version="1.0" encoding="utf-8"?>
<ds:datastoreItem xmlns:ds="http://schemas.openxmlformats.org/officeDocument/2006/customXml" ds:itemID="{F9B0D121-D2F2-475F-BCBD-DC5E1E8DB750}">
  <ds:schemaRefs/>
</ds:datastoreItem>
</file>

<file path=customXml/itemProps6.xml><?xml version="1.0" encoding="utf-8"?>
<ds:datastoreItem xmlns:ds="http://schemas.openxmlformats.org/officeDocument/2006/customXml" ds:itemID="{134C4C8B-775A-48C8-ADB8-364AA08B6DAD}">
  <ds:schemaRefs/>
</ds:datastoreItem>
</file>

<file path=customXml/itemProps7.xml><?xml version="1.0" encoding="utf-8"?>
<ds:datastoreItem xmlns:ds="http://schemas.openxmlformats.org/officeDocument/2006/customXml" ds:itemID="{8B28A121-48B7-4E85-8431-E6E5E7311C79}">
  <ds:schemaRefs/>
</ds:datastoreItem>
</file>

<file path=customXml/itemProps8.xml><?xml version="1.0" encoding="utf-8"?>
<ds:datastoreItem xmlns:ds="http://schemas.openxmlformats.org/officeDocument/2006/customXml" ds:itemID="{722B94C8-9B90-46A2-AAB4-CC6A48C8BFC5}">
  <ds:schemaRefs/>
</ds:datastoreItem>
</file>

<file path=customXml/itemProps9.xml><?xml version="1.0" encoding="utf-8"?>
<ds:datastoreItem xmlns:ds="http://schemas.openxmlformats.org/officeDocument/2006/customXml" ds:itemID="{38DB90F7-6749-4463-AF0D-F4F048421CE6}">
  <ds:schemaRefs/>
</ds:datastoreItem>
</file>

<file path=docProps/app.xml><?xml version="1.0" encoding="utf-8"?>
<Properties xmlns="http://schemas.openxmlformats.org/officeDocument/2006/extended-properties" xmlns:vt="http://schemas.openxmlformats.org/officeDocument/2006/docPropsVTypes">
  <Template>Normal.dotm</Template>
  <Company>www.window7.com</Company>
  <Pages>67</Pages>
  <Words>3938</Words>
  <Characters>22447</Characters>
  <Lines>187</Lines>
  <Paragraphs>52</Paragraphs>
  <TotalTime>1</TotalTime>
  <ScaleCrop>false</ScaleCrop>
  <LinksUpToDate>false</LinksUpToDate>
  <CharactersWithSpaces>26333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2022-06-23T07:51:00Z</dcterms:created>
  <dc:creator>Administrator</dc:creator>
  <cp:lastModifiedBy>Administrator</cp:lastModifiedBy>
  <dcterms:modified xsi:type="dcterms:W3CDTF">2023-08-31T02:53:17Z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963397F9B1914EC18BDCB9399CADEA36</vt:lpwstr>
  </property>
</Properties>
</file>