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38" w:name="_GoBack"/>
      <w:bookmarkEnd w:id="38"/>
      <w:bookmarkStart w:id="0" w:name="_Toc6988"/>
      <w:r>
        <w:rPr>
          <w:rFonts w:ascii="黑体" w:hAnsi="黑体" w:eastAsia="黑体" w:cs="黑体"/>
          <w:b/>
          <w:color w:val="000000"/>
          <w:sz w:val="44"/>
        </w:rPr>
        <w:t>2022年部门预算信息公开目录</w:t>
      </w:r>
      <w:bookmarkEnd w:id="0"/>
    </w:p>
    <w:p>
      <w:pPr>
        <w:jc w:val="center"/>
      </w:pPr>
    </w:p>
    <w:p>
      <w:pPr>
        <w:jc w:val="center"/>
      </w:pPr>
    </w:p>
    <w:p>
      <w:pPr>
        <w:pStyle w:val="38"/>
        <w:tabs>
          <w:tab w:val="right" w:leader="dot" w:pos="14562"/>
        </w:tabs>
        <w:ind w:firstLine="1209" w:firstLineChars="432"/>
        <w:rPr>
          <w:rFonts w:hint="eastAsia" w:cs="Times New Roman"/>
          <w:color w:val="000000"/>
        </w:rPr>
      </w:pPr>
      <w:r>
        <w:fldChar w:fldCharType="begin"/>
      </w:r>
      <w:r>
        <w:instrText xml:space="preserve">TOC \o "1-3" \h \u </w:instrText>
      </w:r>
      <w:r>
        <w:fldChar w:fldCharType="separate"/>
      </w:r>
      <w:r>
        <w:rPr>
          <w:rFonts w:hint="eastAsia" w:cs="Times New Roman"/>
          <w:b/>
          <w:bCs/>
          <w:color w:val="000000"/>
        </w:rPr>
        <w:fldChar w:fldCharType="begin"/>
      </w:r>
      <w:r>
        <w:rPr>
          <w:rFonts w:hint="eastAsia" w:cs="Times New Roman"/>
          <w:b/>
          <w:bCs/>
          <w:color w:val="000000"/>
        </w:rPr>
        <w:instrText xml:space="preserve"> HYPERLINK \l _Toc6988 </w:instrText>
      </w:r>
      <w:r>
        <w:rPr>
          <w:rFonts w:hint="eastAsia" w:cs="Times New Roman"/>
          <w:b/>
          <w:bCs/>
          <w:color w:val="000000"/>
        </w:rPr>
        <w:fldChar w:fldCharType="separate"/>
      </w:r>
      <w:r>
        <w:rPr>
          <w:rFonts w:hint="eastAsia" w:cs="Times New Roman"/>
          <w:b/>
          <w:bCs/>
          <w:color w:val="000000"/>
        </w:rPr>
        <w:t>2022年部门预算信息公开</w:t>
      </w:r>
      <w:r>
        <w:rPr>
          <w:rFonts w:hint="eastAsia" w:cs="Times New Roman"/>
          <w:b/>
          <w:bCs/>
          <w:color w:val="000000"/>
          <w:lang w:eastAsia="zh-CN"/>
        </w:rPr>
        <w:t>表</w:t>
      </w:r>
      <w:r>
        <w:rPr>
          <w:rFonts w:hint="eastAsia" w:cs="Times New Roman"/>
          <w:b/>
          <w:bCs/>
          <w:color w:val="000000"/>
        </w:rPr>
        <w:tab/>
      </w:r>
      <w:r>
        <w:rPr>
          <w:rFonts w:hint="eastAsia" w:cs="Times New Roman"/>
          <w:b/>
          <w:bCs/>
          <w:color w:val="000000"/>
          <w:lang w:val="en-US" w:eastAsia="zh-CN"/>
        </w:rPr>
        <w:t>3</w:t>
      </w:r>
      <w:r>
        <w:rPr>
          <w:rFonts w:hint="eastAsia" w:cs="Times New Roman"/>
          <w:b/>
          <w:bCs/>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_Toc1000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_Toc1000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_Toc26798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_Toc26798 </w:instrText>
      </w:r>
      <w:r>
        <w:rPr>
          <w:rFonts w:hint="eastAsia" w:cs="Times New Roman"/>
          <w:color w:val="000000"/>
        </w:rPr>
        <w:fldChar w:fldCharType="separate"/>
      </w:r>
      <w:r>
        <w:rPr>
          <w:rFonts w:hint="eastAsia" w:cs="Times New Roman"/>
          <w:color w:val="000000"/>
        </w:rPr>
        <w:t>5</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_Toc28093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_Toc28093 </w:instrText>
      </w:r>
      <w:r>
        <w:rPr>
          <w:rFonts w:hint="eastAsia" w:cs="Times New Roman"/>
          <w:color w:val="000000"/>
        </w:rPr>
        <w:fldChar w:fldCharType="separate"/>
      </w:r>
      <w:r>
        <w:rPr>
          <w:rFonts w:hint="eastAsia" w:cs="Times New Roman"/>
          <w:color w:val="000000"/>
        </w:rPr>
        <w:t>7</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_Toc22235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_Toc22235 </w:instrText>
      </w:r>
      <w:r>
        <w:rPr>
          <w:rFonts w:hint="eastAsia" w:cs="Times New Roman"/>
          <w:color w:val="000000"/>
        </w:rPr>
        <w:fldChar w:fldCharType="separate"/>
      </w:r>
      <w:r>
        <w:rPr>
          <w:rFonts w:hint="eastAsia" w:cs="Times New Roman"/>
          <w:color w:val="000000"/>
        </w:rPr>
        <w:t>8</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_Toc15186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_Toc15186 </w:instrText>
      </w:r>
      <w:r>
        <w:rPr>
          <w:rFonts w:hint="eastAsia" w:cs="Times New Roman"/>
          <w:color w:val="000000"/>
        </w:rPr>
        <w:fldChar w:fldCharType="separate"/>
      </w:r>
      <w:r>
        <w:rPr>
          <w:rFonts w:hint="eastAsia" w:cs="Times New Roman"/>
          <w:color w:val="000000"/>
        </w:rPr>
        <w:t>11</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_Toc21611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_Toc21611 </w:instrText>
      </w:r>
      <w:r>
        <w:rPr>
          <w:rFonts w:hint="eastAsia" w:cs="Times New Roman"/>
          <w:color w:val="000000"/>
        </w:rPr>
        <w:fldChar w:fldCharType="separate"/>
      </w:r>
      <w:r>
        <w:rPr>
          <w:rFonts w:hint="eastAsia" w:cs="Times New Roman"/>
          <w:color w:val="000000"/>
        </w:rPr>
        <w:t>12</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_Toc983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_Toc983 </w:instrText>
      </w:r>
      <w:r>
        <w:rPr>
          <w:rFonts w:hint="eastAsia" w:cs="Times New Roman"/>
          <w:color w:val="000000"/>
        </w:rPr>
        <w:fldChar w:fldCharType="separate"/>
      </w:r>
      <w:r>
        <w:rPr>
          <w:rFonts w:hint="eastAsia" w:cs="Times New Roman"/>
          <w:color w:val="000000"/>
        </w:rPr>
        <w:t>13</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_Toc23261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_Toc23261 </w:instrText>
      </w:r>
      <w:r>
        <w:rPr>
          <w:rFonts w:hint="eastAsia" w:cs="Times New Roman"/>
          <w:color w:val="000000"/>
        </w:rPr>
        <w:fldChar w:fldCharType="separate"/>
      </w:r>
      <w:r>
        <w:rPr>
          <w:rFonts w:hint="eastAsia" w:cs="Times New Roman"/>
          <w:color w:val="000000"/>
        </w:rPr>
        <w:t>14</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_Toc26006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_Toc26006 </w:instrText>
      </w:r>
      <w:r>
        <w:rPr>
          <w:rFonts w:hint="eastAsia" w:cs="Times New Roman"/>
          <w:color w:val="000000"/>
        </w:rPr>
        <w:fldChar w:fldCharType="separate"/>
      </w:r>
      <w:r>
        <w:rPr>
          <w:rFonts w:hint="eastAsia" w:cs="Times New Roman"/>
          <w:color w:val="000000"/>
        </w:rPr>
        <w:t>15</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214"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_Toc5881 </w:instrText>
      </w:r>
      <w:r>
        <w:rPr>
          <w:rFonts w:hint="eastAsia" w:cs="Times New Roman"/>
          <w:b/>
          <w:bCs/>
          <w:color w:val="000000"/>
        </w:rPr>
        <w:fldChar w:fldCharType="separate"/>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_Toc5881 </w:instrText>
      </w:r>
      <w:r>
        <w:rPr>
          <w:rFonts w:hint="eastAsia" w:cs="Times New Roman"/>
          <w:b/>
          <w:bCs/>
          <w:color w:val="000000"/>
        </w:rPr>
        <w:fldChar w:fldCharType="separate"/>
      </w:r>
      <w:r>
        <w:rPr>
          <w:rFonts w:hint="eastAsia" w:cs="Times New Roman"/>
          <w:b/>
          <w:bCs/>
          <w:color w:val="000000"/>
        </w:rPr>
        <w:t>15</w:t>
      </w:r>
      <w:r>
        <w:rPr>
          <w:rFonts w:hint="eastAsia" w:cs="Times New Roman"/>
          <w:b/>
          <w:bCs/>
          <w:color w:val="000000"/>
        </w:rPr>
        <w:fldChar w:fldCharType="end"/>
      </w:r>
      <w:r>
        <w:rPr>
          <w:rFonts w:hint="eastAsia" w:cs="Times New Roman"/>
          <w:b/>
          <w:bCs/>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_Toc19289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_Toc19289 </w:instrText>
      </w:r>
      <w:r>
        <w:rPr>
          <w:rFonts w:hint="eastAsia" w:cs="Times New Roman"/>
          <w:color w:val="000000"/>
        </w:rPr>
        <w:fldChar w:fldCharType="separate"/>
      </w:r>
      <w:r>
        <w:rPr>
          <w:rFonts w:hint="eastAsia" w:cs="Times New Roman"/>
          <w:color w:val="000000"/>
        </w:rPr>
        <w:t>16</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_Toc23826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_Toc23826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_Toc16905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_Toc16905 </w:instrText>
      </w:r>
      <w:r>
        <w:rPr>
          <w:rFonts w:hint="eastAsia" w:cs="Times New Roman"/>
          <w:color w:val="000000"/>
        </w:rPr>
        <w:fldChar w:fldCharType="separate"/>
      </w:r>
      <w:r>
        <w:rPr>
          <w:rFonts w:hint="eastAsia" w:cs="Times New Roman"/>
          <w:color w:val="000000"/>
        </w:rPr>
        <w:t>18</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_Toc4271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_Toc4271 </w:instrText>
      </w:r>
      <w:r>
        <w:rPr>
          <w:rFonts w:hint="eastAsia" w:cs="Times New Roman"/>
          <w:color w:val="000000"/>
        </w:rPr>
        <w:fldChar w:fldCharType="separate"/>
      </w:r>
      <w:r>
        <w:rPr>
          <w:rFonts w:hint="eastAsia" w:cs="Times New Roman"/>
          <w:color w:val="000000"/>
        </w:rPr>
        <w:t>18</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_Toc2128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_Toc2128 </w:instrText>
      </w:r>
      <w:r>
        <w:rPr>
          <w:rFonts w:hint="eastAsia" w:cs="Times New Roman"/>
          <w:color w:val="000000"/>
        </w:rPr>
        <w:fldChar w:fldCharType="separate"/>
      </w:r>
      <w:r>
        <w:rPr>
          <w:rFonts w:hint="eastAsia" w:cs="Times New Roman"/>
          <w:color w:val="000000"/>
        </w:rPr>
        <w:t>18</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_Toc8736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_Toc8736 </w:instrText>
      </w:r>
      <w:r>
        <w:rPr>
          <w:rFonts w:hint="eastAsia" w:cs="Times New Roman"/>
          <w:color w:val="000000"/>
        </w:rPr>
        <w:fldChar w:fldCharType="separate"/>
      </w:r>
      <w:r>
        <w:rPr>
          <w:rFonts w:hint="eastAsia" w:cs="Times New Roman"/>
          <w:color w:val="000000"/>
        </w:rPr>
        <w:t>26</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_Toc4166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_Toc4166 </w:instrText>
      </w:r>
      <w:r>
        <w:rPr>
          <w:rFonts w:hint="eastAsia" w:cs="Times New Roman"/>
          <w:color w:val="000000"/>
        </w:rPr>
        <w:fldChar w:fldCharType="separate"/>
      </w:r>
      <w:r>
        <w:rPr>
          <w:rFonts w:hint="eastAsia" w:cs="Times New Roman"/>
          <w:color w:val="000000"/>
        </w:rPr>
        <w:t>26</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_Toc6660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_Toc6660 </w:instrText>
      </w:r>
      <w:r>
        <w:rPr>
          <w:rFonts w:hint="eastAsia" w:cs="Times New Roman"/>
          <w:color w:val="000000"/>
        </w:rPr>
        <w:fldChar w:fldCharType="separate"/>
      </w:r>
      <w:r>
        <w:rPr>
          <w:rFonts w:hint="eastAsia" w:cs="Times New Roman"/>
          <w:color w:val="000000"/>
        </w:rPr>
        <w:t>27</w:t>
      </w:r>
      <w:r>
        <w:rPr>
          <w:rFonts w:hint="eastAsia" w:cs="Times New Roman"/>
          <w:color w:val="000000"/>
        </w:rPr>
        <w:fldChar w:fldCharType="end"/>
      </w:r>
      <w:r>
        <w:rPr>
          <w:rFonts w:hint="eastAsia" w:cs="Times New Roman"/>
          <w:color w:val="000000"/>
        </w:rPr>
        <w:fldChar w:fldCharType="end"/>
      </w:r>
    </w:p>
    <w:p>
      <w:pPr>
        <w:pStyle w:val="38"/>
        <w:tabs>
          <w:tab w:val="right" w:leader="dot" w:pos="14562"/>
        </w:tabs>
        <w:ind w:firstLine="1769" w:firstLineChars="632"/>
      </w:pPr>
      <w:r>
        <w:rPr>
          <w:rFonts w:hint="eastAsia" w:cs="Times New Roman"/>
          <w:color w:val="000000"/>
        </w:rPr>
        <w:fldChar w:fldCharType="begin"/>
      </w:r>
      <w:r>
        <w:rPr>
          <w:rFonts w:hint="eastAsia" w:cs="Times New Roman"/>
          <w:color w:val="000000"/>
        </w:rPr>
        <w:instrText xml:space="preserve"> HYPERLINK \l _Toc11111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_Toc11111 </w:instrText>
      </w:r>
      <w:r>
        <w:rPr>
          <w:rFonts w:hint="eastAsia" w:cs="Times New Roman"/>
          <w:color w:val="000000"/>
        </w:rPr>
        <w:fldChar w:fldCharType="separate"/>
      </w:r>
      <w:r>
        <w:rPr>
          <w:rFonts w:hint="eastAsia" w:cs="Times New Roman"/>
          <w:color w:val="000000"/>
        </w:rPr>
        <w:t>28</w:t>
      </w:r>
      <w:r>
        <w:rPr>
          <w:rFonts w:hint="eastAsia" w:cs="Times New Roman"/>
          <w:color w:val="000000"/>
        </w:rPr>
        <w:fldChar w:fldCharType="end"/>
      </w:r>
      <w:r>
        <w:rPr>
          <w:rFonts w:hint="eastAsia" w:cs="Times New Roman"/>
          <w:color w:val="000000"/>
        </w:rPr>
        <w:fldChar w:fldCharType="end"/>
      </w:r>
    </w:p>
    <w:p>
      <w:r>
        <w:fldChar w:fldCharType="end"/>
      </w:r>
    </w:p>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rPr>
          <w:rFonts w:hint="eastAsia" w:ascii="方正小标宋_GBK" w:hAnsi="方正小标宋_GBK" w:eastAsia="方正小标宋_GBK" w:cs="方正小标宋_GBK"/>
          <w:sz w:val="36"/>
          <w:szCs w:val="36"/>
          <w:lang w:val="en-US" w:eastAsia="zh-CN"/>
        </w:rPr>
      </w:pPr>
      <w:r>
        <w:rPr>
          <w:rFonts w:hint="eastAsia" w:ascii="方正小标宋_GBK" w:hAnsi="方正小标宋_GBK" w:eastAsia="方正小标宋_GBK" w:cs="方正小标宋_GBK"/>
          <w:sz w:val="36"/>
          <w:szCs w:val="36"/>
          <w:lang w:val="en-US" w:eastAsia="zh-CN"/>
        </w:rPr>
        <w:t>2022年部门预算信息公开表</w:t>
      </w:r>
    </w:p>
    <w:p>
      <w:pPr>
        <w:jc w:val="center"/>
      </w:pPr>
    </w:p>
    <w:p>
      <w:pPr>
        <w:jc w:val="center"/>
        <w:outlineLvl w:val="1"/>
        <w:rPr>
          <w:rFonts w:hint="eastAsia" w:ascii="方正小标宋_GBK" w:hAnsi="方正小标宋_GBK" w:eastAsia="方正小标宋_GBK" w:cs="方正小标宋_GBK"/>
          <w:b w:val="0"/>
          <w:bCs w:val="0"/>
        </w:rPr>
      </w:pPr>
      <w:bookmarkStart w:id="1" w:name="_Toc1000"/>
      <w:bookmarkStart w:id="2" w:name="_Toc_2_2_0000000001"/>
      <w:r>
        <w:rPr>
          <w:rFonts w:hint="eastAsia" w:ascii="方正小标宋_GBK" w:hAnsi="方正小标宋_GBK" w:eastAsia="方正小标宋_GBK" w:cs="方正小标宋_GBK"/>
          <w:b w:val="0"/>
          <w:bCs w:val="0"/>
          <w:color w:val="000000"/>
          <w:sz w:val="36"/>
        </w:rPr>
        <w:t>部门预算收支总表</w:t>
      </w:r>
      <w:bookmarkEnd w:id="1"/>
      <w:bookmarkEnd w:id="2"/>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2"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6"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6" w:type="dxa"/>
            <w:vAlign w:val="center"/>
          </w:tcPr>
          <w:p>
            <w:pPr>
              <w:pStyle w:val="15"/>
            </w:pPr>
            <w:r>
              <w:t>一、一般公共预算拨款收入</w:t>
            </w:r>
          </w:p>
        </w:tc>
        <w:tc>
          <w:tcPr>
            <w:tcW w:w="2126" w:type="dxa"/>
            <w:vAlign w:val="center"/>
          </w:tcPr>
          <w:p>
            <w:pPr>
              <w:pStyle w:val="14"/>
            </w:pPr>
            <w:r>
              <w:t>367.70</w:t>
            </w:r>
          </w:p>
        </w:tc>
        <w:tc>
          <w:tcPr>
            <w:tcW w:w="4535" w:type="dxa"/>
            <w:vAlign w:val="center"/>
          </w:tcPr>
          <w:p>
            <w:pPr>
              <w:pStyle w:val="15"/>
            </w:pPr>
            <w:r>
              <w:t>一、一般公共服务支出</w:t>
            </w:r>
          </w:p>
        </w:tc>
        <w:tc>
          <w:tcPr>
            <w:tcW w:w="2126" w:type="dxa"/>
            <w:vAlign w:val="center"/>
          </w:tcPr>
          <w:p>
            <w:pPr>
              <w:pStyle w:val="14"/>
            </w:pPr>
            <w:r>
              <w:t>147.50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6"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6"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6"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6"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6"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6"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6"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6"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6" w:type="dxa"/>
            <w:vAlign w:val="center"/>
          </w:tcPr>
          <w:p>
            <w:pPr>
              <w:pStyle w:val="17"/>
            </w:pPr>
            <w:r>
              <w:t>本年收入合计</w:t>
            </w:r>
          </w:p>
        </w:tc>
        <w:tc>
          <w:tcPr>
            <w:tcW w:w="2126" w:type="dxa"/>
            <w:vAlign w:val="center"/>
          </w:tcPr>
          <w:p>
            <w:pPr>
              <w:pStyle w:val="18"/>
            </w:pPr>
            <w:r>
              <w:t>367.70</w:t>
            </w:r>
          </w:p>
        </w:tc>
        <w:tc>
          <w:tcPr>
            <w:tcW w:w="4535" w:type="dxa"/>
            <w:vAlign w:val="center"/>
          </w:tcPr>
          <w:p>
            <w:pPr>
              <w:pStyle w:val="17"/>
            </w:pPr>
            <w:r>
              <w:t>本年支出合计</w:t>
            </w:r>
          </w:p>
        </w:tc>
        <w:tc>
          <w:tcPr>
            <w:tcW w:w="2126" w:type="dxa"/>
            <w:vAlign w:val="center"/>
          </w:tcPr>
          <w:p>
            <w:pPr>
              <w:pStyle w:val="18"/>
            </w:pPr>
            <w:r>
              <w:t>367.70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6"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6" w:type="dxa"/>
            <w:vAlign w:val="center"/>
          </w:tcPr>
          <w:p>
            <w:pPr>
              <w:pStyle w:val="17"/>
            </w:pPr>
            <w:r>
              <w:t>收入总计</w:t>
            </w:r>
          </w:p>
        </w:tc>
        <w:tc>
          <w:tcPr>
            <w:tcW w:w="2126" w:type="dxa"/>
            <w:vAlign w:val="center"/>
          </w:tcPr>
          <w:p>
            <w:pPr>
              <w:pStyle w:val="18"/>
            </w:pPr>
            <w:r>
              <w:t>367.70</w:t>
            </w:r>
          </w:p>
        </w:tc>
        <w:tc>
          <w:tcPr>
            <w:tcW w:w="4535" w:type="dxa"/>
            <w:vAlign w:val="center"/>
          </w:tcPr>
          <w:p>
            <w:pPr>
              <w:pStyle w:val="17"/>
            </w:pPr>
            <w:r>
              <w:t>支出总计</w:t>
            </w:r>
          </w:p>
        </w:tc>
        <w:tc>
          <w:tcPr>
            <w:tcW w:w="2126" w:type="dxa"/>
            <w:vAlign w:val="center"/>
          </w:tcPr>
          <w:p>
            <w:pPr>
              <w:pStyle w:val="18"/>
            </w:pPr>
            <w:r>
              <w:t>367.70</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1"/>
      </w:pPr>
      <w:bookmarkStart w:id="3" w:name="_Toc26798"/>
      <w:bookmarkStart w:id="4" w:name="_Toc_2_2_0000000002"/>
      <w:r>
        <w:rPr>
          <w:rFonts w:ascii="方正小标宋_GBK" w:hAnsi="方正小标宋_GBK" w:eastAsia="方正小标宋_GBK" w:cs="方正小标宋_GBK"/>
          <w:color w:val="000000"/>
          <w:sz w:val="36"/>
        </w:rPr>
        <w:t>部门预算收入总表</w:t>
      </w:r>
      <w:bookmarkEnd w:id="3"/>
      <w:bookmarkEnd w:id="4"/>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367.70</w:t>
            </w:r>
          </w:p>
        </w:tc>
        <w:tc>
          <w:tcPr>
            <w:tcW w:w="1134" w:type="dxa"/>
            <w:vAlign w:val="center"/>
          </w:tcPr>
          <w:p>
            <w:pPr>
              <w:pStyle w:val="18"/>
            </w:pPr>
            <w:r>
              <w:t>367.70</w:t>
            </w:r>
          </w:p>
        </w:tc>
        <w:tc>
          <w:tcPr>
            <w:tcW w:w="1134" w:type="dxa"/>
            <w:vAlign w:val="center"/>
          </w:tcPr>
          <w:p>
            <w:pPr>
              <w:pStyle w:val="18"/>
            </w:pPr>
            <w:r>
              <w:t>367.70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147.50</w:t>
            </w:r>
          </w:p>
        </w:tc>
        <w:tc>
          <w:tcPr>
            <w:tcW w:w="1134" w:type="dxa"/>
            <w:vAlign w:val="center"/>
          </w:tcPr>
          <w:p>
            <w:pPr>
              <w:pStyle w:val="14"/>
            </w:pPr>
            <w:r>
              <w:t>147.50</w:t>
            </w:r>
          </w:p>
        </w:tc>
        <w:tc>
          <w:tcPr>
            <w:tcW w:w="1134" w:type="dxa"/>
            <w:vAlign w:val="center"/>
          </w:tcPr>
          <w:p>
            <w:pPr>
              <w:pStyle w:val="14"/>
            </w:pPr>
            <w:r>
              <w:t>147.50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20136</w:t>
            </w:r>
          </w:p>
        </w:tc>
        <w:tc>
          <w:tcPr>
            <w:tcW w:w="1559" w:type="dxa"/>
            <w:vAlign w:val="center"/>
          </w:tcPr>
          <w:p>
            <w:pPr>
              <w:pStyle w:val="15"/>
            </w:pPr>
            <w:r>
              <w:t>其他共产党事务支出</w:t>
            </w:r>
          </w:p>
        </w:tc>
        <w:tc>
          <w:tcPr>
            <w:tcW w:w="1134" w:type="dxa"/>
            <w:vAlign w:val="center"/>
          </w:tcPr>
          <w:p>
            <w:pPr>
              <w:pStyle w:val="14"/>
            </w:pPr>
            <w:r>
              <w:t>147.50</w:t>
            </w:r>
          </w:p>
        </w:tc>
        <w:tc>
          <w:tcPr>
            <w:tcW w:w="1134" w:type="dxa"/>
            <w:vAlign w:val="center"/>
          </w:tcPr>
          <w:p>
            <w:pPr>
              <w:pStyle w:val="14"/>
            </w:pPr>
            <w:r>
              <w:t>147.50</w:t>
            </w:r>
          </w:p>
        </w:tc>
        <w:tc>
          <w:tcPr>
            <w:tcW w:w="1134" w:type="dxa"/>
            <w:vAlign w:val="center"/>
          </w:tcPr>
          <w:p>
            <w:pPr>
              <w:pStyle w:val="14"/>
            </w:pPr>
            <w:r>
              <w:t>147.50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2013601</w:t>
            </w:r>
          </w:p>
        </w:tc>
        <w:tc>
          <w:tcPr>
            <w:tcW w:w="1559" w:type="dxa"/>
            <w:vAlign w:val="center"/>
          </w:tcPr>
          <w:p>
            <w:pPr>
              <w:pStyle w:val="15"/>
            </w:pPr>
            <w:r>
              <w:t>行政运行</w:t>
            </w:r>
          </w:p>
        </w:tc>
        <w:tc>
          <w:tcPr>
            <w:tcW w:w="1134" w:type="dxa"/>
            <w:vAlign w:val="center"/>
          </w:tcPr>
          <w:p>
            <w:pPr>
              <w:pStyle w:val="14"/>
            </w:pPr>
            <w:r>
              <w:t>147.50</w:t>
            </w:r>
          </w:p>
        </w:tc>
        <w:tc>
          <w:tcPr>
            <w:tcW w:w="1134" w:type="dxa"/>
            <w:vAlign w:val="center"/>
          </w:tcPr>
          <w:p>
            <w:pPr>
              <w:pStyle w:val="14"/>
            </w:pPr>
            <w:r>
              <w:t>147.50</w:t>
            </w:r>
          </w:p>
        </w:tc>
        <w:tc>
          <w:tcPr>
            <w:tcW w:w="1134" w:type="dxa"/>
            <w:vAlign w:val="center"/>
          </w:tcPr>
          <w:p>
            <w:pPr>
              <w:pStyle w:val="14"/>
            </w:pPr>
            <w:r>
              <w:t>147.50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214.40</w:t>
            </w:r>
          </w:p>
        </w:tc>
        <w:tc>
          <w:tcPr>
            <w:tcW w:w="1134" w:type="dxa"/>
            <w:vAlign w:val="center"/>
          </w:tcPr>
          <w:p>
            <w:pPr>
              <w:pStyle w:val="14"/>
            </w:pPr>
            <w:r>
              <w:t>214.40</w:t>
            </w:r>
          </w:p>
        </w:tc>
        <w:tc>
          <w:tcPr>
            <w:tcW w:w="1134" w:type="dxa"/>
            <w:vAlign w:val="center"/>
          </w:tcPr>
          <w:p>
            <w:pPr>
              <w:pStyle w:val="14"/>
            </w:pPr>
            <w:r>
              <w:t>214.40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214.40</w:t>
            </w:r>
          </w:p>
        </w:tc>
        <w:tc>
          <w:tcPr>
            <w:tcW w:w="1134" w:type="dxa"/>
            <w:vAlign w:val="center"/>
          </w:tcPr>
          <w:p>
            <w:pPr>
              <w:pStyle w:val="14"/>
            </w:pPr>
            <w:r>
              <w:t>214.40</w:t>
            </w:r>
          </w:p>
        </w:tc>
        <w:tc>
          <w:tcPr>
            <w:tcW w:w="1134" w:type="dxa"/>
            <w:vAlign w:val="center"/>
          </w:tcPr>
          <w:p>
            <w:pPr>
              <w:pStyle w:val="14"/>
            </w:pPr>
            <w:r>
              <w:t>214.40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104.40</w:t>
            </w:r>
          </w:p>
        </w:tc>
        <w:tc>
          <w:tcPr>
            <w:tcW w:w="1134" w:type="dxa"/>
            <w:vAlign w:val="center"/>
          </w:tcPr>
          <w:p>
            <w:pPr>
              <w:pStyle w:val="14"/>
            </w:pPr>
            <w:r>
              <w:t>104.40</w:t>
            </w:r>
          </w:p>
        </w:tc>
        <w:tc>
          <w:tcPr>
            <w:tcW w:w="1134" w:type="dxa"/>
            <w:vAlign w:val="center"/>
          </w:tcPr>
          <w:p>
            <w:pPr>
              <w:pStyle w:val="14"/>
            </w:pPr>
            <w:r>
              <w:t>104.40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2080503</w:t>
            </w:r>
          </w:p>
        </w:tc>
        <w:tc>
          <w:tcPr>
            <w:tcW w:w="1559" w:type="dxa"/>
            <w:vAlign w:val="center"/>
          </w:tcPr>
          <w:p>
            <w:pPr>
              <w:pStyle w:val="15"/>
            </w:pPr>
            <w:r>
              <w:t>离退休人员管理机构</w:t>
            </w:r>
          </w:p>
        </w:tc>
        <w:tc>
          <w:tcPr>
            <w:tcW w:w="1134" w:type="dxa"/>
            <w:vAlign w:val="center"/>
          </w:tcPr>
          <w:p>
            <w:pPr>
              <w:pStyle w:val="14"/>
            </w:pPr>
            <w:r>
              <w:t>98.00</w:t>
            </w:r>
          </w:p>
        </w:tc>
        <w:tc>
          <w:tcPr>
            <w:tcW w:w="1134" w:type="dxa"/>
            <w:vAlign w:val="center"/>
          </w:tcPr>
          <w:p>
            <w:pPr>
              <w:pStyle w:val="14"/>
            </w:pPr>
            <w:r>
              <w:t>98.00</w:t>
            </w:r>
          </w:p>
        </w:tc>
        <w:tc>
          <w:tcPr>
            <w:tcW w:w="1134" w:type="dxa"/>
            <w:vAlign w:val="center"/>
          </w:tcPr>
          <w:p>
            <w:pPr>
              <w:pStyle w:val="14"/>
            </w:pPr>
            <w:r>
              <w:t>98.00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28093"/>
      <w:bookmarkStart w:id="6" w:name="_Toc_2_2_0000000003"/>
      <w:r>
        <w:rPr>
          <w:rFonts w:ascii="方正小标宋_GBK" w:hAnsi="方正小标宋_GBK" w:eastAsia="方正小标宋_GBK" w:cs="方正小标宋_GBK"/>
          <w:color w:val="000000"/>
          <w:sz w:val="36"/>
        </w:rPr>
        <w:t>部门预算支出总表</w:t>
      </w:r>
      <w:bookmarkEnd w:id="5"/>
      <w:bookmarkEnd w:id="6"/>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6"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6"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6" w:type="dxa"/>
            <w:vAlign w:val="center"/>
          </w:tcPr>
          <w:p>
            <w:pPr>
              <w:pStyle w:val="17"/>
            </w:pPr>
            <w:r>
              <w:t>合计</w:t>
            </w:r>
          </w:p>
        </w:tc>
        <w:tc>
          <w:tcPr>
            <w:tcW w:w="1361" w:type="dxa"/>
            <w:vAlign w:val="center"/>
          </w:tcPr>
          <w:p>
            <w:pPr>
              <w:pStyle w:val="18"/>
            </w:pPr>
            <w:r>
              <w:t>367.70</w:t>
            </w:r>
          </w:p>
        </w:tc>
        <w:tc>
          <w:tcPr>
            <w:tcW w:w="1361" w:type="dxa"/>
            <w:vAlign w:val="center"/>
          </w:tcPr>
          <w:p>
            <w:pPr>
              <w:pStyle w:val="18"/>
            </w:pPr>
            <w:r>
              <w:t>269.70</w:t>
            </w:r>
          </w:p>
        </w:tc>
        <w:tc>
          <w:tcPr>
            <w:tcW w:w="1361" w:type="dxa"/>
            <w:vAlign w:val="center"/>
          </w:tcPr>
          <w:p>
            <w:pPr>
              <w:pStyle w:val="18"/>
            </w:pPr>
            <w:r>
              <w:t>98.00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6" w:type="dxa"/>
            <w:vAlign w:val="center"/>
          </w:tcPr>
          <w:p>
            <w:pPr>
              <w:pStyle w:val="15"/>
            </w:pPr>
            <w:r>
              <w:t>一般公共服务支出</w:t>
            </w:r>
          </w:p>
        </w:tc>
        <w:tc>
          <w:tcPr>
            <w:tcW w:w="1361" w:type="dxa"/>
            <w:vAlign w:val="center"/>
          </w:tcPr>
          <w:p>
            <w:pPr>
              <w:pStyle w:val="14"/>
            </w:pPr>
            <w:r>
              <w:t>147.50</w:t>
            </w:r>
          </w:p>
        </w:tc>
        <w:tc>
          <w:tcPr>
            <w:tcW w:w="1361" w:type="dxa"/>
            <w:vAlign w:val="center"/>
          </w:tcPr>
          <w:p>
            <w:pPr>
              <w:pStyle w:val="14"/>
            </w:pPr>
            <w:r>
              <w:t>147.50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20136</w:t>
            </w:r>
          </w:p>
        </w:tc>
        <w:tc>
          <w:tcPr>
            <w:tcW w:w="4536" w:type="dxa"/>
            <w:vAlign w:val="center"/>
          </w:tcPr>
          <w:p>
            <w:pPr>
              <w:pStyle w:val="15"/>
            </w:pPr>
            <w:r>
              <w:t>其他共产党事务支出</w:t>
            </w:r>
          </w:p>
        </w:tc>
        <w:tc>
          <w:tcPr>
            <w:tcW w:w="1361" w:type="dxa"/>
            <w:vAlign w:val="center"/>
          </w:tcPr>
          <w:p>
            <w:pPr>
              <w:pStyle w:val="14"/>
            </w:pPr>
            <w:r>
              <w:t>147.50</w:t>
            </w:r>
          </w:p>
        </w:tc>
        <w:tc>
          <w:tcPr>
            <w:tcW w:w="1361" w:type="dxa"/>
            <w:vAlign w:val="center"/>
          </w:tcPr>
          <w:p>
            <w:pPr>
              <w:pStyle w:val="14"/>
            </w:pPr>
            <w:r>
              <w:t>147.50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2013601</w:t>
            </w:r>
          </w:p>
        </w:tc>
        <w:tc>
          <w:tcPr>
            <w:tcW w:w="4536" w:type="dxa"/>
            <w:vAlign w:val="center"/>
          </w:tcPr>
          <w:p>
            <w:pPr>
              <w:pStyle w:val="15"/>
            </w:pPr>
            <w:r>
              <w:t>行政运行</w:t>
            </w:r>
          </w:p>
        </w:tc>
        <w:tc>
          <w:tcPr>
            <w:tcW w:w="1361" w:type="dxa"/>
            <w:vAlign w:val="center"/>
          </w:tcPr>
          <w:p>
            <w:pPr>
              <w:pStyle w:val="14"/>
            </w:pPr>
            <w:r>
              <w:t>147.50</w:t>
            </w:r>
          </w:p>
        </w:tc>
        <w:tc>
          <w:tcPr>
            <w:tcW w:w="1361" w:type="dxa"/>
            <w:vAlign w:val="center"/>
          </w:tcPr>
          <w:p>
            <w:pPr>
              <w:pStyle w:val="14"/>
            </w:pPr>
            <w:r>
              <w:t>147.50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w:t>
            </w:r>
          </w:p>
        </w:tc>
        <w:tc>
          <w:tcPr>
            <w:tcW w:w="4536" w:type="dxa"/>
            <w:vAlign w:val="center"/>
          </w:tcPr>
          <w:p>
            <w:pPr>
              <w:pStyle w:val="15"/>
            </w:pPr>
            <w:r>
              <w:t>社会保障和就业支出</w:t>
            </w:r>
          </w:p>
        </w:tc>
        <w:tc>
          <w:tcPr>
            <w:tcW w:w="1361" w:type="dxa"/>
            <w:vAlign w:val="center"/>
          </w:tcPr>
          <w:p>
            <w:pPr>
              <w:pStyle w:val="14"/>
            </w:pPr>
            <w:r>
              <w:t>214.40</w:t>
            </w:r>
          </w:p>
        </w:tc>
        <w:tc>
          <w:tcPr>
            <w:tcW w:w="1361" w:type="dxa"/>
            <w:vAlign w:val="center"/>
          </w:tcPr>
          <w:p>
            <w:pPr>
              <w:pStyle w:val="14"/>
            </w:pPr>
            <w:r>
              <w:t>116.40</w:t>
            </w:r>
          </w:p>
        </w:tc>
        <w:tc>
          <w:tcPr>
            <w:tcW w:w="1361" w:type="dxa"/>
            <w:vAlign w:val="center"/>
          </w:tcPr>
          <w:p>
            <w:pPr>
              <w:pStyle w:val="14"/>
            </w:pPr>
            <w:r>
              <w:t>98.00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20805</w:t>
            </w:r>
          </w:p>
        </w:tc>
        <w:tc>
          <w:tcPr>
            <w:tcW w:w="4536" w:type="dxa"/>
            <w:vAlign w:val="center"/>
          </w:tcPr>
          <w:p>
            <w:pPr>
              <w:pStyle w:val="15"/>
            </w:pPr>
            <w:r>
              <w:t>行政事业单位养老支出</w:t>
            </w:r>
          </w:p>
        </w:tc>
        <w:tc>
          <w:tcPr>
            <w:tcW w:w="1361" w:type="dxa"/>
            <w:vAlign w:val="center"/>
          </w:tcPr>
          <w:p>
            <w:pPr>
              <w:pStyle w:val="14"/>
            </w:pPr>
            <w:r>
              <w:t>214.40</w:t>
            </w:r>
          </w:p>
        </w:tc>
        <w:tc>
          <w:tcPr>
            <w:tcW w:w="1361" w:type="dxa"/>
            <w:vAlign w:val="center"/>
          </w:tcPr>
          <w:p>
            <w:pPr>
              <w:pStyle w:val="14"/>
            </w:pPr>
            <w:r>
              <w:t>116.40</w:t>
            </w:r>
          </w:p>
        </w:tc>
        <w:tc>
          <w:tcPr>
            <w:tcW w:w="1361" w:type="dxa"/>
            <w:vAlign w:val="center"/>
          </w:tcPr>
          <w:p>
            <w:pPr>
              <w:pStyle w:val="14"/>
            </w:pPr>
            <w:r>
              <w:t>98.00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2080501</w:t>
            </w:r>
          </w:p>
        </w:tc>
        <w:tc>
          <w:tcPr>
            <w:tcW w:w="4536" w:type="dxa"/>
            <w:vAlign w:val="center"/>
          </w:tcPr>
          <w:p>
            <w:pPr>
              <w:pStyle w:val="15"/>
            </w:pPr>
            <w:r>
              <w:t>行政单位离退休</w:t>
            </w:r>
          </w:p>
        </w:tc>
        <w:tc>
          <w:tcPr>
            <w:tcW w:w="1361" w:type="dxa"/>
            <w:vAlign w:val="center"/>
          </w:tcPr>
          <w:p>
            <w:pPr>
              <w:pStyle w:val="14"/>
            </w:pPr>
            <w:r>
              <w:t>104.40</w:t>
            </w:r>
          </w:p>
        </w:tc>
        <w:tc>
          <w:tcPr>
            <w:tcW w:w="1361" w:type="dxa"/>
            <w:vAlign w:val="center"/>
          </w:tcPr>
          <w:p>
            <w:pPr>
              <w:pStyle w:val="14"/>
            </w:pPr>
            <w:r>
              <w:t>104.40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2080503</w:t>
            </w:r>
          </w:p>
        </w:tc>
        <w:tc>
          <w:tcPr>
            <w:tcW w:w="4536" w:type="dxa"/>
            <w:vAlign w:val="center"/>
          </w:tcPr>
          <w:p>
            <w:pPr>
              <w:pStyle w:val="15"/>
            </w:pPr>
            <w:r>
              <w:t>离退休人员管理机构</w:t>
            </w:r>
          </w:p>
        </w:tc>
        <w:tc>
          <w:tcPr>
            <w:tcW w:w="1361" w:type="dxa"/>
            <w:vAlign w:val="center"/>
          </w:tcPr>
          <w:p>
            <w:pPr>
              <w:pStyle w:val="14"/>
            </w:pPr>
            <w:r>
              <w:t>98.00</w:t>
            </w:r>
          </w:p>
        </w:tc>
        <w:tc>
          <w:tcPr>
            <w:tcW w:w="1361" w:type="dxa"/>
            <w:vAlign w:val="center"/>
          </w:tcPr>
          <w:p>
            <w:pPr>
              <w:pStyle w:val="14"/>
            </w:pPr>
          </w:p>
        </w:tc>
        <w:tc>
          <w:tcPr>
            <w:tcW w:w="1361" w:type="dxa"/>
            <w:vAlign w:val="center"/>
          </w:tcPr>
          <w:p>
            <w:pPr>
              <w:pStyle w:val="14"/>
            </w:pPr>
            <w:r>
              <w:t>98.00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2080505</w:t>
            </w:r>
          </w:p>
        </w:tc>
        <w:tc>
          <w:tcPr>
            <w:tcW w:w="4536" w:type="dxa"/>
            <w:vAlign w:val="center"/>
          </w:tcPr>
          <w:p>
            <w:pPr>
              <w:pStyle w:val="15"/>
            </w:pPr>
            <w:r>
              <w:t>机关事业单位基本养老保险缴费支出</w:t>
            </w:r>
          </w:p>
        </w:tc>
        <w:tc>
          <w:tcPr>
            <w:tcW w:w="1361" w:type="dxa"/>
            <w:vAlign w:val="center"/>
          </w:tcPr>
          <w:p>
            <w:pPr>
              <w:pStyle w:val="14"/>
            </w:pPr>
            <w:r>
              <w:t>12.00</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w:t>
            </w:r>
          </w:p>
        </w:tc>
        <w:tc>
          <w:tcPr>
            <w:tcW w:w="4536" w:type="dxa"/>
            <w:vAlign w:val="center"/>
          </w:tcPr>
          <w:p>
            <w:pPr>
              <w:pStyle w:val="15"/>
            </w:pPr>
            <w:r>
              <w:t>卫生健康支出</w:t>
            </w:r>
          </w:p>
        </w:tc>
        <w:tc>
          <w:tcPr>
            <w:tcW w:w="1361" w:type="dxa"/>
            <w:vAlign w:val="center"/>
          </w:tcPr>
          <w:p>
            <w:pPr>
              <w:pStyle w:val="14"/>
            </w:pPr>
            <w:r>
              <w:t>5.80</w:t>
            </w: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21011</w:t>
            </w:r>
          </w:p>
        </w:tc>
        <w:tc>
          <w:tcPr>
            <w:tcW w:w="4536" w:type="dxa"/>
            <w:vAlign w:val="center"/>
          </w:tcPr>
          <w:p>
            <w:pPr>
              <w:pStyle w:val="15"/>
            </w:pPr>
            <w:r>
              <w:t>行政事业单位医疗</w:t>
            </w:r>
          </w:p>
        </w:tc>
        <w:tc>
          <w:tcPr>
            <w:tcW w:w="1361" w:type="dxa"/>
            <w:vAlign w:val="center"/>
          </w:tcPr>
          <w:p>
            <w:pPr>
              <w:pStyle w:val="14"/>
            </w:pPr>
            <w:r>
              <w:t>5.80</w:t>
            </w: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2101101</w:t>
            </w:r>
          </w:p>
        </w:tc>
        <w:tc>
          <w:tcPr>
            <w:tcW w:w="4536" w:type="dxa"/>
            <w:vAlign w:val="center"/>
          </w:tcPr>
          <w:p>
            <w:pPr>
              <w:pStyle w:val="15"/>
            </w:pPr>
            <w:r>
              <w:t>行政单位医疗</w:t>
            </w:r>
          </w:p>
        </w:tc>
        <w:tc>
          <w:tcPr>
            <w:tcW w:w="1361" w:type="dxa"/>
            <w:vAlign w:val="center"/>
          </w:tcPr>
          <w:p>
            <w:pPr>
              <w:pStyle w:val="14"/>
            </w:pPr>
            <w:r>
              <w:t>5.80</w:t>
            </w: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7" w:name="_Toc22235"/>
      <w:bookmarkStart w:id="8" w:name="_Toc_2_2_0000000004"/>
      <w:r>
        <w:rPr>
          <w:rFonts w:ascii="方正小标宋_GBK" w:hAnsi="方正小标宋_GBK" w:eastAsia="方正小标宋_GBK" w:cs="方正小标宋_GBK"/>
          <w:color w:val="000000"/>
          <w:sz w:val="36"/>
        </w:rPr>
        <w:t>部门预算财政拨款收支总表</w:t>
      </w:r>
      <w:bookmarkEnd w:id="7"/>
      <w:bookmarkEnd w:id="8"/>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367.70</w:t>
            </w:r>
          </w:p>
        </w:tc>
        <w:tc>
          <w:tcPr>
            <w:tcW w:w="3402" w:type="dxa"/>
            <w:vAlign w:val="center"/>
          </w:tcPr>
          <w:p>
            <w:pPr>
              <w:pStyle w:val="15"/>
            </w:pPr>
            <w:r>
              <w:t>一、一般公共服务支出</w:t>
            </w:r>
          </w:p>
        </w:tc>
        <w:tc>
          <w:tcPr>
            <w:tcW w:w="1474" w:type="dxa"/>
            <w:vAlign w:val="center"/>
          </w:tcPr>
          <w:p>
            <w:pPr>
              <w:pStyle w:val="14"/>
            </w:pPr>
            <w:r>
              <w:t>147.50</w:t>
            </w:r>
          </w:p>
        </w:tc>
        <w:tc>
          <w:tcPr>
            <w:tcW w:w="1474" w:type="dxa"/>
            <w:vAlign w:val="center"/>
          </w:tcPr>
          <w:p>
            <w:pPr>
              <w:pStyle w:val="14"/>
            </w:pPr>
            <w:r>
              <w:t>147.50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214.40</w:t>
            </w:r>
          </w:p>
        </w:tc>
        <w:tc>
          <w:tcPr>
            <w:tcW w:w="1474" w:type="dxa"/>
            <w:vAlign w:val="center"/>
          </w:tcPr>
          <w:p>
            <w:pPr>
              <w:pStyle w:val="14"/>
            </w:pPr>
            <w:r>
              <w:t>214.40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5.80</w:t>
            </w:r>
          </w:p>
        </w:tc>
        <w:tc>
          <w:tcPr>
            <w:tcW w:w="1474" w:type="dxa"/>
            <w:vAlign w:val="center"/>
          </w:tcPr>
          <w:p>
            <w:pPr>
              <w:pStyle w:val="14"/>
            </w:pPr>
            <w:r>
              <w:t>5.80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7"/>
            </w:pPr>
            <w:r>
              <w:t>本年收入合计</w:t>
            </w:r>
          </w:p>
        </w:tc>
        <w:tc>
          <w:tcPr>
            <w:tcW w:w="1474" w:type="dxa"/>
            <w:vAlign w:val="center"/>
          </w:tcPr>
          <w:p>
            <w:pPr>
              <w:pStyle w:val="18"/>
            </w:pPr>
            <w:r>
              <w:t>367.70</w:t>
            </w:r>
          </w:p>
        </w:tc>
        <w:tc>
          <w:tcPr>
            <w:tcW w:w="3402" w:type="dxa"/>
            <w:vAlign w:val="center"/>
          </w:tcPr>
          <w:p>
            <w:pPr>
              <w:pStyle w:val="17"/>
            </w:pPr>
            <w:r>
              <w:t>本年支出合计</w:t>
            </w:r>
          </w:p>
        </w:tc>
        <w:tc>
          <w:tcPr>
            <w:tcW w:w="1474" w:type="dxa"/>
            <w:vAlign w:val="center"/>
          </w:tcPr>
          <w:p>
            <w:pPr>
              <w:pStyle w:val="18"/>
            </w:pPr>
            <w:r>
              <w:t>367.70</w:t>
            </w:r>
          </w:p>
        </w:tc>
        <w:tc>
          <w:tcPr>
            <w:tcW w:w="1474" w:type="dxa"/>
            <w:vAlign w:val="center"/>
          </w:tcPr>
          <w:p>
            <w:pPr>
              <w:pStyle w:val="18"/>
            </w:pPr>
            <w:r>
              <w:t>367.70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7"/>
            </w:pPr>
            <w:r>
              <w:t>收入总计</w:t>
            </w:r>
          </w:p>
        </w:tc>
        <w:tc>
          <w:tcPr>
            <w:tcW w:w="1474" w:type="dxa"/>
            <w:vAlign w:val="center"/>
          </w:tcPr>
          <w:p>
            <w:pPr>
              <w:pStyle w:val="18"/>
            </w:pPr>
            <w:r>
              <w:t>367.70</w:t>
            </w:r>
          </w:p>
        </w:tc>
        <w:tc>
          <w:tcPr>
            <w:tcW w:w="3402" w:type="dxa"/>
            <w:vAlign w:val="center"/>
          </w:tcPr>
          <w:p>
            <w:pPr>
              <w:pStyle w:val="17"/>
            </w:pPr>
            <w:r>
              <w:t>支出总计</w:t>
            </w:r>
          </w:p>
        </w:tc>
        <w:tc>
          <w:tcPr>
            <w:tcW w:w="1474" w:type="dxa"/>
            <w:vAlign w:val="center"/>
          </w:tcPr>
          <w:p>
            <w:pPr>
              <w:pStyle w:val="18"/>
            </w:pPr>
            <w:r>
              <w:t>367.70</w:t>
            </w:r>
          </w:p>
        </w:tc>
        <w:tc>
          <w:tcPr>
            <w:tcW w:w="1474" w:type="dxa"/>
            <w:vAlign w:val="center"/>
          </w:tcPr>
          <w:p>
            <w:pPr>
              <w:pStyle w:val="18"/>
            </w:pPr>
            <w:r>
              <w:t>367.70</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9" w:name="_Toc_2_2_0000000005"/>
      <w:bookmarkStart w:id="10" w:name="_Toc15186"/>
      <w:r>
        <w:rPr>
          <w:rFonts w:ascii="方正小标宋_GBK" w:hAnsi="方正小标宋_GBK" w:eastAsia="方正小标宋_GBK" w:cs="方正小标宋_GBK"/>
          <w:color w:val="000000"/>
          <w:sz w:val="36"/>
        </w:rPr>
        <w:t>部门预算一般公共预算财政拨款支出表</w:t>
      </w:r>
      <w:bookmarkEnd w:id="9"/>
      <w:bookmarkEnd w:id="10"/>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367.70</w:t>
            </w:r>
          </w:p>
        </w:tc>
        <w:tc>
          <w:tcPr>
            <w:tcW w:w="2551" w:type="dxa"/>
            <w:vAlign w:val="center"/>
          </w:tcPr>
          <w:p>
            <w:pPr>
              <w:pStyle w:val="18"/>
            </w:pPr>
            <w:r>
              <w:t>269.70</w:t>
            </w:r>
          </w:p>
        </w:tc>
        <w:tc>
          <w:tcPr>
            <w:tcW w:w="2551" w:type="dxa"/>
            <w:vAlign w:val="center"/>
          </w:tcPr>
          <w:p>
            <w:pPr>
              <w:pStyle w:val="18"/>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147.50</w:t>
            </w:r>
          </w:p>
        </w:tc>
        <w:tc>
          <w:tcPr>
            <w:tcW w:w="2551" w:type="dxa"/>
            <w:vAlign w:val="center"/>
          </w:tcPr>
          <w:p>
            <w:pPr>
              <w:pStyle w:val="14"/>
            </w:pPr>
            <w:r>
              <w:t>147.50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20136</w:t>
            </w:r>
          </w:p>
        </w:tc>
        <w:tc>
          <w:tcPr>
            <w:tcW w:w="4535" w:type="dxa"/>
            <w:vAlign w:val="center"/>
          </w:tcPr>
          <w:p>
            <w:pPr>
              <w:pStyle w:val="15"/>
            </w:pPr>
            <w:r>
              <w:t>其他共产党事务支出</w:t>
            </w:r>
          </w:p>
        </w:tc>
        <w:tc>
          <w:tcPr>
            <w:tcW w:w="2551" w:type="dxa"/>
            <w:vAlign w:val="center"/>
          </w:tcPr>
          <w:p>
            <w:pPr>
              <w:pStyle w:val="14"/>
            </w:pPr>
            <w:r>
              <w:t>147.50</w:t>
            </w:r>
          </w:p>
        </w:tc>
        <w:tc>
          <w:tcPr>
            <w:tcW w:w="2551" w:type="dxa"/>
            <w:vAlign w:val="center"/>
          </w:tcPr>
          <w:p>
            <w:pPr>
              <w:pStyle w:val="14"/>
            </w:pPr>
            <w:r>
              <w:t>147.50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2013601</w:t>
            </w:r>
          </w:p>
        </w:tc>
        <w:tc>
          <w:tcPr>
            <w:tcW w:w="4535" w:type="dxa"/>
            <w:vAlign w:val="center"/>
          </w:tcPr>
          <w:p>
            <w:pPr>
              <w:pStyle w:val="15"/>
            </w:pPr>
            <w:r>
              <w:t>行政运行</w:t>
            </w:r>
          </w:p>
        </w:tc>
        <w:tc>
          <w:tcPr>
            <w:tcW w:w="2551" w:type="dxa"/>
            <w:vAlign w:val="center"/>
          </w:tcPr>
          <w:p>
            <w:pPr>
              <w:pStyle w:val="14"/>
            </w:pPr>
            <w:r>
              <w:t>147.50</w:t>
            </w:r>
          </w:p>
        </w:tc>
        <w:tc>
          <w:tcPr>
            <w:tcW w:w="2551" w:type="dxa"/>
            <w:vAlign w:val="center"/>
          </w:tcPr>
          <w:p>
            <w:pPr>
              <w:pStyle w:val="14"/>
            </w:pPr>
            <w:r>
              <w:t>147.50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214.40</w:t>
            </w:r>
          </w:p>
        </w:tc>
        <w:tc>
          <w:tcPr>
            <w:tcW w:w="2551" w:type="dxa"/>
            <w:vAlign w:val="center"/>
          </w:tcPr>
          <w:p>
            <w:pPr>
              <w:pStyle w:val="14"/>
            </w:pPr>
            <w:r>
              <w:t>116.40</w:t>
            </w:r>
          </w:p>
        </w:tc>
        <w:tc>
          <w:tcPr>
            <w:tcW w:w="2551" w:type="dxa"/>
            <w:vAlign w:val="center"/>
          </w:tcPr>
          <w:p>
            <w:pPr>
              <w:pStyle w:val="14"/>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214.40</w:t>
            </w:r>
          </w:p>
        </w:tc>
        <w:tc>
          <w:tcPr>
            <w:tcW w:w="2551" w:type="dxa"/>
            <w:vAlign w:val="center"/>
          </w:tcPr>
          <w:p>
            <w:pPr>
              <w:pStyle w:val="14"/>
            </w:pPr>
            <w:r>
              <w:t>116.40</w:t>
            </w:r>
          </w:p>
        </w:tc>
        <w:tc>
          <w:tcPr>
            <w:tcW w:w="2551" w:type="dxa"/>
            <w:vAlign w:val="center"/>
          </w:tcPr>
          <w:p>
            <w:pPr>
              <w:pStyle w:val="14"/>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104.40</w:t>
            </w:r>
          </w:p>
        </w:tc>
        <w:tc>
          <w:tcPr>
            <w:tcW w:w="2551" w:type="dxa"/>
            <w:vAlign w:val="center"/>
          </w:tcPr>
          <w:p>
            <w:pPr>
              <w:pStyle w:val="14"/>
            </w:pPr>
            <w:r>
              <w:t>104.40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2080503</w:t>
            </w:r>
          </w:p>
        </w:tc>
        <w:tc>
          <w:tcPr>
            <w:tcW w:w="4535" w:type="dxa"/>
            <w:vAlign w:val="center"/>
          </w:tcPr>
          <w:p>
            <w:pPr>
              <w:pStyle w:val="15"/>
            </w:pPr>
            <w:r>
              <w:t>离退休人员管理机构</w:t>
            </w:r>
          </w:p>
        </w:tc>
        <w:tc>
          <w:tcPr>
            <w:tcW w:w="2551" w:type="dxa"/>
            <w:vAlign w:val="center"/>
          </w:tcPr>
          <w:p>
            <w:pPr>
              <w:pStyle w:val="14"/>
            </w:pPr>
            <w:r>
              <w:t>98.00</w:t>
            </w:r>
          </w:p>
        </w:tc>
        <w:tc>
          <w:tcPr>
            <w:tcW w:w="2551" w:type="dxa"/>
            <w:vAlign w:val="center"/>
          </w:tcPr>
          <w:p>
            <w:pPr>
              <w:pStyle w:val="14"/>
            </w:pPr>
          </w:p>
        </w:tc>
        <w:tc>
          <w:tcPr>
            <w:tcW w:w="2551" w:type="dxa"/>
            <w:vAlign w:val="center"/>
          </w:tcPr>
          <w:p>
            <w:pPr>
              <w:pStyle w:val="14"/>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12.00</w:t>
            </w:r>
          </w:p>
        </w:tc>
        <w:tc>
          <w:tcPr>
            <w:tcW w:w="2551" w:type="dxa"/>
            <w:vAlign w:val="center"/>
          </w:tcPr>
          <w:p>
            <w:pPr>
              <w:pStyle w:val="14"/>
            </w:pPr>
            <w:r>
              <w:t>12.00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5.80</w:t>
            </w:r>
          </w:p>
        </w:tc>
        <w:tc>
          <w:tcPr>
            <w:tcW w:w="2551" w:type="dxa"/>
            <w:vAlign w:val="center"/>
          </w:tcPr>
          <w:p>
            <w:pPr>
              <w:pStyle w:val="14"/>
            </w:pPr>
            <w:r>
              <w:t>5.80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5.80</w:t>
            </w:r>
          </w:p>
        </w:tc>
        <w:tc>
          <w:tcPr>
            <w:tcW w:w="2551" w:type="dxa"/>
            <w:vAlign w:val="center"/>
          </w:tcPr>
          <w:p>
            <w:pPr>
              <w:pStyle w:val="14"/>
            </w:pPr>
            <w:r>
              <w:t>5.80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5.80</w:t>
            </w:r>
          </w:p>
        </w:tc>
        <w:tc>
          <w:tcPr>
            <w:tcW w:w="2551" w:type="dxa"/>
            <w:vAlign w:val="center"/>
          </w:tcPr>
          <w:p>
            <w:pPr>
              <w:pStyle w:val="14"/>
            </w:pPr>
            <w:r>
              <w:t>5.80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11" w:name="_Toc_2_2_0000000006"/>
      <w:bookmarkStart w:id="12" w:name="_Toc21611"/>
      <w:r>
        <w:rPr>
          <w:rFonts w:ascii="方正小标宋_GBK" w:hAnsi="方正小标宋_GBK" w:eastAsia="方正小标宋_GBK" w:cs="方正小标宋_GBK"/>
          <w:color w:val="000000"/>
          <w:sz w:val="36"/>
        </w:rPr>
        <w:t>部门预算一般公共预算财政拨款基本支出表</w:t>
      </w:r>
      <w:bookmarkEnd w:id="11"/>
      <w:bookmarkEnd w:id="12"/>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2"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2"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269.70</w:t>
            </w:r>
          </w:p>
        </w:tc>
        <w:tc>
          <w:tcPr>
            <w:tcW w:w="2551" w:type="dxa"/>
            <w:vAlign w:val="center"/>
          </w:tcPr>
          <w:p>
            <w:pPr>
              <w:pStyle w:val="18"/>
            </w:pPr>
            <w:r>
              <w:t>248.90</w:t>
            </w:r>
          </w:p>
        </w:tc>
        <w:tc>
          <w:tcPr>
            <w:tcW w:w="2552" w:type="dxa"/>
            <w:vAlign w:val="center"/>
          </w:tcPr>
          <w:p>
            <w:pPr>
              <w:pStyle w:val="18"/>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199.50</w:t>
            </w:r>
          </w:p>
        </w:tc>
        <w:tc>
          <w:tcPr>
            <w:tcW w:w="2551" w:type="dxa"/>
            <w:vAlign w:val="center"/>
          </w:tcPr>
          <w:p>
            <w:pPr>
              <w:pStyle w:val="14"/>
            </w:pPr>
            <w:r>
              <w:t>199.50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55.40</w:t>
            </w:r>
          </w:p>
        </w:tc>
        <w:tc>
          <w:tcPr>
            <w:tcW w:w="2551" w:type="dxa"/>
            <w:vAlign w:val="center"/>
          </w:tcPr>
          <w:p>
            <w:pPr>
              <w:pStyle w:val="14"/>
            </w:pPr>
            <w:r>
              <w:t>55.40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25.50</w:t>
            </w:r>
          </w:p>
        </w:tc>
        <w:tc>
          <w:tcPr>
            <w:tcW w:w="2551" w:type="dxa"/>
            <w:vAlign w:val="center"/>
          </w:tcPr>
          <w:p>
            <w:pPr>
              <w:pStyle w:val="14"/>
            </w:pPr>
            <w:r>
              <w:t>25.50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91.60</w:t>
            </w:r>
          </w:p>
        </w:tc>
        <w:tc>
          <w:tcPr>
            <w:tcW w:w="2551" w:type="dxa"/>
            <w:vAlign w:val="center"/>
          </w:tcPr>
          <w:p>
            <w:pPr>
              <w:pStyle w:val="14"/>
            </w:pPr>
            <w:r>
              <w:t>91.60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8.40</w:t>
            </w:r>
          </w:p>
        </w:tc>
        <w:tc>
          <w:tcPr>
            <w:tcW w:w="2551" w:type="dxa"/>
            <w:vAlign w:val="center"/>
          </w:tcPr>
          <w:p>
            <w:pPr>
              <w:pStyle w:val="14"/>
            </w:pPr>
            <w:r>
              <w:t>8.40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12.00</w:t>
            </w:r>
          </w:p>
        </w:tc>
        <w:tc>
          <w:tcPr>
            <w:tcW w:w="2551" w:type="dxa"/>
            <w:vAlign w:val="center"/>
          </w:tcPr>
          <w:p>
            <w:pPr>
              <w:pStyle w:val="14"/>
            </w:pPr>
            <w:r>
              <w:t>12.00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城镇职工基本医疗保险缴费</w:t>
            </w:r>
          </w:p>
        </w:tc>
        <w:tc>
          <w:tcPr>
            <w:tcW w:w="2551" w:type="dxa"/>
            <w:vAlign w:val="center"/>
          </w:tcPr>
          <w:p>
            <w:pPr>
              <w:pStyle w:val="14"/>
            </w:pPr>
            <w:r>
              <w:t>5.80</w:t>
            </w:r>
          </w:p>
        </w:tc>
        <w:tc>
          <w:tcPr>
            <w:tcW w:w="2551" w:type="dxa"/>
            <w:vAlign w:val="center"/>
          </w:tcPr>
          <w:p>
            <w:pPr>
              <w:pStyle w:val="14"/>
            </w:pPr>
            <w:r>
              <w:t>5.80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0.80</w:t>
            </w:r>
          </w:p>
        </w:tc>
        <w:tc>
          <w:tcPr>
            <w:tcW w:w="2551" w:type="dxa"/>
            <w:vAlign w:val="center"/>
          </w:tcPr>
          <w:p>
            <w:pPr>
              <w:pStyle w:val="14"/>
            </w:pPr>
            <w:r>
              <w:t>0.80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20.80</w:t>
            </w:r>
          </w:p>
        </w:tc>
        <w:tc>
          <w:tcPr>
            <w:tcW w:w="2551" w:type="dxa"/>
            <w:vAlign w:val="center"/>
          </w:tcPr>
          <w:p>
            <w:pPr>
              <w:pStyle w:val="14"/>
            </w:pPr>
          </w:p>
        </w:tc>
        <w:tc>
          <w:tcPr>
            <w:tcW w:w="2552" w:type="dxa"/>
            <w:vAlign w:val="center"/>
          </w:tcPr>
          <w:p>
            <w:pPr>
              <w:pStyle w:val="14"/>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6.00</w:t>
            </w:r>
          </w:p>
        </w:tc>
        <w:tc>
          <w:tcPr>
            <w:tcW w:w="2551" w:type="dxa"/>
            <w:vAlign w:val="center"/>
          </w:tcPr>
          <w:p>
            <w:pPr>
              <w:pStyle w:val="14"/>
            </w:pPr>
          </w:p>
        </w:tc>
        <w:tc>
          <w:tcPr>
            <w:tcW w:w="2552"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3.60</w:t>
            </w:r>
          </w:p>
        </w:tc>
        <w:tc>
          <w:tcPr>
            <w:tcW w:w="2551" w:type="dxa"/>
            <w:vAlign w:val="center"/>
          </w:tcPr>
          <w:p>
            <w:pPr>
              <w:pStyle w:val="14"/>
            </w:pPr>
          </w:p>
        </w:tc>
        <w:tc>
          <w:tcPr>
            <w:tcW w:w="2552" w:type="dxa"/>
            <w:vAlign w:val="center"/>
          </w:tcPr>
          <w:p>
            <w:pPr>
              <w:pStyle w:val="14"/>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6.00</w:t>
            </w:r>
          </w:p>
        </w:tc>
        <w:tc>
          <w:tcPr>
            <w:tcW w:w="2551" w:type="dxa"/>
            <w:vAlign w:val="center"/>
          </w:tcPr>
          <w:p>
            <w:pPr>
              <w:pStyle w:val="14"/>
            </w:pPr>
          </w:p>
        </w:tc>
        <w:tc>
          <w:tcPr>
            <w:tcW w:w="2552"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5.20</w:t>
            </w:r>
          </w:p>
        </w:tc>
        <w:tc>
          <w:tcPr>
            <w:tcW w:w="2551" w:type="dxa"/>
            <w:vAlign w:val="center"/>
          </w:tcPr>
          <w:p>
            <w:pPr>
              <w:pStyle w:val="14"/>
            </w:pPr>
          </w:p>
        </w:tc>
        <w:tc>
          <w:tcPr>
            <w:tcW w:w="2552" w:type="dxa"/>
            <w:vAlign w:val="center"/>
          </w:tcPr>
          <w:p>
            <w:pPr>
              <w:pStyle w:val="14"/>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49.40</w:t>
            </w:r>
          </w:p>
        </w:tc>
        <w:tc>
          <w:tcPr>
            <w:tcW w:w="2551" w:type="dxa"/>
            <w:vAlign w:val="center"/>
          </w:tcPr>
          <w:p>
            <w:pPr>
              <w:pStyle w:val="14"/>
            </w:pPr>
            <w:r>
              <w:t>49.40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43.40</w:t>
            </w:r>
          </w:p>
        </w:tc>
        <w:tc>
          <w:tcPr>
            <w:tcW w:w="2551" w:type="dxa"/>
            <w:vAlign w:val="center"/>
          </w:tcPr>
          <w:p>
            <w:pPr>
              <w:pStyle w:val="14"/>
            </w:pPr>
            <w:r>
              <w:t>43.40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6.00</w:t>
            </w:r>
          </w:p>
        </w:tc>
        <w:tc>
          <w:tcPr>
            <w:tcW w:w="2551" w:type="dxa"/>
            <w:vAlign w:val="center"/>
          </w:tcPr>
          <w:p>
            <w:pPr>
              <w:pStyle w:val="14"/>
            </w:pPr>
            <w:r>
              <w:t>6.00</w:t>
            </w:r>
          </w:p>
        </w:tc>
        <w:tc>
          <w:tcPr>
            <w:tcW w:w="2552"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13" w:name="_Toc_2_2_0000000007"/>
      <w:bookmarkStart w:id="14" w:name="_Toc983"/>
      <w:r>
        <w:rPr>
          <w:rFonts w:ascii="方正小标宋_GBK" w:hAnsi="方正小标宋_GBK" w:eastAsia="方正小标宋_GBK" w:cs="方正小标宋_GBK"/>
          <w:color w:val="000000"/>
          <w:sz w:val="36"/>
        </w:rPr>
        <w:t>部门预算政府基金预算财政拨款支出表</w:t>
      </w:r>
      <w:bookmarkEnd w:id="13"/>
      <w:bookmarkEnd w:id="1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15" w:name="_Toc23261"/>
      <w:bookmarkStart w:id="16" w:name="_Toc_2_2_0000000008"/>
      <w:r>
        <w:rPr>
          <w:rFonts w:ascii="方正小标宋_GBK" w:hAnsi="方正小标宋_GBK" w:eastAsia="方正小标宋_GBK" w:cs="方正小标宋_GBK"/>
          <w:color w:val="000000"/>
          <w:sz w:val="36"/>
        </w:rPr>
        <w:t>部门预算国有资本经营预算财政拨款支出表</w:t>
      </w:r>
      <w:bookmarkEnd w:id="15"/>
      <w:bookmarkEnd w:id="1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17" w:name="_Toc_2_2_0000000009"/>
      <w:bookmarkStart w:id="18" w:name="_Toc26006"/>
      <w:r>
        <w:rPr>
          <w:rFonts w:ascii="方正小标宋_GBK" w:hAnsi="方正小标宋_GBK" w:eastAsia="方正小标宋_GBK" w:cs="方正小标宋_GBK"/>
          <w:color w:val="000000"/>
          <w:sz w:val="36"/>
        </w:rPr>
        <w:t>部门预算财政拨款“三公”经费支出表</w:t>
      </w:r>
      <w:bookmarkEnd w:id="17"/>
      <w:bookmarkEnd w:id="18"/>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2381" w:type="dxa"/>
            <w:tcBorders>
              <w:top w:val="single" w:color="FFFFFF" w:sz="6" w:space="0"/>
              <w:left w:val="single" w:color="FFFFFF" w:sz="6" w:space="0"/>
              <w:right w:val="single" w:color="FFFFFF" w:sz="6" w:space="0"/>
            </w:tcBorders>
            <w:vAlign w:val="center"/>
          </w:tcPr>
          <w:p>
            <w:pPr>
              <w:pStyle w:val="11"/>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5"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2"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“三公”经费小计</w:t>
            </w:r>
          </w:p>
        </w:tc>
        <w:tc>
          <w:tcPr>
            <w:tcW w:w="2382" w:type="dxa"/>
            <w:vAlign w:val="center"/>
          </w:tcPr>
          <w:p>
            <w:pPr>
              <w:pStyle w:val="18"/>
              <w:rPr>
                <w:rFonts w:hint="eastAsia"/>
                <w:lang w:eastAsia="zh-CN"/>
              </w:rPr>
            </w:pPr>
            <w:r>
              <w:rPr>
                <w:rFonts w:hint="eastAsia"/>
                <w:lang w:eastAsia="zh-CN"/>
              </w:rPr>
              <w:t>6.00</w:t>
            </w:r>
          </w:p>
        </w:tc>
        <w:tc>
          <w:tcPr>
            <w:tcW w:w="2381" w:type="dxa"/>
            <w:vAlign w:val="center"/>
          </w:tcPr>
          <w:p>
            <w:pPr>
              <w:pStyle w:val="18"/>
              <w:rPr>
                <w:rFonts w:hint="eastAsia"/>
                <w:lang w:eastAsia="zh-CN"/>
              </w:rPr>
            </w:pPr>
            <w:r>
              <w:rPr>
                <w:rFonts w:hint="eastAsia"/>
                <w:lang w:eastAsia="zh-CN"/>
              </w:rPr>
              <w:t>6.00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2"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 xml:space="preserve">    其中：教学科研人员因公出国（境）费</w:t>
            </w:r>
          </w:p>
        </w:tc>
        <w:tc>
          <w:tcPr>
            <w:tcW w:w="2382"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其他因公出国（境）费</w:t>
            </w:r>
          </w:p>
        </w:tc>
        <w:tc>
          <w:tcPr>
            <w:tcW w:w="2382"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二、公务用车购置及运维费</w:t>
            </w:r>
          </w:p>
        </w:tc>
        <w:tc>
          <w:tcPr>
            <w:tcW w:w="2382" w:type="dxa"/>
            <w:vAlign w:val="center"/>
          </w:tcPr>
          <w:p>
            <w:pPr>
              <w:pStyle w:val="14"/>
            </w:pPr>
            <w:r>
              <w:t>6.00</w:t>
            </w:r>
          </w:p>
        </w:tc>
        <w:tc>
          <w:tcPr>
            <w:tcW w:w="2381" w:type="dxa"/>
            <w:vAlign w:val="center"/>
          </w:tcPr>
          <w:p>
            <w:pPr>
              <w:pStyle w:val="14"/>
            </w:pPr>
            <w:r>
              <w:t>6.00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 xml:space="preserve">    其中：公务用车购置费</w:t>
            </w:r>
          </w:p>
        </w:tc>
        <w:tc>
          <w:tcPr>
            <w:tcW w:w="2382"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公务用车运行维护费</w:t>
            </w:r>
          </w:p>
        </w:tc>
        <w:tc>
          <w:tcPr>
            <w:tcW w:w="2382" w:type="dxa"/>
            <w:vAlign w:val="center"/>
          </w:tcPr>
          <w:p>
            <w:pPr>
              <w:pStyle w:val="14"/>
            </w:pPr>
            <w:r>
              <w:t>6.00</w:t>
            </w:r>
          </w:p>
        </w:tc>
        <w:tc>
          <w:tcPr>
            <w:tcW w:w="2381" w:type="dxa"/>
            <w:vAlign w:val="center"/>
          </w:tcPr>
          <w:p>
            <w:pPr>
              <w:pStyle w:val="14"/>
            </w:pPr>
            <w:r>
              <w:t>6.00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三、公务接待费</w:t>
            </w:r>
          </w:p>
        </w:tc>
        <w:tc>
          <w:tcPr>
            <w:tcW w:w="2382"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bookmarkStart w:id="19" w:name="_Toc5881"/>
      <w:r>
        <w:rPr>
          <w:rFonts w:ascii="方正书宋_GBK" w:hAnsi="方正书宋_GBK" w:eastAsia="方正书宋_GBK" w:cs="方正书宋_GBK"/>
          <w:color w:val="FFFFFF"/>
          <w:sz w:val="21"/>
        </w:rPr>
        <w:t>第一部分  中国共产党无极县委员会老干部2022年部门预算信息公开情况说明</w:t>
      </w:r>
      <w:bookmarkEnd w:id="19"/>
    </w:p>
    <w:p>
      <w:pPr>
        <w:jc w:val="center"/>
      </w:pP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按照《预算法》、《地方预决算公开操作规程》和《关于进一步推进预算公开工作的实施意见》规定，现将中国共产党无极县委员会老干部2022年部门预算公开如下：</w:t>
      </w:r>
    </w:p>
    <w:p>
      <w:pPr>
        <w:spacing w:before="10" w:after="10" w:line="360" w:lineRule="auto"/>
        <w:ind w:firstLine="640"/>
        <w:outlineLvl w:val="2"/>
      </w:pPr>
      <w:bookmarkStart w:id="20" w:name="_Toc19289"/>
      <w:bookmarkStart w:id="21" w:name="_Toc_3_3_0000000010"/>
      <w:r>
        <w:rPr>
          <w:rFonts w:ascii="黑体" w:hAnsi="黑体" w:eastAsia="黑体" w:cs="黑体"/>
          <w:color w:val="000000"/>
          <w:sz w:val="32"/>
        </w:rPr>
        <w:t>一、部门职责及机构设置情况</w:t>
      </w:r>
      <w:bookmarkEnd w:id="20"/>
      <w:bookmarkEnd w:id="21"/>
    </w:p>
    <w:p>
      <w:pPr>
        <w:ind w:firstLine="640"/>
      </w:pPr>
      <w:r>
        <w:rPr>
          <w:rFonts w:ascii="方正楷体_GBK" w:hAnsi="方正楷体_GBK" w:eastAsia="方正楷体_GBK" w:cs="方正楷体_GBK"/>
          <w:b/>
          <w:color w:val="000000"/>
          <w:sz w:val="32"/>
        </w:rPr>
        <w:t>部门职责：</w:t>
      </w:r>
    </w:p>
    <w:p>
      <w:pPr>
        <w:pStyle w:val="20"/>
      </w:pPr>
      <w:r>
        <w:t>（一）全面贯彻加强党对离退休干部工作的集中统一领导要求，负责宣传贯彻落实党中央、国务院和省、市、县党委、政府关于离退休干部工作的方针政策；落实离退休干部工作有关政策规定并拟定实施办法；总结宣传全县离退休干部工作和先进典型。</w:t>
      </w:r>
    </w:p>
    <w:p>
      <w:pPr>
        <w:pStyle w:val="20"/>
      </w:pPr>
      <w:r>
        <w:t>（二）负责指导、督促、检查各部门离退休干部工作；组织和协调有关部门做好离退休干部工作。</w:t>
      </w:r>
    </w:p>
    <w:p>
      <w:pPr>
        <w:pStyle w:val="20"/>
      </w:pPr>
      <w:r>
        <w:t>（三）负责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0"/>
      </w:pPr>
      <w:r>
        <w:t>（四）加强对全县离退休干部的政治引领和教育管理。负责做好新形势下离退休干部党组织建设工作，拟订离退休干部思想政治工作的制度办法和措施；组织开展离退休干部党组织书记的教育培训工作。</w:t>
      </w:r>
    </w:p>
    <w:p>
      <w:pPr>
        <w:pStyle w:val="20"/>
      </w:pPr>
      <w:r>
        <w:t xml:space="preserve">（五）督促检查各部门老干部活动阵地的建设与管理。  </w:t>
      </w:r>
    </w:p>
    <w:p>
      <w:pPr>
        <w:pStyle w:val="20"/>
      </w:pPr>
      <w:r>
        <w:t>（六）组织离退休干部利用自身优势，在政治、经济、文化和青少年教育等各领域发挥作用，增添正能量。</w:t>
      </w:r>
    </w:p>
    <w:p>
      <w:pPr>
        <w:pStyle w:val="20"/>
      </w:pPr>
      <w:r>
        <w:t>（七）了解离退休干部对医疗保健方面的意见和要求。组织离退休干部开展健康科学的文化健身、保健讲座、参观学习等活动。</w:t>
      </w:r>
    </w:p>
    <w:p>
      <w:pPr>
        <w:pStyle w:val="20"/>
      </w:pPr>
      <w:r>
        <w:t>（八）负责易地安置离休干部服务管理工作。</w:t>
      </w:r>
    </w:p>
    <w:p>
      <w:pPr>
        <w:pStyle w:val="20"/>
      </w:pPr>
      <w:r>
        <w:t xml:space="preserve">（九）会同有关部门拟订治丧办法，配合有关部门做好逝世老干部的善后工作，协助承办县委交办的丧葬事宣。 </w:t>
      </w:r>
    </w:p>
    <w:p>
      <w:pPr>
        <w:pStyle w:val="20"/>
      </w:pPr>
      <w:r>
        <w:t>（十）承担县老干部工作领导小组、县关心下一代工作委员会的日常工作。</w:t>
      </w:r>
    </w:p>
    <w:p>
      <w:pPr>
        <w:pStyle w:val="20"/>
      </w:pPr>
      <w:r>
        <w:t xml:space="preserve">（十一）完成县委交办的其他任务。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中国共产党无极县委员会老干部本级</w:t>
            </w:r>
          </w:p>
        </w:tc>
        <w:tc>
          <w:tcPr>
            <w:tcW w:w="1843" w:type="dxa"/>
            <w:vAlign w:val="center"/>
          </w:tcPr>
          <w:p>
            <w:pPr>
              <w:pStyle w:val="16"/>
            </w:pPr>
            <w:r>
              <w:t>行政</w:t>
            </w:r>
          </w:p>
        </w:tc>
        <w:tc>
          <w:tcPr>
            <w:tcW w:w="2126" w:type="dxa"/>
            <w:vAlign w:val="center"/>
          </w:tcPr>
          <w:p>
            <w:pPr>
              <w:pStyle w:val="16"/>
            </w:pPr>
            <w:r>
              <w:t>股级</w:t>
            </w:r>
          </w:p>
        </w:tc>
        <w:tc>
          <w:tcPr>
            <w:tcW w:w="3827" w:type="dxa"/>
            <w:vAlign w:val="center"/>
          </w:tcPr>
          <w:p>
            <w:pPr>
              <w:pStyle w:val="16"/>
            </w:pPr>
            <w:r>
              <w:t>财政拨款</w:t>
            </w:r>
          </w:p>
        </w:tc>
      </w:tr>
    </w:tbl>
    <w:p>
      <w:pPr>
        <w:spacing w:before="10" w:after="10" w:line="360" w:lineRule="auto"/>
        <w:ind w:firstLine="640"/>
        <w:outlineLvl w:val="2"/>
      </w:pPr>
      <w:bookmarkStart w:id="22" w:name="_Toc23826"/>
      <w:bookmarkStart w:id="23" w:name="_Toc_3_3_0000000011"/>
      <w:r>
        <w:rPr>
          <w:rFonts w:ascii="黑体" w:hAnsi="黑体" w:eastAsia="黑体" w:cs="黑体"/>
          <w:color w:val="000000"/>
          <w:sz w:val="32"/>
        </w:rPr>
        <w:t>二、部门预算安排的总体情况</w:t>
      </w:r>
      <w:bookmarkEnd w:id="22"/>
      <w:bookmarkEnd w:id="23"/>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部门预算的编制实行综合预算管理，即全部收入和支出都反映在预算中。中国共产党无极县委员会老干部机关及所属事业单位的收支包含在部门预算中。</w:t>
      </w:r>
    </w:p>
    <w:p>
      <w:pPr>
        <w:pStyle w:val="21"/>
      </w:pPr>
      <w:r>
        <w:t>（一）收入说明</w:t>
      </w:r>
    </w:p>
    <w:p>
      <w:pPr>
        <w:pStyle w:val="21"/>
      </w:pPr>
      <w:r>
        <w:t>反映本部门当年收入，2022年预算收入367.7万元。其中：一般公共预算拨款367.7万元，基金预算拨款0万元，财政专户核拨0万元，其他来源收入0万元。</w:t>
      </w:r>
    </w:p>
    <w:p>
      <w:pPr>
        <w:pStyle w:val="21"/>
      </w:pPr>
      <w:r>
        <w:t>（二）支出说明</w:t>
      </w:r>
    </w:p>
    <w:p>
      <w:pPr>
        <w:pStyle w:val="21"/>
      </w:pPr>
      <w:r>
        <w:t>收支预算总表支出栏、基本支出表、项目支出表按经济分类和支出功能分类科目编制，反映老干部局年度部门预算中支出预算的总体情况。2022年部门支出预算为367.7万元，其中基本支出269.7万元，包括人员经费248.9万元和日常公用经费20.8万元；项目支出98万元，主要用于离退休老干部们的活动经费98万元。</w:t>
      </w:r>
    </w:p>
    <w:p>
      <w:pPr>
        <w:pStyle w:val="21"/>
      </w:pPr>
      <w:r>
        <w:t>（三）比上年增减情况</w:t>
      </w:r>
    </w:p>
    <w:p>
      <w:pPr>
        <w:pStyle w:val="21"/>
      </w:pPr>
      <w:r>
        <w:t>2022年部门预算支出较2021年减少168.73万元，其中：基本支出减少0.23万元，主要是减少公务移动通讯费用补贴；项目支出减少168.5万元，主要是减少河北美院无极县老干部艺术推广中心、老年大学活动经费。</w:t>
      </w:r>
    </w:p>
    <w:p>
      <w:pPr>
        <w:spacing w:before="10" w:after="10" w:line="360" w:lineRule="auto"/>
        <w:ind w:firstLine="640"/>
        <w:outlineLvl w:val="2"/>
      </w:pPr>
      <w:bookmarkStart w:id="24" w:name="_Toc16905"/>
      <w:bookmarkStart w:id="25" w:name="_Toc_3_3_0000000012"/>
      <w:r>
        <w:rPr>
          <w:rFonts w:ascii="黑体" w:hAnsi="黑体" w:eastAsia="黑体" w:cs="黑体"/>
          <w:color w:val="000000"/>
          <w:sz w:val="32"/>
        </w:rPr>
        <w:t>三、机关运行经费安排情况</w:t>
      </w:r>
      <w:bookmarkEnd w:id="24"/>
      <w:bookmarkEnd w:id="25"/>
    </w:p>
    <w:p>
      <w:pPr>
        <w:pStyle w:val="22"/>
      </w:pPr>
      <w:r>
        <w:t>2022年，我部门机关运行经费共计安排20.8万元，主要用于保证机关正常运转的办公及印刷费、邮电费、一般设备购置费、办公用房电费、日常维修费等支出。</w:t>
      </w:r>
    </w:p>
    <w:p>
      <w:pPr>
        <w:spacing w:before="10" w:after="10" w:line="360" w:lineRule="auto"/>
        <w:ind w:firstLine="640"/>
        <w:outlineLvl w:val="2"/>
      </w:pPr>
      <w:bookmarkStart w:id="26" w:name="_Toc4271"/>
      <w:bookmarkStart w:id="27" w:name="_Toc_3_3_0000000013"/>
      <w:r>
        <w:rPr>
          <w:rFonts w:ascii="黑体" w:hAnsi="黑体" w:eastAsia="黑体" w:cs="黑体"/>
          <w:color w:val="000000"/>
          <w:sz w:val="32"/>
        </w:rPr>
        <w:t>四、财政拨款“三公”经费预算情况及增减变化原因</w:t>
      </w:r>
      <w:bookmarkEnd w:id="26"/>
      <w:bookmarkEnd w:id="27"/>
    </w:p>
    <w:p>
      <w:pPr>
        <w:pStyle w:val="23"/>
      </w:pPr>
      <w:r>
        <w:t>2022年，我部门财政拨款“三公”经费预算安排6万元，其中：因公出国（境）费0万元；公务用车购置及运维费6万元（其中：公务用车购置费0万元，公务用车运行维护费6万元）。其中公务接待费0万元。与2021年相比持平无增减变化。</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r>
        <w:rPr>
          <w:rFonts w:hint="eastAsia" w:ascii="方正仿宋_GBK" w:hAnsi="方正仿宋_GBK" w:cs="方正仿宋_GBK"/>
          <w:i w:val="0"/>
          <w:iCs w:val="0"/>
          <w:caps w:val="0"/>
          <w:color w:val="000000"/>
          <w:spacing w:val="0"/>
          <w:sz w:val="28"/>
          <w:szCs w:val="28"/>
          <w:shd w:val="clear" w:fill="FFFFFF"/>
          <w:lang w:eastAsia="zh-CN"/>
        </w:rPr>
        <w:t>，</w:t>
      </w:r>
      <w:r>
        <w:rPr>
          <w:rFonts w:hint="eastAsia" w:ascii="方正仿宋_GBK" w:hAnsi="方正仿宋_GBK" w:eastAsia="方正仿宋_GBK" w:cs="方正仿宋_GBK"/>
          <w:i w:val="0"/>
          <w:iCs w:val="0"/>
          <w:caps w:val="0"/>
          <w:color w:val="000000"/>
          <w:spacing w:val="0"/>
          <w:sz w:val="28"/>
          <w:szCs w:val="28"/>
          <w:shd w:val="clear" w:fill="FFFFFF"/>
        </w:rPr>
        <w:t>进一步规范公务用车制度，严格控制公务用车范围</w:t>
      </w:r>
      <w:r>
        <w:rPr>
          <w:rFonts w:hint="eastAsia" w:ascii="方正仿宋_GBK" w:hAnsi="方正仿宋_GBK" w:eastAsia="方正仿宋_GBK" w:cs="方正仿宋_GBK"/>
          <w:sz w:val="28"/>
          <w:szCs w:val="28"/>
        </w:rPr>
        <w:t>。</w:t>
      </w:r>
    </w:p>
    <w:p>
      <w:pPr>
        <w:pStyle w:val="23"/>
        <w:rPr>
          <w:rFonts w:hint="eastAsia" w:eastAsia="方正仿宋_GBK"/>
          <w:lang w:eastAsia="zh-CN"/>
        </w:rPr>
      </w:pPr>
    </w:p>
    <w:p>
      <w:pPr>
        <w:spacing w:before="10" w:after="10" w:line="360" w:lineRule="auto"/>
        <w:ind w:firstLine="640"/>
        <w:outlineLvl w:val="2"/>
      </w:pPr>
      <w:bookmarkStart w:id="28" w:name="_Toc_3_3_0000000014"/>
      <w:bookmarkStart w:id="29" w:name="_Toc2128"/>
      <w:r>
        <w:rPr>
          <w:rFonts w:ascii="黑体" w:hAnsi="黑体" w:eastAsia="黑体" w:cs="黑体"/>
          <w:color w:val="000000"/>
          <w:sz w:val="32"/>
        </w:rPr>
        <w:t>五、预算绩效信息</w:t>
      </w:r>
      <w:bookmarkEnd w:id="28"/>
      <w:bookmarkEnd w:id="29"/>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4"/>
      </w:pPr>
      <w:r>
        <w:t>1、全面贯彻执行党和国家关于老干部工作的方针、政策。</w:t>
      </w:r>
    </w:p>
    <w:p>
      <w:pPr>
        <w:pStyle w:val="24"/>
      </w:pPr>
      <w:r>
        <w:t>2、落实离退休干部的政治、生活待遇。</w:t>
      </w:r>
    </w:p>
    <w:p>
      <w:pPr>
        <w:pStyle w:val="24"/>
      </w:pPr>
      <w:r>
        <w:t>3、定期组织老干部学习、及时传达上级主要文件精神。</w:t>
      </w:r>
    </w:p>
    <w:p>
      <w:pPr>
        <w:pStyle w:val="24"/>
      </w:pPr>
      <w:r>
        <w:t>4、搞好老干部文体活动及健康疗养。</w:t>
      </w:r>
    </w:p>
    <w:p>
      <w:pPr>
        <w:pStyle w:val="24"/>
      </w:pPr>
      <w:r>
        <w:t>5、组织宣传老干部政策，鼓励老干部发挥余热，为全县政治、经济工作服务。</w:t>
      </w:r>
    </w:p>
    <w:p>
      <w:pPr>
        <w:pStyle w:val="24"/>
      </w:pPr>
      <w:r>
        <w:t>6、为老干部“老有所养，老有所医，老有所为，老有所学，老有所乐”创造良好的条件和环境。</w:t>
      </w:r>
    </w:p>
    <w:p>
      <w:pPr>
        <w:pStyle w:val="24"/>
      </w:pPr>
      <w:r>
        <w:t>7、承办县委交办的其他事项。</w:t>
      </w:r>
    </w:p>
    <w:p>
      <w:pPr>
        <w:spacing w:line="500" w:lineRule="exact"/>
        <w:ind w:firstLine="560"/>
      </w:pPr>
      <w:r>
        <w:rPr>
          <w:rFonts w:eastAsia="方正仿宋_GBK"/>
          <w:color w:val="000000"/>
          <w:sz w:val="28"/>
        </w:rPr>
        <w:t>（二）分项绩效目标</w:t>
      </w:r>
    </w:p>
    <w:p>
      <w:pPr>
        <w:pStyle w:val="25"/>
      </w:pPr>
      <w:r>
        <w:rPr>
          <w:rFonts w:hint="eastAsia"/>
          <w:lang w:val="en-US" w:eastAsia="zh-CN"/>
        </w:rPr>
        <w:t>1、</w:t>
      </w:r>
      <w:r>
        <w:rPr>
          <w:rFonts w:hint="eastAsia"/>
          <w:lang w:eastAsia="zh-CN"/>
        </w:rPr>
        <w:t>编纂</w:t>
      </w:r>
      <w:r>
        <w:t>无极县革命历史文化资料，发挥老干部特长。</w:t>
      </w:r>
    </w:p>
    <w:p>
      <w:pPr>
        <w:pStyle w:val="25"/>
      </w:pPr>
      <w:r>
        <w:t>绩效目标：征集</w:t>
      </w:r>
      <w:r>
        <w:rPr>
          <w:rFonts w:hint="eastAsia"/>
          <w:lang w:eastAsia="zh-CN"/>
        </w:rPr>
        <w:t>编纂</w:t>
      </w:r>
      <w:r>
        <w:t>无极县革命历史文化资料，使我县的文化广为流传。</w:t>
      </w:r>
    </w:p>
    <w:p>
      <w:pPr>
        <w:pStyle w:val="25"/>
      </w:pPr>
      <w:r>
        <w:t>绩效指标：</w:t>
      </w:r>
      <w:r>
        <w:rPr>
          <w:rFonts w:hint="eastAsia"/>
          <w:lang w:eastAsia="zh-CN"/>
        </w:rPr>
        <w:t>编纂</w:t>
      </w:r>
      <w:r>
        <w:t>无极县革命历史文化资料，确保刊物按时印刷。受助老同志满意度90%以上。</w:t>
      </w:r>
    </w:p>
    <w:p>
      <w:pPr>
        <w:pStyle w:val="25"/>
      </w:pPr>
      <w:r>
        <w:rPr>
          <w:rFonts w:hint="eastAsia"/>
          <w:lang w:val="en-US" w:eastAsia="zh-CN"/>
        </w:rPr>
        <w:t>2、</w:t>
      </w:r>
      <w:r>
        <w:t>健全完善与经济社会发展相适应的老年教育体系，充分发挥老干部传帮带作用，传承优良作风，让下一代健康成长。</w:t>
      </w:r>
    </w:p>
    <w:p>
      <w:pPr>
        <w:pStyle w:val="25"/>
      </w:pPr>
      <w:r>
        <w:t>绩效目标：拓宽离退休老干部发挥作用领域，完善老年阵地建设体系，确保各项活动工作正常运行。</w:t>
      </w:r>
    </w:p>
    <w:p>
      <w:pPr>
        <w:pStyle w:val="25"/>
      </w:pPr>
      <w:r>
        <w:t>绩效指标：积极组织老干部开展青少年教育活动，切实关心下一代。满意度90%以上。</w:t>
      </w:r>
    </w:p>
    <w:p>
      <w:pPr>
        <w:pStyle w:val="25"/>
      </w:pPr>
      <w:r>
        <w:rPr>
          <w:rFonts w:hint="eastAsia"/>
          <w:lang w:val="en-US" w:eastAsia="zh-CN"/>
        </w:rPr>
        <w:t>3、</w:t>
      </w:r>
      <w:r>
        <w:t>完善机制，转变作风，夯实基础，狠抓落实，强力推动老干部工作扎实开展，落实离退休干部政治、生活待遇。</w:t>
      </w:r>
    </w:p>
    <w:p>
      <w:pPr>
        <w:pStyle w:val="25"/>
      </w:pPr>
      <w:r>
        <w:t>绩效目标：专项用于老年书画系列活动，确保老干部活动更加有效的开展。</w:t>
      </w:r>
    </w:p>
    <w:p>
      <w:pPr>
        <w:pStyle w:val="25"/>
      </w:pPr>
      <w:r>
        <w:t>绩效指标：积极组织老干部参加各项活动，切实让干部生活丰富多彩。满意度90%以上。</w:t>
      </w:r>
    </w:p>
    <w:p>
      <w:pPr>
        <w:pStyle w:val="25"/>
      </w:pPr>
      <w:r>
        <w:rPr>
          <w:rFonts w:hint="eastAsia"/>
          <w:lang w:val="en-US" w:eastAsia="zh-CN"/>
        </w:rPr>
        <w:t>4、</w:t>
      </w:r>
      <w:r>
        <w:t>充分发挥老区建设，促进社会调研、牵线搭桥、参谋助手作用，加快老区经济社会发展。</w:t>
      </w:r>
    </w:p>
    <w:p>
      <w:pPr>
        <w:pStyle w:val="25"/>
      </w:pPr>
      <w:r>
        <w:t>绩效目标：健全完善与经济社会发展相适应的老年教育体系，充分发挥老干部传帮带作用，传承优良作风，让下一代健康成长。</w:t>
      </w:r>
    </w:p>
    <w:p>
      <w:pPr>
        <w:pStyle w:val="25"/>
      </w:pPr>
      <w:r>
        <w:t>绩效指标：积极组织老干部开展活动，切实关心老干部待遇。满意度90%以上。</w:t>
      </w:r>
    </w:p>
    <w:p>
      <w:pPr>
        <w:pStyle w:val="25"/>
      </w:pPr>
      <w:r>
        <w:rPr>
          <w:rFonts w:hint="eastAsia"/>
          <w:lang w:val="en-US" w:eastAsia="zh-CN"/>
        </w:rPr>
        <w:t>5、</w:t>
      </w:r>
      <w:r>
        <w:t>对退休干部进行走访慰问，及时了解他们的所需所求，帮助他们解决生活中的困难，让每位老干部感受到政治上的关心、生活上的爱护。</w:t>
      </w:r>
    </w:p>
    <w:p>
      <w:pPr>
        <w:pStyle w:val="25"/>
      </w:pPr>
      <w:r>
        <w:t>绩效目标：深入老干部家中走访慰问，及时了解他们的所需所求，掌握他们解决生活中的难题，落实退休干部生活待遇。</w:t>
      </w:r>
    </w:p>
    <w:p>
      <w:pPr>
        <w:pStyle w:val="25"/>
      </w:pPr>
      <w:r>
        <w:t>绩效指标：保障身体虚弱、行动不便的退休干部待遇得到落实。老干部满意度90%以上。</w:t>
      </w:r>
    </w:p>
    <w:p>
      <w:pPr>
        <w:pStyle w:val="25"/>
      </w:pPr>
      <w:r>
        <w:rPr>
          <w:rFonts w:hint="eastAsia"/>
          <w:lang w:val="en-US" w:eastAsia="zh-CN"/>
        </w:rPr>
        <w:t>6、</w:t>
      </w:r>
      <w:r>
        <w:t>老干部特需经费，走访慰问离休干部是体现了县委、县政府对离休干部的重视。</w:t>
      </w:r>
    </w:p>
    <w:p>
      <w:pPr>
        <w:pStyle w:val="25"/>
      </w:pPr>
      <w:r>
        <w:t>绩效目标：特需费主要用于离退休干部的必要活动、春节慰问等；离休干部管理费主要用于离休干部报刊费、文体活动等的费用。</w:t>
      </w:r>
    </w:p>
    <w:p>
      <w:pPr>
        <w:pStyle w:val="25"/>
      </w:pPr>
      <w:r>
        <w:t>绩效指标：组织各种文体活动丰富老年生活，订阅报刊使老干部老有所学，老干部满意度90%以上。</w:t>
      </w:r>
    </w:p>
    <w:p>
      <w:pPr>
        <w:pStyle w:val="25"/>
      </w:pPr>
      <w:r>
        <w:rPr>
          <w:rFonts w:hint="eastAsia"/>
          <w:lang w:val="en-US" w:eastAsia="zh-CN"/>
        </w:rPr>
        <w:t>7、</w:t>
      </w:r>
      <w:r>
        <w:t>随着社会老龄化的到来，越来越多的人离开的工作岗位，步入社会，老年大学提供宽敞的教室，</w:t>
      </w:r>
      <w:r>
        <w:rPr>
          <w:rFonts w:hint="eastAsia"/>
          <w:lang w:eastAsia="zh-CN"/>
        </w:rPr>
        <w:t>更好地为</w:t>
      </w:r>
      <w:r>
        <w:t>老年人服务。</w:t>
      </w:r>
    </w:p>
    <w:p>
      <w:pPr>
        <w:pStyle w:val="25"/>
      </w:pPr>
      <w:r>
        <w:t>绩效目标：能够让更多的退休干部老有所学、老有所乐。</w:t>
      </w:r>
    </w:p>
    <w:p>
      <w:pPr>
        <w:pStyle w:val="25"/>
      </w:pPr>
      <w:r>
        <w:t>绩效指标：积极组织老干部参加各项活动，切实让干部生活丰富多彩。老干部满意度90%以上。</w:t>
      </w:r>
    </w:p>
    <w:p>
      <w:pPr>
        <w:pStyle w:val="25"/>
      </w:pPr>
      <w:r>
        <w:rPr>
          <w:rFonts w:hint="eastAsia"/>
          <w:lang w:val="en-US" w:eastAsia="zh-CN"/>
        </w:rPr>
        <w:t>8、</w:t>
      </w:r>
      <w:r>
        <w:t>活跃离退休干部精神文化生活，定期开展书画交流等活动。</w:t>
      </w:r>
    </w:p>
    <w:p>
      <w:pPr>
        <w:pStyle w:val="25"/>
      </w:pPr>
      <w:r>
        <w:t>绩效目标：保障老年书画研究会工作正常运行，能够让更多的退休干部老有所学、老有所乐。</w:t>
      </w:r>
    </w:p>
    <w:p>
      <w:pPr>
        <w:pStyle w:val="25"/>
      </w:pPr>
      <w:r>
        <w:t>绩效指标：组织书画活动丰富老年生活，切实让干部生活丰富多彩。老干部满意度90%以上。</w:t>
      </w:r>
    </w:p>
    <w:p>
      <w:pPr>
        <w:spacing w:line="500" w:lineRule="exact"/>
        <w:ind w:firstLine="560"/>
      </w:pPr>
      <w:r>
        <w:rPr>
          <w:rFonts w:eastAsia="方正仿宋_GBK"/>
          <w:color w:val="000000"/>
          <w:sz w:val="28"/>
        </w:rPr>
        <w:t>（三）工作保障措施</w:t>
      </w:r>
    </w:p>
    <w:p>
      <w:pPr>
        <w:pStyle w:val="26"/>
      </w:pPr>
      <w:r>
        <w:t>工作保障措施</w:t>
      </w:r>
    </w:p>
    <w:p>
      <w:pPr>
        <w:pStyle w:val="26"/>
      </w:pPr>
      <w:r>
        <w:t>完善制度建设。</w:t>
      </w:r>
      <w:r>
        <w:rPr>
          <w:rFonts w:hint="eastAsia"/>
          <w:lang w:eastAsia="zh-CN"/>
        </w:rPr>
        <w:t>部门</w:t>
      </w:r>
      <w:r>
        <w:t>组织健全，职责分工明确。制定资金管理办法、工作保障制度等，为全年预算绩效目标的实现奠定制度基础。</w:t>
      </w:r>
    </w:p>
    <w:p>
      <w:pPr>
        <w:pStyle w:val="26"/>
      </w:pPr>
      <w:r>
        <w:t>加强绩效运行监控。按要求开展绩效运行监控，发现问题及时采取措施，确保绩效目标如期保质实现。</w:t>
      </w:r>
    </w:p>
    <w:p>
      <w:pPr>
        <w:pStyle w:val="26"/>
      </w:pPr>
      <w:r>
        <w:t>做好绩效自评。按要求开展上年度部门预算绩效自评和重点评价工作，对评价中发现的问题及时整改，调整优化支出结构，提高财政资金使用效益。</w:t>
      </w:r>
    </w:p>
    <w:p>
      <w:pPr>
        <w:pStyle w:val="26"/>
      </w:pPr>
      <w:r>
        <w:t>规范财务资产管理。完善财务管理制度，严格审批程序，加强固定资产登记、使用和报废处置管理，做到支出合理，物尽其用。</w:t>
      </w:r>
    </w:p>
    <w:p>
      <w:pPr>
        <w:pStyle w:val="26"/>
      </w:pPr>
      <w:r>
        <w:t>加强内部监督。加强内部监督制度建设，对绩效运行情况、重大支出决策、对外投资、资产处置及其他重要经济业务事项的决策和执行进行监督工作，确保财政资产安全有效。</w:t>
      </w:r>
    </w:p>
    <w:p>
      <w:pPr>
        <w:pStyle w:val="26"/>
      </w:pPr>
      <w:r>
        <w:t>加强宣传培训调研等。加强人员培训，提高本部分职工业务素质；加强调研提出优化财政资金配置、提高资金使用效益的意见建议；加大宣传力度，化预算绩效管理意识，促进预算绩效管理水平进一步提升。</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1、2022年关工委经费绩效目标表</w:t>
      </w:r>
    </w:p>
    <w:tbl>
      <w:tblPr>
        <w:tblStyle w:val="7"/>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rPr>
                <w:rFonts w:hint="eastAsia"/>
                <w:lang w:eastAsia="zh-CN"/>
              </w:rPr>
            </w:pPr>
            <w:r>
              <w:t>1.</w:t>
            </w:r>
            <w:r>
              <w:rPr>
                <w:rFonts w:hint="eastAsia"/>
                <w:lang w:eastAsia="zh-CN"/>
              </w:rPr>
              <w:t>开展培训及相关活动。</w:t>
            </w:r>
          </w:p>
        </w:tc>
      </w:tr>
    </w:tbl>
    <w:p>
      <w:pPr>
        <w:spacing w:line="2" w:lineRule="exact"/>
        <w:jc w:val="center"/>
      </w:pP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培训人员人次</w:t>
            </w:r>
          </w:p>
        </w:tc>
        <w:tc>
          <w:tcPr>
            <w:tcW w:w="2835" w:type="dxa"/>
            <w:vAlign w:val="center"/>
          </w:tcPr>
          <w:p>
            <w:pPr>
              <w:pStyle w:val="15"/>
            </w:pPr>
            <w:r>
              <w:t>培训人员人次</w:t>
            </w:r>
          </w:p>
        </w:tc>
        <w:tc>
          <w:tcPr>
            <w:tcW w:w="2551" w:type="dxa"/>
            <w:vAlign w:val="center"/>
          </w:tcPr>
          <w:p>
            <w:pPr>
              <w:pStyle w:val="15"/>
            </w:pPr>
            <w:r>
              <w:t>≥95积极开展教育活动切实关心下一代</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群众工作中心任务完成率</w:t>
            </w:r>
          </w:p>
        </w:tc>
        <w:tc>
          <w:tcPr>
            <w:tcW w:w="2835" w:type="dxa"/>
            <w:vAlign w:val="center"/>
          </w:tcPr>
          <w:p>
            <w:pPr>
              <w:pStyle w:val="15"/>
            </w:pPr>
            <w:r>
              <w:t>群众工作中心任务完成率</w:t>
            </w:r>
          </w:p>
        </w:tc>
        <w:tc>
          <w:tcPr>
            <w:tcW w:w="2551" w:type="dxa"/>
            <w:vAlign w:val="center"/>
          </w:tcPr>
          <w:p>
            <w:pPr>
              <w:pStyle w:val="15"/>
            </w:pPr>
            <w:r>
              <w:t>≥85综合事务管理工作完成情况</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服务的完成度</w:t>
            </w:r>
          </w:p>
        </w:tc>
        <w:tc>
          <w:tcPr>
            <w:tcW w:w="2835" w:type="dxa"/>
            <w:vAlign w:val="center"/>
          </w:tcPr>
          <w:p>
            <w:pPr>
              <w:pStyle w:val="15"/>
            </w:pPr>
            <w:r>
              <w:t>服务的完成度</w:t>
            </w:r>
          </w:p>
        </w:tc>
        <w:tc>
          <w:tcPr>
            <w:tcW w:w="2551" w:type="dxa"/>
            <w:vAlign w:val="center"/>
          </w:tcPr>
          <w:p>
            <w:pPr>
              <w:pStyle w:val="15"/>
            </w:pPr>
            <w:r>
              <w:t>87切实让老干部生活丰富多彩</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参加培训人均成本</w:t>
            </w:r>
          </w:p>
        </w:tc>
        <w:tc>
          <w:tcPr>
            <w:tcW w:w="2835" w:type="dxa"/>
            <w:vAlign w:val="center"/>
          </w:tcPr>
          <w:p>
            <w:pPr>
              <w:pStyle w:val="15"/>
            </w:pPr>
            <w:r>
              <w:t>参加培训人均成本</w:t>
            </w:r>
          </w:p>
        </w:tc>
        <w:tc>
          <w:tcPr>
            <w:tcW w:w="2551" w:type="dxa"/>
            <w:vAlign w:val="center"/>
          </w:tcPr>
          <w:p>
            <w:pPr>
              <w:pStyle w:val="15"/>
            </w:pPr>
            <w:r>
              <w:t>≥90</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80</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参观人数</w:t>
            </w:r>
          </w:p>
        </w:tc>
        <w:tc>
          <w:tcPr>
            <w:tcW w:w="2835" w:type="dxa"/>
            <w:vAlign w:val="center"/>
          </w:tcPr>
          <w:p>
            <w:pPr>
              <w:pStyle w:val="15"/>
            </w:pPr>
            <w:r>
              <w:t>参观人数</w:t>
            </w:r>
          </w:p>
        </w:tc>
        <w:tc>
          <w:tcPr>
            <w:tcW w:w="2551" w:type="dxa"/>
            <w:vAlign w:val="center"/>
          </w:tcPr>
          <w:p>
            <w:pPr>
              <w:pStyle w:val="15"/>
            </w:pPr>
            <w:r>
              <w:t>≥87</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各项工作任务按时完成率</w:t>
            </w:r>
          </w:p>
        </w:tc>
        <w:tc>
          <w:tcPr>
            <w:tcW w:w="2835" w:type="dxa"/>
            <w:vAlign w:val="center"/>
          </w:tcPr>
          <w:p>
            <w:pPr>
              <w:pStyle w:val="15"/>
            </w:pPr>
            <w:r>
              <w:t>各项工作任务按时完成率</w:t>
            </w:r>
          </w:p>
        </w:tc>
        <w:tc>
          <w:tcPr>
            <w:tcW w:w="2551" w:type="dxa"/>
            <w:vAlign w:val="center"/>
          </w:tcPr>
          <w:p>
            <w:pPr>
              <w:pStyle w:val="15"/>
            </w:pPr>
            <w:r>
              <w:t>85保障社会稳定发展</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提供优质服务</w:t>
            </w:r>
          </w:p>
        </w:tc>
        <w:tc>
          <w:tcPr>
            <w:tcW w:w="2835" w:type="dxa"/>
            <w:vAlign w:val="center"/>
          </w:tcPr>
          <w:p>
            <w:pPr>
              <w:pStyle w:val="15"/>
            </w:pPr>
            <w:r>
              <w:t>提供优质服务</w:t>
            </w:r>
          </w:p>
        </w:tc>
        <w:tc>
          <w:tcPr>
            <w:tcW w:w="2551" w:type="dxa"/>
            <w:vAlign w:val="center"/>
          </w:tcPr>
          <w:p>
            <w:pPr>
              <w:pStyle w:val="15"/>
            </w:pPr>
            <w:r>
              <w:t>≥92</w:t>
            </w:r>
          </w:p>
        </w:tc>
        <w:tc>
          <w:tcPr>
            <w:tcW w:w="2268" w:type="dxa"/>
            <w:vAlign w:val="center"/>
          </w:tcPr>
          <w:p>
            <w:pPr>
              <w:pStyle w:val="15"/>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活动参与人员满意度</w:t>
            </w:r>
          </w:p>
        </w:tc>
        <w:tc>
          <w:tcPr>
            <w:tcW w:w="2835" w:type="dxa"/>
            <w:vAlign w:val="center"/>
          </w:tcPr>
          <w:p>
            <w:pPr>
              <w:pStyle w:val="15"/>
            </w:pPr>
            <w:r>
              <w:t>活动参与人员满意度</w:t>
            </w:r>
          </w:p>
        </w:tc>
        <w:tc>
          <w:tcPr>
            <w:tcW w:w="2551" w:type="dxa"/>
            <w:vAlign w:val="center"/>
          </w:tcPr>
          <w:p>
            <w:pPr>
              <w:pStyle w:val="15"/>
            </w:pPr>
            <w:r>
              <w:t>95</w:t>
            </w:r>
          </w:p>
        </w:tc>
        <w:tc>
          <w:tcPr>
            <w:tcW w:w="2268" w:type="dxa"/>
            <w:vAlign w:val="center"/>
          </w:tcPr>
          <w:p>
            <w:pPr>
              <w:pStyle w:val="15"/>
            </w:pPr>
            <w:r>
              <w:t>年度预算管理要求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2、2022年老促会经费绩效目标表</w:t>
      </w:r>
    </w:p>
    <w:tbl>
      <w:tblPr>
        <w:tblStyle w:val="7"/>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1充分发挥老区建设，促进社会调研、牵线搭桥、参谋助手作用，加快老区经济社会发展。</w:t>
            </w:r>
          </w:p>
        </w:tc>
      </w:tr>
    </w:tbl>
    <w:p>
      <w:pPr>
        <w:spacing w:line="2" w:lineRule="exact"/>
        <w:jc w:val="center"/>
      </w:pP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培训人员人次</w:t>
            </w:r>
          </w:p>
        </w:tc>
        <w:tc>
          <w:tcPr>
            <w:tcW w:w="2835" w:type="dxa"/>
            <w:vAlign w:val="center"/>
          </w:tcPr>
          <w:p>
            <w:pPr>
              <w:pStyle w:val="15"/>
            </w:pPr>
            <w:r>
              <w:t>培训人员人次</w:t>
            </w:r>
          </w:p>
        </w:tc>
        <w:tc>
          <w:tcPr>
            <w:tcW w:w="2551" w:type="dxa"/>
            <w:vAlign w:val="center"/>
          </w:tcPr>
          <w:p>
            <w:pPr>
              <w:pStyle w:val="15"/>
            </w:pPr>
            <w:r>
              <w:t>≥85保证工作正常开展</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群众工作中心任务完成率</w:t>
            </w:r>
          </w:p>
        </w:tc>
        <w:tc>
          <w:tcPr>
            <w:tcW w:w="2835" w:type="dxa"/>
            <w:vAlign w:val="center"/>
          </w:tcPr>
          <w:p>
            <w:pPr>
              <w:pStyle w:val="15"/>
            </w:pPr>
            <w:r>
              <w:t>群众工作中心任务完成率</w:t>
            </w:r>
          </w:p>
        </w:tc>
        <w:tc>
          <w:tcPr>
            <w:tcW w:w="2551" w:type="dxa"/>
            <w:vAlign w:val="center"/>
          </w:tcPr>
          <w:p>
            <w:pPr>
              <w:pStyle w:val="15"/>
            </w:pPr>
            <w:r>
              <w:t>≥80</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群众文化活动参与率</w:t>
            </w:r>
          </w:p>
        </w:tc>
        <w:tc>
          <w:tcPr>
            <w:tcW w:w="2835" w:type="dxa"/>
            <w:vAlign w:val="center"/>
          </w:tcPr>
          <w:p>
            <w:pPr>
              <w:pStyle w:val="15"/>
            </w:pPr>
            <w:r>
              <w:t>群众文化活动参与率</w:t>
            </w:r>
          </w:p>
        </w:tc>
        <w:tc>
          <w:tcPr>
            <w:tcW w:w="2551" w:type="dxa"/>
            <w:vAlign w:val="center"/>
          </w:tcPr>
          <w:p>
            <w:pPr>
              <w:pStyle w:val="15"/>
            </w:pPr>
            <w:r>
              <w:t>82保证工作正常开展</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服务的完成度</w:t>
            </w:r>
          </w:p>
        </w:tc>
        <w:tc>
          <w:tcPr>
            <w:tcW w:w="2835" w:type="dxa"/>
            <w:vAlign w:val="center"/>
          </w:tcPr>
          <w:p>
            <w:pPr>
              <w:pStyle w:val="15"/>
            </w:pPr>
            <w:r>
              <w:t>服务的完成度</w:t>
            </w:r>
          </w:p>
        </w:tc>
        <w:tc>
          <w:tcPr>
            <w:tcW w:w="2551" w:type="dxa"/>
            <w:vAlign w:val="center"/>
          </w:tcPr>
          <w:p>
            <w:pPr>
              <w:pStyle w:val="15"/>
            </w:pPr>
            <w:r>
              <w:t>≥90保证工作正常开展</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生态效益指标</w:t>
            </w:r>
          </w:p>
        </w:tc>
        <w:tc>
          <w:tcPr>
            <w:tcW w:w="2835" w:type="dxa"/>
            <w:vAlign w:val="center"/>
          </w:tcPr>
          <w:p>
            <w:pPr>
              <w:pStyle w:val="15"/>
            </w:pPr>
            <w:r>
              <w:t>生态效益指标</w:t>
            </w:r>
          </w:p>
        </w:tc>
        <w:tc>
          <w:tcPr>
            <w:tcW w:w="2551" w:type="dxa"/>
            <w:vAlign w:val="center"/>
          </w:tcPr>
          <w:p>
            <w:pPr>
              <w:pStyle w:val="15"/>
            </w:pPr>
            <w:r>
              <w:t>≥94</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提供服务次数</w:t>
            </w:r>
          </w:p>
        </w:tc>
        <w:tc>
          <w:tcPr>
            <w:tcW w:w="2835" w:type="dxa"/>
            <w:vAlign w:val="center"/>
          </w:tcPr>
          <w:p>
            <w:pPr>
              <w:pStyle w:val="15"/>
            </w:pPr>
            <w:r>
              <w:t>提供服务次数</w:t>
            </w:r>
          </w:p>
        </w:tc>
        <w:tc>
          <w:tcPr>
            <w:tcW w:w="2551" w:type="dxa"/>
            <w:vAlign w:val="center"/>
          </w:tcPr>
          <w:p>
            <w:pPr>
              <w:pStyle w:val="15"/>
            </w:pPr>
            <w:r>
              <w:t>90</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89</w:t>
            </w:r>
          </w:p>
        </w:tc>
        <w:tc>
          <w:tcPr>
            <w:tcW w:w="2268" w:type="dxa"/>
            <w:vAlign w:val="center"/>
          </w:tcPr>
          <w:p>
            <w:pPr>
              <w:pStyle w:val="15"/>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提高工作效率</w:t>
            </w:r>
          </w:p>
        </w:tc>
        <w:tc>
          <w:tcPr>
            <w:tcW w:w="2835" w:type="dxa"/>
            <w:vAlign w:val="center"/>
          </w:tcPr>
          <w:p>
            <w:pPr>
              <w:pStyle w:val="15"/>
            </w:pPr>
            <w:r>
              <w:t>提高工作效率</w:t>
            </w:r>
          </w:p>
        </w:tc>
        <w:tc>
          <w:tcPr>
            <w:tcW w:w="2551" w:type="dxa"/>
            <w:vAlign w:val="center"/>
          </w:tcPr>
          <w:p>
            <w:pPr>
              <w:pStyle w:val="15"/>
            </w:pPr>
            <w:r>
              <w:t>≥93</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活动参与人员满意度</w:t>
            </w:r>
          </w:p>
        </w:tc>
        <w:tc>
          <w:tcPr>
            <w:tcW w:w="2835" w:type="dxa"/>
            <w:vAlign w:val="center"/>
          </w:tcPr>
          <w:p>
            <w:pPr>
              <w:pStyle w:val="15"/>
            </w:pPr>
            <w:r>
              <w:t>活动参与人员满意度</w:t>
            </w:r>
          </w:p>
        </w:tc>
        <w:tc>
          <w:tcPr>
            <w:tcW w:w="2551" w:type="dxa"/>
            <w:vAlign w:val="center"/>
          </w:tcPr>
          <w:p>
            <w:pPr>
              <w:pStyle w:val="15"/>
            </w:pPr>
            <w:r>
              <w:t>90</w:t>
            </w:r>
          </w:p>
        </w:tc>
        <w:tc>
          <w:tcPr>
            <w:tcW w:w="2268" w:type="dxa"/>
            <w:vAlign w:val="center"/>
          </w:tcPr>
          <w:p>
            <w:pPr>
              <w:pStyle w:val="15"/>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3、2022年老干部专项经费绩效目标表</w:t>
      </w:r>
    </w:p>
    <w:tbl>
      <w:tblPr>
        <w:tblStyle w:val="7"/>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1落实老干部政治、生活待遇，保障离退休老干部的各项政策落实，让每位老干部感受政治上的关心，生活上的爱护。</w:t>
            </w:r>
          </w:p>
        </w:tc>
      </w:tr>
    </w:tbl>
    <w:p>
      <w:pPr>
        <w:spacing w:line="2" w:lineRule="exact"/>
        <w:jc w:val="center"/>
      </w:pP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培训人员人次</w:t>
            </w:r>
          </w:p>
        </w:tc>
        <w:tc>
          <w:tcPr>
            <w:tcW w:w="2835" w:type="dxa"/>
            <w:vAlign w:val="center"/>
          </w:tcPr>
          <w:p>
            <w:pPr>
              <w:pStyle w:val="15"/>
            </w:pPr>
            <w:r>
              <w:t>培训人员人次</w:t>
            </w:r>
          </w:p>
        </w:tc>
        <w:tc>
          <w:tcPr>
            <w:tcW w:w="2551" w:type="dxa"/>
            <w:vAlign w:val="center"/>
          </w:tcPr>
          <w:p>
            <w:pPr>
              <w:pStyle w:val="15"/>
            </w:pPr>
            <w:r>
              <w:t>≥80</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群众文化活动参与率</w:t>
            </w:r>
          </w:p>
        </w:tc>
        <w:tc>
          <w:tcPr>
            <w:tcW w:w="2835" w:type="dxa"/>
            <w:vAlign w:val="center"/>
          </w:tcPr>
          <w:p>
            <w:pPr>
              <w:pStyle w:val="15"/>
            </w:pPr>
            <w:r>
              <w:t>群众文化活动参与率</w:t>
            </w:r>
          </w:p>
        </w:tc>
        <w:tc>
          <w:tcPr>
            <w:tcW w:w="2551" w:type="dxa"/>
            <w:vAlign w:val="center"/>
          </w:tcPr>
          <w:p>
            <w:pPr>
              <w:pStyle w:val="15"/>
            </w:pPr>
            <w:r>
              <w:t>85</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服务的完成度</w:t>
            </w:r>
          </w:p>
        </w:tc>
        <w:tc>
          <w:tcPr>
            <w:tcW w:w="2835" w:type="dxa"/>
            <w:vAlign w:val="center"/>
          </w:tcPr>
          <w:p>
            <w:pPr>
              <w:pStyle w:val="15"/>
            </w:pPr>
            <w:r>
              <w:t>服务的完成度</w:t>
            </w:r>
          </w:p>
        </w:tc>
        <w:tc>
          <w:tcPr>
            <w:tcW w:w="2551" w:type="dxa"/>
            <w:vAlign w:val="center"/>
          </w:tcPr>
          <w:p>
            <w:pPr>
              <w:pStyle w:val="15"/>
            </w:pPr>
            <w:r>
              <w:t>≥82保障工作正常运转</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完成工作目标所需资金</w:t>
            </w:r>
          </w:p>
        </w:tc>
        <w:tc>
          <w:tcPr>
            <w:tcW w:w="2835" w:type="dxa"/>
            <w:vAlign w:val="center"/>
          </w:tcPr>
          <w:p>
            <w:pPr>
              <w:pStyle w:val="15"/>
            </w:pPr>
            <w:r>
              <w:t>完成工作目标所需资金</w:t>
            </w:r>
          </w:p>
        </w:tc>
        <w:tc>
          <w:tcPr>
            <w:tcW w:w="2551" w:type="dxa"/>
            <w:vAlign w:val="center"/>
          </w:tcPr>
          <w:p>
            <w:pPr>
              <w:pStyle w:val="15"/>
            </w:pPr>
            <w:r>
              <w:t>95保障工作正常运转</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提高效率</w:t>
            </w:r>
          </w:p>
        </w:tc>
        <w:tc>
          <w:tcPr>
            <w:tcW w:w="2835" w:type="dxa"/>
            <w:vAlign w:val="center"/>
          </w:tcPr>
          <w:p>
            <w:pPr>
              <w:pStyle w:val="15"/>
            </w:pPr>
            <w:r>
              <w:t>提高效率</w:t>
            </w:r>
          </w:p>
        </w:tc>
        <w:tc>
          <w:tcPr>
            <w:tcW w:w="2551" w:type="dxa"/>
            <w:vAlign w:val="center"/>
          </w:tcPr>
          <w:p>
            <w:pPr>
              <w:pStyle w:val="15"/>
            </w:pPr>
            <w:r>
              <w:t>≥90保障工作正常运转</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提供服务次数</w:t>
            </w:r>
          </w:p>
        </w:tc>
        <w:tc>
          <w:tcPr>
            <w:tcW w:w="2835" w:type="dxa"/>
            <w:vAlign w:val="center"/>
          </w:tcPr>
          <w:p>
            <w:pPr>
              <w:pStyle w:val="15"/>
            </w:pPr>
            <w:r>
              <w:t>提供服务次数</w:t>
            </w:r>
          </w:p>
        </w:tc>
        <w:tc>
          <w:tcPr>
            <w:tcW w:w="2551" w:type="dxa"/>
            <w:vAlign w:val="center"/>
          </w:tcPr>
          <w:p>
            <w:pPr>
              <w:pStyle w:val="15"/>
            </w:pPr>
            <w:r>
              <w:t>92</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生态效益指标</w:t>
            </w:r>
          </w:p>
        </w:tc>
        <w:tc>
          <w:tcPr>
            <w:tcW w:w="2835" w:type="dxa"/>
            <w:vAlign w:val="center"/>
          </w:tcPr>
          <w:p>
            <w:pPr>
              <w:pStyle w:val="15"/>
            </w:pPr>
            <w:r>
              <w:t>生态效益指标</w:t>
            </w:r>
          </w:p>
        </w:tc>
        <w:tc>
          <w:tcPr>
            <w:tcW w:w="2551" w:type="dxa"/>
            <w:vAlign w:val="center"/>
          </w:tcPr>
          <w:p>
            <w:pPr>
              <w:pStyle w:val="15"/>
            </w:pPr>
            <w:r>
              <w:t>≥95</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可持续性服务</w:t>
            </w:r>
          </w:p>
        </w:tc>
        <w:tc>
          <w:tcPr>
            <w:tcW w:w="2835" w:type="dxa"/>
            <w:vAlign w:val="center"/>
          </w:tcPr>
          <w:p>
            <w:pPr>
              <w:pStyle w:val="15"/>
            </w:pPr>
            <w:r>
              <w:t>可持续性服务</w:t>
            </w:r>
          </w:p>
        </w:tc>
        <w:tc>
          <w:tcPr>
            <w:tcW w:w="2551" w:type="dxa"/>
            <w:vAlign w:val="center"/>
          </w:tcPr>
          <w:p>
            <w:pPr>
              <w:pStyle w:val="15"/>
            </w:pPr>
            <w:r>
              <w:t>87</w:t>
            </w:r>
          </w:p>
        </w:tc>
        <w:tc>
          <w:tcPr>
            <w:tcW w:w="2268" w:type="dxa"/>
            <w:vAlign w:val="center"/>
          </w:tcPr>
          <w:p>
            <w:pPr>
              <w:pStyle w:val="15"/>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活动参与人员满意度</w:t>
            </w:r>
          </w:p>
        </w:tc>
        <w:tc>
          <w:tcPr>
            <w:tcW w:w="2835" w:type="dxa"/>
            <w:vAlign w:val="center"/>
          </w:tcPr>
          <w:p>
            <w:pPr>
              <w:pStyle w:val="15"/>
            </w:pPr>
            <w:r>
              <w:t>活动参与人员满意度</w:t>
            </w:r>
          </w:p>
        </w:tc>
        <w:tc>
          <w:tcPr>
            <w:tcW w:w="2551" w:type="dxa"/>
            <w:vAlign w:val="center"/>
          </w:tcPr>
          <w:p>
            <w:pPr>
              <w:pStyle w:val="15"/>
            </w:pPr>
            <w:r>
              <w:t>≥90</w:t>
            </w:r>
          </w:p>
        </w:tc>
        <w:tc>
          <w:tcPr>
            <w:tcW w:w="2268" w:type="dxa"/>
            <w:vAlign w:val="center"/>
          </w:tcPr>
          <w:p>
            <w:pPr>
              <w:pStyle w:val="15"/>
            </w:pPr>
            <w:r>
              <w:t>根据工作需要</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30" w:name="_Toc_3_3_0000000015"/>
      <w:bookmarkStart w:id="31" w:name="_Toc8736"/>
      <w:r>
        <w:rPr>
          <w:rFonts w:ascii="黑体" w:hAnsi="黑体" w:eastAsia="黑体" w:cs="黑体"/>
          <w:color w:val="000000"/>
          <w:sz w:val="32"/>
        </w:rPr>
        <w:t>六、政府采购预算情况</w:t>
      </w:r>
      <w:bookmarkEnd w:id="30"/>
      <w:bookmarkEnd w:id="31"/>
    </w:p>
    <w:p>
      <w:pPr>
        <w:spacing w:line="500" w:lineRule="exact"/>
        <w:ind w:firstLine="560"/>
      </w:pPr>
      <w:r>
        <w:rPr>
          <w:rFonts w:eastAsia="方正仿宋_GBK"/>
          <w:color w:val="000000"/>
          <w:sz w:val="28"/>
        </w:rPr>
        <w:t>2022年，中国共产党无极县委员会老干部安排政府采购预算0.00万元。具体内容见下表。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32" w:name="_Toc4166"/>
      <w:bookmarkStart w:id="33" w:name="_Toc_3_3_0000000016"/>
      <w:r>
        <w:rPr>
          <w:rFonts w:ascii="黑体" w:hAnsi="黑体" w:eastAsia="黑体" w:cs="黑体"/>
          <w:color w:val="000000"/>
          <w:sz w:val="32"/>
        </w:rPr>
        <w:t>七、国有资产信息</w:t>
      </w:r>
      <w:bookmarkEnd w:id="32"/>
      <w:bookmarkEnd w:id="33"/>
    </w:p>
    <w:p>
      <w:pPr>
        <w:spacing w:line="500" w:lineRule="exact"/>
        <w:ind w:firstLine="560"/>
      </w:pPr>
      <w:r>
        <w:rPr>
          <w:rFonts w:eastAsia="方正仿宋_GBK"/>
          <w:color w:val="000000"/>
          <w:sz w:val="28"/>
        </w:rPr>
        <w:t>中国共产党无极县委员会老干部（含所属单位）上年末固定资产金额为89.31万元（详见下表）。本年度拟购置固定资产总额为0.00万元。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287中国共产党无极县委员会老干部</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89.31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40</w:t>
            </w:r>
          </w:p>
        </w:tc>
        <w:tc>
          <w:tcPr>
            <w:tcW w:w="2835" w:type="dxa"/>
            <w:vAlign w:val="center"/>
          </w:tcPr>
          <w:p>
            <w:pPr>
              <w:pStyle w:val="14"/>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2</w:t>
            </w:r>
          </w:p>
        </w:tc>
        <w:tc>
          <w:tcPr>
            <w:tcW w:w="2835" w:type="dxa"/>
            <w:vAlign w:val="center"/>
          </w:tcPr>
          <w:p>
            <w:pPr>
              <w:pStyle w:val="14"/>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60.74</w:t>
            </w:r>
          </w:p>
        </w:tc>
      </w:tr>
    </w:tbl>
    <w:p>
      <w:pPr>
        <w:ind w:firstLine="640"/>
      </w:pPr>
    </w:p>
    <w:p>
      <w:pPr>
        <w:spacing w:before="10" w:after="10"/>
        <w:ind w:firstLine="640"/>
        <w:outlineLvl w:val="2"/>
      </w:pPr>
      <w:bookmarkStart w:id="34" w:name="_Toc_3_3_0000000017"/>
      <w:bookmarkStart w:id="35" w:name="_Toc6660"/>
      <w:r>
        <w:rPr>
          <w:rFonts w:ascii="黑体" w:hAnsi="黑体" w:eastAsia="黑体" w:cs="黑体"/>
          <w:color w:val="000000"/>
          <w:sz w:val="32"/>
        </w:rPr>
        <w:t>八、名词解释</w:t>
      </w:r>
      <w:bookmarkEnd w:id="34"/>
      <w:bookmarkEnd w:id="35"/>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36" w:name="_Toc11111"/>
      <w:bookmarkStart w:id="37" w:name="_Toc_3_3_0000000018"/>
      <w:r>
        <w:rPr>
          <w:rFonts w:ascii="黑体" w:hAnsi="黑体" w:eastAsia="黑体" w:cs="黑体"/>
          <w:color w:val="000000"/>
          <w:sz w:val="32"/>
        </w:rPr>
        <w:t>九、其他需要说明的事项</w:t>
      </w:r>
      <w:bookmarkEnd w:id="36"/>
      <w:bookmarkEnd w:id="37"/>
    </w:p>
    <w:p>
      <w:pPr>
        <w:spacing w:line="500" w:lineRule="exact"/>
        <w:ind w:firstLine="560"/>
      </w:pPr>
      <w:r>
        <w:rPr>
          <w:rFonts w:eastAsia="方正仿宋_GBK"/>
          <w:color w:val="000000"/>
          <w:sz w:val="28"/>
        </w:rPr>
        <w:t>我部门无其他需要说明的事项。</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EEC"/>
    <w:rsid w:val="000A7EEC"/>
    <w:rsid w:val="000E0A4A"/>
    <w:rsid w:val="005B34BC"/>
    <w:rsid w:val="007945F9"/>
    <w:rsid w:val="00941F07"/>
    <w:rsid w:val="00953BF6"/>
    <w:rsid w:val="067F58D7"/>
    <w:rsid w:val="08E82112"/>
    <w:rsid w:val="2094637B"/>
    <w:rsid w:val="3DD77328"/>
    <w:rsid w:val="469C6E14"/>
    <w:rsid w:val="59491876"/>
    <w:rsid w:val="59A60816"/>
    <w:rsid w:val="5C5B2FC7"/>
    <w:rsid w:val="60C26B3F"/>
    <w:rsid w:val="626C0751"/>
    <w:rsid w:val="708F2D1B"/>
    <w:rsid w:val="73CA18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unhideWhenUsed/>
    <w:qFormat/>
    <w:uiPriority w:val="39"/>
    <w:pPr>
      <w:ind w:left="840" w:leftChars="400"/>
    </w:pPr>
  </w:style>
  <w:style w:type="paragraph" w:styleId="3">
    <w:name w:val="footer"/>
    <w:basedOn w:val="1"/>
    <w:link w:val="37"/>
    <w:unhideWhenUsed/>
    <w:qFormat/>
    <w:uiPriority w:val="99"/>
    <w:pPr>
      <w:tabs>
        <w:tab w:val="center" w:pos="4153"/>
        <w:tab w:val="right" w:pos="8306"/>
      </w:tabs>
      <w:snapToGrid w:val="0"/>
    </w:pPr>
    <w:rPr>
      <w:sz w:val="18"/>
      <w:szCs w:val="18"/>
    </w:rPr>
  </w:style>
  <w:style w:type="paragraph" w:styleId="4">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nhideWhenUsed/>
    <w:qFormat/>
    <w:uiPriority w:val="39"/>
  </w:style>
  <w:style w:type="paragraph" w:styleId="6">
    <w:name w:val="toc 2"/>
    <w:basedOn w:val="1"/>
    <w:next w:val="1"/>
    <w:unhideWhenUsed/>
    <w:qFormat/>
    <w:uiPriority w:val="39"/>
    <w:pPr>
      <w:ind w:left="420" w:leftChars="20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2">
    <w:name w:val="目录 21"/>
    <w:basedOn w:val="1"/>
    <w:qFormat/>
    <w:uiPriority w:val="0"/>
    <w:pPr>
      <w:ind w:left="240"/>
    </w:pPr>
  </w:style>
  <w:style w:type="paragraph" w:customStyle="1" w:styleId="33">
    <w:name w:val="目录 31"/>
    <w:basedOn w:val="1"/>
    <w:qFormat/>
    <w:uiPriority w:val="0"/>
    <w:pPr>
      <w:ind w:left="480"/>
    </w:pPr>
  </w:style>
  <w:style w:type="paragraph" w:customStyle="1" w:styleId="34">
    <w:name w:val="目录 41"/>
    <w:basedOn w:val="1"/>
    <w:qFormat/>
    <w:uiPriority w:val="0"/>
    <w:pPr>
      <w:ind w:left="720"/>
    </w:pPr>
  </w:style>
  <w:style w:type="paragraph" w:customStyle="1" w:styleId="35">
    <w:name w:val="目录 11"/>
    <w:basedOn w:val="1"/>
    <w:qFormat/>
    <w:uiPriority w:val="0"/>
    <w:pPr>
      <w:spacing w:before="120"/>
      <w:ind w:firstLine="560"/>
    </w:pPr>
    <w:rPr>
      <w:rFonts w:eastAsia="方正仿宋_GBK"/>
      <w:color w:val="000000"/>
      <w:sz w:val="28"/>
    </w:rPr>
  </w:style>
  <w:style w:type="character" w:customStyle="1" w:styleId="36">
    <w:name w:val="页眉 Char"/>
    <w:basedOn w:val="9"/>
    <w:link w:val="4"/>
    <w:qFormat/>
    <w:uiPriority w:val="99"/>
    <w:rPr>
      <w:rFonts w:eastAsia="Times New Roman"/>
      <w:sz w:val="18"/>
      <w:szCs w:val="18"/>
      <w:lang w:eastAsia="uk-UA"/>
    </w:rPr>
  </w:style>
  <w:style w:type="character" w:customStyle="1" w:styleId="37">
    <w:name w:val="页脚 Char"/>
    <w:basedOn w:val="9"/>
    <w:link w:val="3"/>
    <w:qFormat/>
    <w:uiPriority w:val="99"/>
    <w:rPr>
      <w:rFonts w:eastAsia="Times New Roman"/>
      <w:sz w:val="18"/>
      <w:szCs w:val="18"/>
      <w:lang w:eastAsia="uk-UA"/>
    </w:rPr>
  </w:style>
  <w:style w:type="paragraph" w:customStyle="1" w:styleId="38">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2022-06-23T10:15:30Z</dcterms:created>
  <dcterms:modified xsi:type="dcterms:W3CDTF">2022-06-23T02:15:30Z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2022-06-23T10:15:34Z</dcterms:created>
  <dcterms:modified xsi:type="dcterms:W3CDTF">2022-06-23T02:15:34Z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2022-06-23T10:15:34Z</dcterms:created>
  <dcterms:modified xsi:type="dcterms:W3CDTF">2022-06-23T02:15:34Z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B701B95-3C9A-48D4-9064-C9B83662EB54}">
  <ds:schemaRefs/>
</ds:datastoreItem>
</file>

<file path=customXml/itemProps10.xml><?xml version="1.0" encoding="utf-8"?>
<ds:datastoreItem xmlns:ds="http://schemas.openxmlformats.org/officeDocument/2006/customXml" ds:itemID="{415F07C1-5995-47E7-8FED-476AA5F46E77}">
  <ds:schemaRefs/>
</ds:datastoreItem>
</file>

<file path=customXml/itemProps11.xml><?xml version="1.0" encoding="utf-8"?>
<ds:datastoreItem xmlns:ds="http://schemas.openxmlformats.org/officeDocument/2006/customXml" ds:itemID="{B7BA087A-0439-42A9-9C7F-E127ADF9F71F}">
  <ds:schemaRefs/>
</ds:datastoreItem>
</file>

<file path=customXml/itemProps12.xml><?xml version="1.0" encoding="utf-8"?>
<ds:datastoreItem xmlns:ds="http://schemas.openxmlformats.org/officeDocument/2006/customXml" ds:itemID="{B9C5FCA5-FFDD-4245-BD75-803812F34775}">
  <ds:schemaRefs/>
</ds:datastoreItem>
</file>

<file path=customXml/itemProps13.xml><?xml version="1.0" encoding="utf-8"?>
<ds:datastoreItem xmlns:ds="http://schemas.openxmlformats.org/officeDocument/2006/customXml" ds:itemID="{318846D3-7459-49A7-9300-E8555A5974CB}">
  <ds:schemaRefs/>
</ds:datastoreItem>
</file>

<file path=customXml/itemProps14.xml><?xml version="1.0" encoding="utf-8"?>
<ds:datastoreItem xmlns:ds="http://schemas.openxmlformats.org/officeDocument/2006/customXml" ds:itemID="{AB510415-5CA9-45E3-86F8-293F1C9AF8E4}">
  <ds:schemaRefs/>
</ds:datastoreItem>
</file>

<file path=customXml/itemProps15.xml><?xml version="1.0" encoding="utf-8"?>
<ds:datastoreItem xmlns:ds="http://schemas.openxmlformats.org/officeDocument/2006/customXml" ds:itemID="{9546AD8B-A511-4EBD-8D85-82D656C9F571}">
  <ds:schemaRefs/>
</ds:datastoreItem>
</file>

<file path=customXml/itemProps16.xml><?xml version="1.0" encoding="utf-8"?>
<ds:datastoreItem xmlns:ds="http://schemas.openxmlformats.org/officeDocument/2006/customXml" ds:itemID="{DE9B08EA-0FF9-4ECF-A12B-E4C7B5602CB0}">
  <ds:schemaRefs/>
</ds:datastoreItem>
</file>

<file path=customXml/itemProps17.xml><?xml version="1.0" encoding="utf-8"?>
<ds:datastoreItem xmlns:ds="http://schemas.openxmlformats.org/officeDocument/2006/customXml" ds:itemID="{A2AC73B7-F46A-4F8D-89AA-59C21549F481}">
  <ds:schemaRefs/>
</ds:datastoreItem>
</file>

<file path=customXml/itemProps18.xml><?xml version="1.0" encoding="utf-8"?>
<ds:datastoreItem xmlns:ds="http://schemas.openxmlformats.org/officeDocument/2006/customXml" ds:itemID="{5031FD1B-9932-4A1D-B1A6-DF3DACE346BC}">
  <ds:schemaRefs/>
</ds:datastoreItem>
</file>

<file path=customXml/itemProps19.xml><?xml version="1.0" encoding="utf-8"?>
<ds:datastoreItem xmlns:ds="http://schemas.openxmlformats.org/officeDocument/2006/customXml" ds:itemID="{38DB90F7-6749-4463-AF0D-F4F048421CE6}">
  <ds:schemaRefs/>
</ds:datastoreItem>
</file>

<file path=customXml/itemProps2.xml><?xml version="1.0" encoding="utf-8"?>
<ds:datastoreItem xmlns:ds="http://schemas.openxmlformats.org/officeDocument/2006/customXml" ds:itemID="{0B012E6A-8740-4E30-B07A-95E978CD5D35}">
  <ds:schemaRefs/>
</ds:datastoreItem>
</file>

<file path=customXml/itemProps20.xml><?xml version="1.0" encoding="utf-8"?>
<ds:datastoreItem xmlns:ds="http://schemas.openxmlformats.org/officeDocument/2006/customXml" ds:itemID="{722B94C8-9B90-46A2-AAB4-CC6A48C8BFC5}">
  <ds:schemaRefs/>
</ds:datastoreItem>
</file>

<file path=customXml/itemProps21.xml><?xml version="1.0" encoding="utf-8"?>
<ds:datastoreItem xmlns:ds="http://schemas.openxmlformats.org/officeDocument/2006/customXml" ds:itemID="{8B28A121-48B7-4E85-8431-E6E5E7311C79}">
  <ds:schemaRefs/>
</ds:datastoreItem>
</file>

<file path=customXml/itemProps22.xml><?xml version="1.0" encoding="utf-8"?>
<ds:datastoreItem xmlns:ds="http://schemas.openxmlformats.org/officeDocument/2006/customXml" ds:itemID="{134C4C8B-775A-48C8-ADB8-364AA08B6DAD}">
  <ds:schemaRefs/>
</ds:datastoreItem>
</file>

<file path=customXml/itemProps23.xml><?xml version="1.0" encoding="utf-8"?>
<ds:datastoreItem xmlns:ds="http://schemas.openxmlformats.org/officeDocument/2006/customXml" ds:itemID="{F9B0D121-D2F2-475F-BCBD-DC5E1E8DB750}">
  <ds:schemaRefs/>
</ds:datastoreItem>
</file>

<file path=customXml/itemProps24.xml><?xml version="1.0" encoding="utf-8"?>
<ds:datastoreItem xmlns:ds="http://schemas.openxmlformats.org/officeDocument/2006/customXml" ds:itemID="{230E19B8-3EE9-47A1-9A88-554E0C837828}">
  <ds:schemaRefs/>
</ds:datastoreItem>
</file>

<file path=customXml/itemProps25.xml><?xml version="1.0" encoding="utf-8"?>
<ds:datastoreItem xmlns:ds="http://schemas.openxmlformats.org/officeDocument/2006/customXml" ds:itemID="{0AA772F2-707F-49E4-9624-28DFF2461D1E}">
  <ds:schemaRefs/>
</ds:datastoreItem>
</file>

<file path=customXml/itemProps26.xml><?xml version="1.0" encoding="utf-8"?>
<ds:datastoreItem xmlns:ds="http://schemas.openxmlformats.org/officeDocument/2006/customXml" ds:itemID="{E15CFA3D-925E-4DAD-9855-148288620302}">
  <ds:schemaRefs/>
</ds:datastoreItem>
</file>

<file path=customXml/itemProps3.xml><?xml version="1.0" encoding="utf-8"?>
<ds:datastoreItem xmlns:ds="http://schemas.openxmlformats.org/officeDocument/2006/customXml" ds:itemID="{000D361F-1067-4537-B1A2-CCE5E7E2B7FB}">
  <ds:schemaRefs/>
</ds:datastoreItem>
</file>

<file path=customXml/itemProps4.xml><?xml version="1.0" encoding="utf-8"?>
<ds:datastoreItem xmlns:ds="http://schemas.openxmlformats.org/officeDocument/2006/customXml" ds:itemID="{34570882-EAEF-4541-8D1A-D42A294C0738}">
  <ds:schemaRefs/>
</ds:datastoreItem>
</file>

<file path=customXml/itemProps5.xml><?xml version="1.0" encoding="utf-8"?>
<ds:datastoreItem xmlns:ds="http://schemas.openxmlformats.org/officeDocument/2006/customXml" ds:itemID="{661A3EB8-831C-4BBB-8C20-567CFAA89823}">
  <ds:schemaRefs/>
</ds:datastoreItem>
</file>

<file path=customXml/itemProps6.xml><?xml version="1.0" encoding="utf-8"?>
<ds:datastoreItem xmlns:ds="http://schemas.openxmlformats.org/officeDocument/2006/customXml" ds:itemID="{8D8EC32F-68A8-46AA-8691-1D6F8252A98F}">
  <ds:schemaRefs/>
</ds:datastoreItem>
</file>

<file path=customXml/itemProps7.xml><?xml version="1.0" encoding="utf-8"?>
<ds:datastoreItem xmlns:ds="http://schemas.openxmlformats.org/officeDocument/2006/customXml" ds:itemID="{9AD62CAE-47C5-42E3-8EDC-1E19A9506378}">
  <ds:schemaRefs/>
</ds:datastoreItem>
</file>

<file path=customXml/itemProps8.xml><?xml version="1.0" encoding="utf-8"?>
<ds:datastoreItem xmlns:ds="http://schemas.openxmlformats.org/officeDocument/2006/customXml" ds:itemID="{FCA0C8D0-336D-4A8F-9072-15BE44CFD9CB}">
  <ds:schemaRefs/>
</ds:datastoreItem>
</file>

<file path=customXml/itemProps9.xml><?xml version="1.0" encoding="utf-8"?>
<ds:datastoreItem xmlns:ds="http://schemas.openxmlformats.org/officeDocument/2006/customXml" ds:itemID="{7EDAB78F-C6B6-4AAB-BCF1-46C7B9583478}">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67</Pages>
  <Words>3938</Words>
  <Characters>22447</Characters>
  <Lines>187</Lines>
  <Paragraphs>52</Paragraphs>
  <TotalTime>0</TotalTime>
  <ScaleCrop>false</ScaleCrop>
  <LinksUpToDate>false</LinksUpToDate>
  <CharactersWithSpaces>26333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2022-06-23T07:51:00Z</dcterms:created>
  <dc:creator>Administrator</dc:creator>
  <cp:lastModifiedBy>Administrator</cp:lastModifiedBy>
  <dcterms:modified xsi:type="dcterms:W3CDTF">2024-06-20T13:39:51Z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85A875EDA77B429CA24B4419FD2142B6</vt:lpwstr>
  </property>
</Properties>
</file>