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_GB2312" w:hAnsi="仿宋_GB2312" w:eastAsia="仿宋_GB2312" w:cs="仿宋_GB2312"/>
          <w:b/>
          <w:bCs/>
          <w:sz w:val="32"/>
          <w:szCs w:val="32"/>
          <w:lang w:val="en-US" w:eastAsia="zh-CN"/>
        </w:rPr>
      </w:pPr>
      <w:r>
        <w:rPr>
          <w:rFonts w:hint="eastAsia" w:ascii="宋体" w:hAnsi="宋体" w:eastAsia="宋体" w:cs="宋体"/>
          <w:sz w:val="24"/>
          <w:szCs w:val="24"/>
          <w:lang w:val="en-US" w:eastAsia="zh-CN"/>
        </w:rPr>
        <w:t xml:space="preserve">                                 </w:t>
      </w:r>
      <w:r>
        <w:rPr>
          <w:rFonts w:hint="eastAsia" w:ascii="仿宋_GB2312" w:hAnsi="仿宋_GB2312" w:eastAsia="仿宋_GB2312" w:cs="仿宋_GB2312"/>
          <w:sz w:val="32"/>
          <w:szCs w:val="32"/>
        </w:rPr>
        <w:t>无</w:t>
      </w:r>
      <w:r>
        <w:rPr>
          <w:rFonts w:hint="eastAsia" w:ascii="仿宋_GB2312" w:hAnsi="仿宋_GB2312" w:eastAsia="仿宋_GB2312" w:cs="仿宋_GB2312"/>
          <w:sz w:val="32"/>
          <w:szCs w:val="32"/>
          <w:lang w:val="en-US" w:eastAsia="zh-CN"/>
        </w:rPr>
        <w:t>行审委经开</w:t>
      </w:r>
      <w:r>
        <w:rPr>
          <w:rFonts w:hint="eastAsia" w:ascii="仿宋_GB2312" w:hAnsi="仿宋_GB2312" w:eastAsia="仿宋_GB2312" w:cs="仿宋_GB2312"/>
          <w:sz w:val="32"/>
          <w:szCs w:val="32"/>
        </w:rPr>
        <w:t>环批〔2023〕</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号</w:t>
      </w:r>
    </w:p>
    <w:p>
      <w:pPr>
        <w:jc w:val="center"/>
        <w:rPr>
          <w:rFonts w:hint="eastAsia" w:eastAsia="宋体" w:cs="宋体" w:asciiTheme="minorAscii" w:hAnsiTheme="minorAscii"/>
          <w:b/>
          <w:bCs/>
          <w:sz w:val="44"/>
          <w:szCs w:val="44"/>
          <w:lang w:val="en-US" w:eastAsia="zh-CN"/>
        </w:rPr>
      </w:pPr>
    </w:p>
    <w:p>
      <w:pPr>
        <w:jc w:val="center"/>
        <w:rPr>
          <w:rFonts w:hint="eastAsia" w:eastAsia="宋体" w:cs="宋体" w:asciiTheme="minorAscii" w:hAnsiTheme="minorAscii"/>
          <w:b/>
          <w:bCs/>
          <w:sz w:val="44"/>
          <w:szCs w:val="44"/>
          <w:lang w:val="en-US" w:eastAsia="zh-CN"/>
        </w:rPr>
      </w:pPr>
      <w:r>
        <w:rPr>
          <w:rFonts w:hint="eastAsia" w:eastAsia="宋体" w:cs="宋体" w:asciiTheme="minorAscii" w:hAnsiTheme="minorAscii"/>
          <w:b/>
          <w:bCs/>
          <w:sz w:val="44"/>
          <w:szCs w:val="44"/>
          <w:lang w:val="en-US" w:eastAsia="zh-CN"/>
        </w:rPr>
        <w:t>河北无极经济开发区管委会</w:t>
      </w:r>
    </w:p>
    <w:p>
      <w:pPr>
        <w:jc w:val="center"/>
        <w:rPr>
          <w:rFonts w:hint="default" w:eastAsia="宋体" w:cs="宋体" w:asciiTheme="minorAscii" w:hAnsiTheme="minorAscii"/>
          <w:b/>
          <w:bCs/>
          <w:sz w:val="44"/>
          <w:szCs w:val="44"/>
        </w:rPr>
      </w:pPr>
      <w:r>
        <w:rPr>
          <w:rFonts w:hint="default" w:eastAsia="宋体" w:cs="宋体" w:asciiTheme="minorAscii" w:hAnsiTheme="minorAscii"/>
          <w:b/>
          <w:bCs/>
          <w:sz w:val="44"/>
          <w:szCs w:val="44"/>
        </w:rPr>
        <w:t>关于石家庄尚太科技股份有限公司锂离子电池负极材料产品工艺技术改造建设项目环境影响报告表的批复意见</w:t>
      </w:r>
    </w:p>
    <w:p>
      <w:pPr>
        <w:jc w:val="center"/>
        <w:rPr>
          <w:rFonts w:hint="default" w:eastAsia="宋体" w:cs="宋体" w:asciiTheme="minorAscii" w:hAnsiTheme="minorAscii"/>
          <w:b/>
          <w:bCs/>
          <w:sz w:val="44"/>
          <w:szCs w:val="44"/>
        </w:rPr>
      </w:pP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石家庄尚太科技股份有限公司： </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你单位所报《石家庄尚太科技股份有限公司锂离子电池负极材料产品工艺技术改造建设项目环境影响报告表》（以下简称报告表）及有关材料收悉。</w:t>
      </w:r>
      <w:r>
        <w:rPr>
          <w:rFonts w:hint="eastAsia" w:ascii="仿宋_GB2312" w:hAnsi="仿宋_GB2312" w:eastAsia="仿宋_GB2312" w:cs="仿宋_GB2312"/>
          <w:sz w:val="32"/>
          <w:szCs w:val="32"/>
          <w:u w:val="none"/>
        </w:rPr>
        <w:t>经研究</w:t>
      </w:r>
      <w:r>
        <w:rPr>
          <w:rFonts w:hint="eastAsia" w:ascii="仿宋_GB2312" w:hAnsi="仿宋_GB2312" w:eastAsia="仿宋_GB2312" w:cs="仿宋_GB2312"/>
          <w:sz w:val="32"/>
          <w:szCs w:val="32"/>
        </w:rPr>
        <w:t>， 同意该项目按照环境影响报告表中所列内容进行建设，现批复如下：</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left="0" w:right="0" w:firstLine="560"/>
        <w:jc w:val="both"/>
        <w:textAlignment w:val="auto"/>
        <w:rPr>
          <w:rFonts w:hint="eastAsia" w:ascii="黑体" w:hAnsi="黑体" w:eastAsia="黑体" w:cs="黑体"/>
          <w:sz w:val="32"/>
          <w:szCs w:val="32"/>
          <w:lang w:val="en-US" w:eastAsia="zh-CN"/>
        </w:rPr>
      </w:pPr>
      <w:r>
        <w:rPr>
          <w:rFonts w:hint="eastAsia" w:ascii="黑体" w:hAnsi="黑体" w:eastAsia="黑体" w:cs="黑体"/>
          <w:b/>
          <w:bCs/>
          <w:sz w:val="32"/>
          <w:szCs w:val="32"/>
        </w:rPr>
        <w:t xml:space="preserve"> </w:t>
      </w:r>
      <w:r>
        <w:rPr>
          <w:rFonts w:hint="eastAsia" w:ascii="黑体" w:hAnsi="黑体" w:eastAsia="黑体" w:cs="黑体"/>
          <w:b/>
          <w:bCs/>
          <w:sz w:val="32"/>
          <w:szCs w:val="32"/>
          <w:lang w:val="en-US" w:eastAsia="zh-CN"/>
        </w:rPr>
        <w:t>一</w:t>
      </w:r>
      <w:r>
        <w:rPr>
          <w:rFonts w:hint="eastAsia" w:ascii="黑体" w:hAnsi="黑体" w:eastAsia="黑体" w:cs="黑体"/>
          <w:b/>
          <w:bCs/>
          <w:sz w:val="32"/>
          <w:szCs w:val="32"/>
        </w:rPr>
        <w:t>、</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本项目位于本项目位于河北无极经济开发区（西区）。在现有厂区内，将F生产线整体调整至0车间闲置区域，在F车间优化炭化处理工序，购置炭化炉、解聚机、筛机、除磁机、混合机、融合机、分级机、配套输送系统等设备以及辅助制氮设施和相关环保设施。同时在3-3车间优化低温包覆改性工序，购置电加热釜以及相关环保装置、附属设施。项目建成后，原产能不变。</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left="0" w:right="0" w:firstLine="560"/>
        <w:jc w:val="both"/>
        <w:textAlignment w:val="auto"/>
        <w:rPr>
          <w:rFonts w:hint="eastAsia" w:ascii="微软雅黑 Light" w:hAnsi="微软雅黑 Light" w:eastAsia="微软雅黑 Light" w:cs="微软雅黑 Light"/>
          <w:sz w:val="28"/>
          <w:szCs w:val="28"/>
          <w:lang w:val="en-US" w:eastAsia="zh-CN"/>
        </w:rPr>
      </w:pPr>
      <w:r>
        <w:rPr>
          <w:rFonts w:hint="eastAsia" w:ascii="黑体" w:hAnsi="黑体" w:eastAsia="黑体" w:cs="黑体"/>
          <w:b/>
          <w:bCs/>
          <w:sz w:val="32"/>
          <w:szCs w:val="32"/>
        </w:rPr>
        <w:t xml:space="preserve"> 二、</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建设单位要认真落实环境影响报告表规定的各项污染防治措施，确保各种污染物稳定达标排放。</w:t>
      </w:r>
      <w:r>
        <w:rPr>
          <w:rFonts w:hint="eastAsia" w:ascii="黑体" w:hAnsi="黑体" w:eastAsia="黑体" w:cs="黑体"/>
          <w:sz w:val="32"/>
          <w:szCs w:val="32"/>
        </w:rPr>
        <w:t xml:space="preserve">  </w:t>
      </w:r>
      <w:r>
        <w:rPr>
          <w:rFonts w:hint="eastAsia" w:ascii="黑体" w:hAnsi="黑体" w:eastAsia="黑体" w:cs="黑体"/>
          <w:sz w:val="32"/>
          <w:szCs w:val="32"/>
          <w:lang w:val="en-US" w:eastAsia="zh-CN"/>
        </w:rPr>
        <w:t xml:space="preserve"> </w:t>
      </w:r>
      <w:r>
        <w:rPr>
          <w:rFonts w:hint="eastAsia" w:ascii="微软雅黑 Light" w:hAnsi="微软雅黑 Light" w:eastAsia="微软雅黑 Light" w:cs="微软雅黑 Light"/>
          <w:sz w:val="28"/>
          <w:szCs w:val="28"/>
          <w:lang w:val="en-US" w:eastAsia="zh-CN"/>
        </w:rPr>
        <w:t xml:space="preserve"> </w:t>
      </w:r>
    </w:p>
    <w:p>
      <w:pPr>
        <w:keepNext w:val="0"/>
        <w:keepLines w:val="0"/>
        <w:pageBreakBefore w:val="0"/>
        <w:widowControl/>
        <w:suppressLineNumbers w:val="0"/>
        <w:shd w:val="clear" w:fill="FFFFFF"/>
        <w:kinsoku/>
        <w:wordWrap/>
        <w:overflowPunct/>
        <w:topLinePunct w:val="0"/>
        <w:autoSpaceDE/>
        <w:autoSpaceDN/>
        <w:bidi w:val="0"/>
        <w:adjustRightInd/>
        <w:spacing w:before="0" w:beforeAutospacing="0" w:after="0" w:afterAutospacing="0" w:line="540" w:lineRule="exact"/>
        <w:ind w:right="0" w:firstLine="321" w:firstLineChars="100"/>
        <w:jc w:val="both"/>
        <w:textAlignment w:val="auto"/>
        <w:rPr>
          <w:rFonts w:hint="eastAsia" w:ascii="楷体" w:hAnsi="楷体" w:eastAsia="楷体" w:cs="楷体"/>
          <w:b/>
          <w:bCs/>
          <w:sz w:val="32"/>
          <w:szCs w:val="32"/>
        </w:rPr>
      </w:pPr>
      <w:r>
        <w:rPr>
          <w:rFonts w:hint="eastAsia" w:ascii="楷体" w:hAnsi="楷体" w:eastAsia="楷体" w:cs="楷体"/>
          <w:b/>
          <w:bCs/>
          <w:sz w:val="32"/>
          <w:szCs w:val="32"/>
        </w:rPr>
        <w:t>（一）废水治理措施</w:t>
      </w:r>
    </w:p>
    <w:p>
      <w:pPr>
        <w:keepNext w:val="0"/>
        <w:keepLines w:val="0"/>
        <w:pageBreakBefore w:val="0"/>
        <w:widowControl/>
        <w:suppressLineNumbers w:val="0"/>
        <w:shd w:val="clear" w:fill="FFFFFF"/>
        <w:kinsoku/>
        <w:wordWrap/>
        <w:overflowPunct/>
        <w:topLinePunct w:val="0"/>
        <w:autoSpaceDE/>
        <w:autoSpaceDN/>
        <w:bidi w:val="0"/>
        <w:adjustRightInd/>
        <w:spacing w:before="0" w:beforeAutospacing="0" w:after="0" w:afterAutospacing="0" w:line="540" w:lineRule="exact"/>
        <w:ind w:right="0" w:firstLine="280" w:firstLineChars="100"/>
        <w:jc w:val="both"/>
        <w:textAlignment w:val="auto"/>
        <w:rPr>
          <w:rFonts w:hint="eastAsia" w:ascii="微软雅黑 Light" w:hAnsi="微软雅黑 Light" w:eastAsia="微软雅黑 Light" w:cs="微软雅黑 Light"/>
          <w:color w:val="000000" w:themeColor="text1"/>
          <w:kern w:val="2"/>
          <w:sz w:val="28"/>
          <w:szCs w:val="28"/>
          <w:lang w:val="en-US" w:eastAsia="zh-CN" w:bidi="ar-SA"/>
          <w14:textFill>
            <w14:solidFill>
              <w14:schemeClr w14:val="tx1"/>
            </w14:solidFill>
          </w14:textFill>
        </w:rPr>
      </w:pPr>
      <w:r>
        <w:rPr>
          <w:rFonts w:hint="eastAsia" w:ascii="微软雅黑 Light" w:hAnsi="微软雅黑 Light" w:eastAsia="微软雅黑 Light" w:cs="微软雅黑 Light"/>
          <w:color w:val="000000" w:themeColor="text1"/>
          <w:kern w:val="2"/>
          <w:sz w:val="28"/>
          <w:szCs w:val="28"/>
          <w:lang w:val="en-US" w:eastAsia="zh-CN" w:bidi="ar-SA"/>
          <w14:textFill>
            <w14:solidFill>
              <w14:schemeClr w14:val="tx1"/>
            </w14:solidFill>
          </w14:textFill>
        </w:rPr>
        <w:t>本项目无生产废水外排；所需劳动定员由现有工程调配，不新增生活用水和生活污水排放。</w:t>
      </w:r>
    </w:p>
    <w:p>
      <w:pPr>
        <w:keepNext w:val="0"/>
        <w:keepLines w:val="0"/>
        <w:pageBreakBefore w:val="0"/>
        <w:widowControl/>
        <w:suppressLineNumbers w:val="0"/>
        <w:shd w:val="clear" w:fill="FFFFFF"/>
        <w:kinsoku/>
        <w:wordWrap/>
        <w:overflowPunct/>
        <w:topLinePunct w:val="0"/>
        <w:autoSpaceDE/>
        <w:autoSpaceDN/>
        <w:bidi w:val="0"/>
        <w:adjustRightInd/>
        <w:spacing w:before="0" w:beforeAutospacing="0" w:after="0" w:afterAutospacing="0" w:line="540" w:lineRule="exact"/>
        <w:ind w:right="0" w:firstLine="321" w:firstLineChars="100"/>
        <w:jc w:val="both"/>
        <w:textAlignment w:val="auto"/>
        <w:rPr>
          <w:rFonts w:hint="eastAsia" w:ascii="楷体" w:hAnsi="楷体" w:eastAsia="楷体" w:cs="楷体"/>
          <w:b/>
          <w:bCs/>
          <w:sz w:val="32"/>
          <w:szCs w:val="32"/>
        </w:rPr>
      </w:pPr>
      <w:r>
        <w:rPr>
          <w:rFonts w:hint="eastAsia" w:ascii="楷体" w:hAnsi="楷体" w:eastAsia="楷体" w:cs="楷体"/>
          <w:b/>
          <w:bCs/>
          <w:sz w:val="32"/>
          <w:szCs w:val="32"/>
        </w:rPr>
        <w:t>（</w:t>
      </w:r>
      <w:r>
        <w:rPr>
          <w:rFonts w:hint="eastAsia" w:ascii="楷体" w:hAnsi="楷体" w:eastAsia="楷体" w:cs="楷体"/>
          <w:b/>
          <w:bCs/>
          <w:sz w:val="32"/>
          <w:szCs w:val="32"/>
          <w:lang w:val="en-US" w:eastAsia="zh-CN"/>
        </w:rPr>
        <w:t>二</w:t>
      </w:r>
      <w:r>
        <w:rPr>
          <w:rFonts w:hint="eastAsia" w:ascii="楷体" w:hAnsi="楷体" w:eastAsia="楷体" w:cs="楷体"/>
          <w:b/>
          <w:bCs/>
          <w:sz w:val="32"/>
          <w:szCs w:val="32"/>
        </w:rPr>
        <w:t>）废气治理措施</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①进、出料工序废气经布袋除尘器处理后，经1根24m排气筒（DA028）排放。颗粒物排放执行《铝工业污染物排放标准》（GB25465-2010）修改单中表1大气污染物特别排放限值。</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②电加热釜低温包覆改性废气经一套板式过滤器+水喷淋+电捕焦油器+低温等离子，由1根24m高排气筒（DA032）排放。苯并[a]芘排放浓度和排放速率均执行《大气污染物综合排放标准》（GB16297-1996）表2新增污染源大气污染物排放限值二级标准；非甲烷总烃排放浓度执行《工业企业挥发性有机物排放控制标准》（DB13/2322-2016）中表1“其他行业”标准；颗粒物、沥青烟排放均执行《铝工业污染物排放标准》（GB25465-2010）修改单中表1大气污染物特别排放限值。</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③解聚、筛分、混合、融合、炭化炉进料废气经收集后，经各自配套布袋除尘器处理后，由24m排气筒（DA033）排放。颗粒物排放执行《铝工业污染物排放标准》（GB25465-2010）修改单中表1大气污染物特别排放限值。</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④炭化炉出料、解聚、分级工序废气经各自配套布袋除尘器处理后，经1根24m排气筒（DA034）排放。风机风量为38000m3/h，颗粒物排放执行《铝工业污染物排放标准》（GB25465-2010）修改单中表1大气污染物特别排放限值。</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⑤炭化废气经收集后，经“板式过滤器+水喷淋+电捕焦油器+低温等离子”处理后，由24m排气筒（DA035）排放。苯并[a]芘排放浓度和排放速率均执行《大气污染物综合排放标准》（GB16297-1996）表2新增污染源大气污染物排放限值二级标准；非甲烷总烃排放浓度执行《工业企业挥发性有机物排放控制标准》（DB13/2322-2016）中表1“其他行业”标准；颗粒物、沥青烟排放均执行《铝工业污染物排放标准》（GB25465-2010）修改单中表1大气污染物特别排放限值。</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3" w:firstLineChars="200"/>
        <w:jc w:val="both"/>
        <w:textAlignment w:val="auto"/>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（三）噪声治理措施</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left="0" w:right="0" w:firstLine="560"/>
        <w:jc w:val="both"/>
        <w:textAlignment w:val="auto"/>
        <w:rPr>
          <w:rFonts w:hint="eastAsia" w:ascii="微软雅黑 Light" w:hAnsi="微软雅黑 Light" w:eastAsia="微软雅黑 Light" w:cs="微软雅黑 Light"/>
          <w:color w:val="000000" w:themeColor="text1"/>
          <w:kern w:val="2"/>
          <w:sz w:val="28"/>
          <w:szCs w:val="28"/>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选用低噪声设备，设置基础减振，厂房隔声，风机消声等措施。</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3" w:firstLineChars="200"/>
        <w:jc w:val="both"/>
        <w:textAlignment w:val="auto"/>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（四）固废治理措施</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left="0" w:right="0" w:firstLine="561"/>
        <w:jc w:val="both"/>
        <w:textAlignment w:val="auto"/>
        <w:rPr>
          <w:rFonts w:hint="default"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本项目生产过程中产生的固体废物主要包括废包装材料、除尘灰、废布袋、废分子筛。废包装材料、废布袋、除尘灰均为一般固废，收集后外售，综合利用；废分子筛为一般固废，由厂家回收。“水喷淋+电捕焦油器”净化下来的焦油采用密封桶装转移至本项目新增的炭化炉使用，不在厂内贮存。</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3" w:firstLineChars="200"/>
        <w:jc w:val="both"/>
        <w:textAlignment w:val="auto"/>
        <w:rPr>
          <w:rFonts w:hint="eastAsia" w:ascii="微软雅黑 Light" w:hAnsi="微软雅黑 Light" w:eastAsia="微软雅黑 Light" w:cs="微软雅黑 Light"/>
          <w:sz w:val="28"/>
          <w:szCs w:val="28"/>
        </w:rPr>
      </w:pPr>
      <w:r>
        <w:rPr>
          <w:rFonts w:hint="eastAsia" w:ascii="黑体" w:hAnsi="黑体" w:eastAsia="黑体" w:cs="黑体"/>
          <w:b/>
          <w:bCs/>
          <w:sz w:val="32"/>
          <w:szCs w:val="32"/>
          <w:lang w:val="en-US" w:eastAsia="zh-CN"/>
        </w:rPr>
        <w:t>三、</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本项目环评文件经批准后，建设单位必须认真按照报告表中所列建设内容、平面布局、建设规模、污染防治措施进行建设，不得擅自改变。如果建设项目的性质、规模、地点、采用的生产工艺或者防止污染、防止生态破坏的措施发生重大变动的，建设单位应当重新报批环评文件。</w:t>
      </w:r>
      <w:r>
        <w:rPr>
          <w:rFonts w:hint="eastAsia" w:ascii="微软雅黑 Light" w:hAnsi="微软雅黑 Light" w:eastAsia="微软雅黑 Light" w:cs="微软雅黑 Light"/>
          <w:sz w:val="28"/>
          <w:szCs w:val="28"/>
        </w:rPr>
        <w:t xml:space="preserve"> </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3" w:firstLineChars="200"/>
        <w:jc w:val="both"/>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黑体" w:hAnsi="黑体" w:eastAsia="黑体" w:cs="黑体"/>
          <w:b/>
          <w:bCs/>
          <w:sz w:val="32"/>
          <w:szCs w:val="32"/>
          <w:lang w:val="en-US" w:eastAsia="zh-CN"/>
        </w:rPr>
        <w:t>四</w:t>
      </w:r>
      <w:r>
        <w:rPr>
          <w:rFonts w:hint="eastAsia" w:ascii="黑体" w:hAnsi="黑体" w:eastAsia="黑体" w:cs="黑体"/>
          <w:sz w:val="32"/>
          <w:szCs w:val="32"/>
        </w:rPr>
        <w:t>、</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项目建设应严格执行“三同时”管理制度，项目建成投产（投入使用）前，应当办理排污许可手续，并按照规定完成环境 保护验收。</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3" w:firstLineChars="200"/>
        <w:jc w:val="both"/>
        <w:textAlignment w:val="auto"/>
        <w:rPr>
          <w:rFonts w:hint="eastAsia" w:ascii="黑体" w:hAnsi="黑体" w:eastAsia="黑体" w:cs="黑体"/>
          <w:sz w:val="32"/>
          <w:szCs w:val="32"/>
        </w:rPr>
      </w:pPr>
      <w:r>
        <w:rPr>
          <w:rFonts w:hint="eastAsia" w:ascii="黑体" w:hAnsi="黑体" w:eastAsia="黑体" w:cs="黑体"/>
          <w:b/>
          <w:bCs/>
          <w:sz w:val="32"/>
          <w:szCs w:val="32"/>
          <w:lang w:val="en-US" w:eastAsia="zh-CN"/>
        </w:rPr>
        <w:t>五</w:t>
      </w:r>
      <w:r>
        <w:rPr>
          <w:rFonts w:hint="eastAsia" w:ascii="黑体" w:hAnsi="黑体" w:eastAsia="黑体" w:cs="黑体"/>
          <w:sz w:val="32"/>
          <w:szCs w:val="32"/>
          <w:lang w:val="en-US" w:eastAsia="zh-CN"/>
        </w:rPr>
        <w:t>、</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该项目环境影响报告表及批复意见一并作为工程设计和环境管理的依据</w:t>
      </w:r>
      <w:r>
        <w:rPr>
          <w:rFonts w:hint="eastAsia" w:ascii="黑体" w:hAnsi="黑体" w:eastAsia="黑体" w:cs="黑体"/>
          <w:sz w:val="32"/>
          <w:szCs w:val="32"/>
        </w:rPr>
        <w:t>。</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3" w:firstLineChars="200"/>
        <w:jc w:val="both"/>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黑体" w:hAnsi="黑体" w:eastAsia="黑体" w:cs="黑体"/>
          <w:b/>
          <w:bCs/>
          <w:sz w:val="32"/>
          <w:szCs w:val="32"/>
          <w:lang w:val="en-US" w:eastAsia="zh-CN"/>
        </w:rPr>
        <w:t>六</w:t>
      </w:r>
      <w:r>
        <w:rPr>
          <w:rFonts w:hint="eastAsia" w:ascii="黑体" w:hAnsi="黑体" w:eastAsia="黑体" w:cs="黑体"/>
          <w:sz w:val="32"/>
          <w:szCs w:val="32"/>
          <w:lang w:val="en-US" w:eastAsia="zh-CN"/>
        </w:rPr>
        <w:t>、</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依据环保部《关于印发建设项目环境保护事中事后监督 管理办法(试行)的通知》(环发(2015)163 号)要求，该项目的日常环境监督管理工作由属地生态环境主管部门负责。</w:t>
      </w:r>
      <w:bookmarkStart w:id="0" w:name="_GoBack"/>
      <w:bookmarkEnd w:id="0"/>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黑体" w:hAnsi="黑体" w:eastAsia="黑体" w:cs="黑体"/>
          <w:sz w:val="32"/>
          <w:szCs w:val="32"/>
          <w:lang w:val="en-US" w:eastAsia="zh-CN"/>
        </w:rPr>
        <w:t>七、</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请你单位接到批复后 3 个工作日内，将报告表及批复意见（原件）报送石家庄市生态环境局无极县分局。</w:t>
      </w:r>
    </w:p>
    <w:p>
      <w:pPr>
        <w:keepNext w:val="0"/>
        <w:keepLines w:val="0"/>
        <w:widowControl/>
        <w:numPr>
          <w:ilvl w:val="0"/>
          <w:numId w:val="0"/>
        </w:numPr>
        <w:suppressLineNumbers w:val="0"/>
        <w:shd w:val="clear" w:fill="FFFFFF"/>
        <w:tabs>
          <w:tab w:val="left" w:pos="4410"/>
          <w:tab w:val="left" w:pos="5250"/>
        </w:tabs>
        <w:spacing w:before="0" w:beforeAutospacing="0" w:after="0" w:afterAutospacing="0" w:line="600" w:lineRule="atLeast"/>
        <w:ind w:right="0" w:rightChars="0"/>
        <w:jc w:val="both"/>
        <w:rPr>
          <w:rFonts w:hint="eastAsia" w:ascii="楷体" w:hAnsi="楷体" w:eastAsia="楷体" w:cs="楷体"/>
          <w:sz w:val="28"/>
          <w:szCs w:val="28"/>
          <w:lang w:val="en-US" w:eastAsia="zh-CN"/>
        </w:rPr>
      </w:pPr>
      <w:r>
        <w:drawing>
          <wp:anchor distT="0" distB="0" distL="114300" distR="114300" simplePos="0" relativeHeight="251659264" behindDoc="0" locked="0" layoutInCell="1" allowOverlap="1">
            <wp:simplePos x="0" y="0"/>
            <wp:positionH relativeFrom="column">
              <wp:posOffset>276225</wp:posOffset>
            </wp:positionH>
            <wp:positionV relativeFrom="paragraph">
              <wp:posOffset>207645</wp:posOffset>
            </wp:positionV>
            <wp:extent cx="3220720" cy="1365250"/>
            <wp:effectExtent l="0" t="0" r="17780" b="6350"/>
            <wp:wrapTopAndBottom/>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4"/>
                    <a:stretch>
                      <a:fillRect/>
                    </a:stretch>
                  </pic:blipFill>
                  <pic:spPr>
                    <a:xfrm>
                      <a:off x="0" y="0"/>
                      <a:ext cx="3220720" cy="1365250"/>
                    </a:xfrm>
                    <a:prstGeom prst="rect">
                      <a:avLst/>
                    </a:prstGeom>
                    <a:noFill/>
                    <a:ln>
                      <a:noFill/>
                    </a:ln>
                  </pic:spPr>
                </pic:pic>
              </a:graphicData>
            </a:graphic>
          </wp:anchor>
        </w:drawing>
      </w:r>
    </w:p>
    <w:p>
      <w:pPr>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0" w:beforeAutospacing="0" w:after="0" w:afterAutospacing="0" w:line="560" w:lineRule="exact"/>
        <w:ind w:right="0" w:rightChars="0" w:firstLine="3920" w:firstLineChars="1400"/>
        <w:jc w:val="right"/>
        <w:textAlignment w:val="auto"/>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河北无极经济开发区管理委员会</w:t>
      </w:r>
    </w:p>
    <w:p>
      <w:pPr>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0" w:beforeAutospacing="0" w:after="0" w:afterAutospacing="0" w:line="560" w:lineRule="exact"/>
        <w:ind w:right="0" w:rightChars="0" w:firstLine="5320" w:firstLineChars="1900"/>
        <w:jc w:val="both"/>
        <w:textAlignment w:val="auto"/>
        <w:rPr>
          <w:rFonts w:hint="eastAsia" w:ascii="微软雅黑 Light" w:hAnsi="微软雅黑 Light" w:eastAsia="微软雅黑 Light" w:cs="微软雅黑 Light"/>
          <w:sz w:val="28"/>
          <w:szCs w:val="28"/>
          <w:lang w:eastAsia="zh-CN"/>
        </w:rPr>
      </w:pPr>
      <w:r>
        <w:rPr>
          <w:rFonts w:hint="eastAsia" w:ascii="楷体" w:hAnsi="楷体" w:eastAsia="楷体" w:cs="楷体"/>
          <w:sz w:val="28"/>
          <w:szCs w:val="28"/>
          <w:lang w:val="en-US" w:eastAsia="zh-CN"/>
        </w:rPr>
        <w:t>2023年9月11日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微软雅黑 Light">
    <w:panose1 w:val="020B0502040204020203"/>
    <w:charset w:val="86"/>
    <w:family w:val="auto"/>
    <w:pitch w:val="default"/>
    <w:sig w:usb0="80000287" w:usb1="2ACF001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hiNjU4NWFjOTlmYzIwMTE1YjE4MmMyY2Y5MzA3NDAifQ=="/>
  </w:docVars>
  <w:rsids>
    <w:rsidRoot w:val="00000000"/>
    <w:rsid w:val="035248AA"/>
    <w:rsid w:val="0381685A"/>
    <w:rsid w:val="05277012"/>
    <w:rsid w:val="0A647B94"/>
    <w:rsid w:val="117D7C75"/>
    <w:rsid w:val="127A7363"/>
    <w:rsid w:val="128F4AEF"/>
    <w:rsid w:val="12993BC0"/>
    <w:rsid w:val="13031039"/>
    <w:rsid w:val="171D7719"/>
    <w:rsid w:val="18C82B09"/>
    <w:rsid w:val="19FF49EF"/>
    <w:rsid w:val="1A2F2491"/>
    <w:rsid w:val="208F215E"/>
    <w:rsid w:val="2B0C53CC"/>
    <w:rsid w:val="2F9F7270"/>
    <w:rsid w:val="32C15418"/>
    <w:rsid w:val="379E11AD"/>
    <w:rsid w:val="3B295F7D"/>
    <w:rsid w:val="3CB7686D"/>
    <w:rsid w:val="3FBE7F13"/>
    <w:rsid w:val="42D57A4D"/>
    <w:rsid w:val="46690BD8"/>
    <w:rsid w:val="4886168F"/>
    <w:rsid w:val="49AD5195"/>
    <w:rsid w:val="4E265601"/>
    <w:rsid w:val="52B616FE"/>
    <w:rsid w:val="53F51CFD"/>
    <w:rsid w:val="59142C25"/>
    <w:rsid w:val="5FD72BFF"/>
    <w:rsid w:val="6568465B"/>
    <w:rsid w:val="672A5D0A"/>
    <w:rsid w:val="6CD96208"/>
    <w:rsid w:val="702F613F"/>
    <w:rsid w:val="71702B15"/>
    <w:rsid w:val="719C4727"/>
    <w:rsid w:val="79BD160C"/>
    <w:rsid w:val="7A051EAB"/>
    <w:rsid w:val="7A261A6C"/>
    <w:rsid w:val="7AF910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4"/>
    <w:basedOn w:val="1"/>
    <w:next w:val="2"/>
    <w:unhideWhenUsed/>
    <w:qFormat/>
    <w:uiPriority w:val="0"/>
    <w:pPr>
      <w:keepNext/>
      <w:keepLines/>
      <w:spacing w:before="280" w:after="290" w:line="376" w:lineRule="auto"/>
      <w:outlineLvl w:val="3"/>
    </w:pPr>
    <w:rPr>
      <w:rFonts w:ascii="Cambria" w:hAnsi="Cambria"/>
      <w:b/>
      <w:bCs/>
      <w:sz w:val="28"/>
      <w:szCs w:val="28"/>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Normal Indent"/>
    <w:basedOn w:val="1"/>
    <w:next w:val="3"/>
    <w:qFormat/>
    <w:uiPriority w:val="0"/>
    <w:pPr>
      <w:ind w:firstLine="420"/>
    </w:pPr>
  </w:style>
  <w:style w:type="paragraph" w:styleId="4">
    <w:name w:val="annotation text"/>
    <w:basedOn w:val="1"/>
    <w:qFormat/>
    <w:uiPriority w:val="0"/>
    <w:pPr>
      <w:jc w:val="left"/>
    </w:pPr>
  </w:style>
  <w:style w:type="paragraph" w:styleId="5">
    <w:name w:val="Body Text Indent"/>
    <w:basedOn w:val="1"/>
    <w:next w:val="6"/>
    <w:qFormat/>
    <w:uiPriority w:val="0"/>
    <w:pPr>
      <w:snapToGrid w:val="0"/>
      <w:ind w:firstLine="498"/>
    </w:pPr>
    <w:rPr>
      <w:rFonts w:ascii="宋体"/>
      <w:sz w:val="24"/>
    </w:rPr>
  </w:style>
  <w:style w:type="paragraph" w:styleId="6">
    <w:name w:val="Body Text First Indent 2"/>
    <w:basedOn w:val="5"/>
    <w:next w:val="1"/>
    <w:qFormat/>
    <w:uiPriority w:val="0"/>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1348</Words>
  <Characters>1424</Characters>
  <Lines>0</Lines>
  <Paragraphs>0</Paragraphs>
  <TotalTime>3</TotalTime>
  <ScaleCrop>false</ScaleCrop>
  <LinksUpToDate>false</LinksUpToDate>
  <CharactersWithSpaces>1569</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2023-08-02T02:27:00Z</dcterms:created>
  <dc:creator>Administrator</dc:creator>
  <cp:lastModifiedBy>YUZEXIONG_</cp:lastModifiedBy>
  <cp:lastPrinted>2023-08-30T07:28:00Z</cp:lastPrinted>
  <dcterms:modified xsi:type="dcterms:W3CDTF">2023-09-11T02:52:07Z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71E420D964AD46B99F505CC420CCF01D_12</vt:lpwstr>
  </property>
</Properties>
</file>