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cs="黑体"/>
          <w:b/>
          <w:color w:val="000000"/>
          <w:sz w:val="30"/>
        </w:rPr>
      </w:pPr>
    </w:p>
    <w:p>
      <w:pPr>
        <w:jc w:val="center"/>
      </w:pPr>
      <w:r>
        <w:rPr>
          <w:rFonts w:ascii="黑体" w:hAnsi="黑体" w:eastAsia="黑体" w:cs="黑体"/>
          <w:b/>
          <w:color w:val="000000"/>
          <w:sz w:val="30"/>
        </w:rPr>
        <w:t>第二部分  部门所属单位预算</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一、无极县财政局本级收支预算</w:t>
      </w:r>
      <w:r>
        <w:tab/>
      </w:r>
      <w:r>
        <w:rPr>
          <w:rFonts w:hint="eastAsia"/>
          <w:lang w:val="en-US" w:eastAsia="zh-CN"/>
        </w:rPr>
        <w:t>2</w:t>
      </w:r>
      <w:r>
        <w:fldChar w:fldCharType="end"/>
      </w:r>
    </w:p>
    <w:p>
      <w:pPr>
        <w:pStyle w:val="2"/>
        <w:tabs>
          <w:tab w:val="right" w:leader="dot" w:pos="14562"/>
        </w:tabs>
      </w:pPr>
      <w:r>
        <w:fldChar w:fldCharType="end"/>
      </w:r>
    </w:p>
    <w:p>
      <w:pPr>
        <w:widowControl w:val="0"/>
        <w:numPr>
          <w:ilvl w:val="0"/>
          <w:numId w:val="0"/>
        </w:numPr>
        <w:jc w:val="left"/>
        <w:outlineLvl w:val="0"/>
        <w:rPr>
          <w:rFonts w:hint="default" w:ascii="方正小标宋_GBK" w:hAnsi="方正小标宋_GBK" w:eastAsia="方正小标宋_GBK" w:cs="方正小标宋_GBK"/>
          <w:color w:val="000000"/>
          <w:sz w:val="32"/>
          <w:szCs w:val="32"/>
          <w:lang w:val="en-US" w:eastAsia="zh-CN"/>
        </w:rPr>
      </w:pPr>
    </w:p>
    <w:p>
      <w:pPr>
        <w:widowControl w:val="0"/>
        <w:numPr>
          <w:ilvl w:val="0"/>
          <w:numId w:val="0"/>
        </w:numPr>
        <w:jc w:val="center"/>
        <w:outlineLvl w:val="0"/>
        <w:rPr>
          <w:rFonts w:ascii="方正小标宋_GBK" w:hAnsi="方正小标宋_GBK" w:eastAsia="方正小标宋_GBK" w:cs="方正小标宋_GBK"/>
          <w:color w:val="000000"/>
          <w:sz w:val="72"/>
        </w:rPr>
        <w:sectPr>
          <w:pgSz w:w="16840" w:h="11900" w:orient="landscape"/>
          <w:pgMar w:top="1361" w:right="1020" w:bottom="1134" w:left="1020" w:header="720" w:footer="720" w:gutter="0"/>
          <w:cols w:space="720" w:num="1"/>
        </w:sectPr>
      </w:pPr>
    </w:p>
    <w:p>
      <w:pPr>
        <w:jc w:val="center"/>
        <w:outlineLvl w:val="3"/>
      </w:pPr>
      <w:bookmarkStart w:id="0" w:name="_Toc_4_4_0000000019"/>
      <w:r>
        <w:rPr>
          <w:rFonts w:ascii="方正小标宋_GBK" w:hAnsi="方正小标宋_GBK" w:eastAsia="方正小标宋_GBK" w:cs="方正小标宋_GBK"/>
          <w:color w:val="000000"/>
          <w:sz w:val="44"/>
        </w:rPr>
        <w:t>一、无极县财政局本级收支预算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318001无极县财政局本级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2477.00</w:t>
            </w:r>
          </w:p>
        </w:tc>
        <w:tc>
          <w:tcPr>
            <w:tcW w:w="4535" w:type="dxa"/>
            <w:vAlign w:val="center"/>
          </w:tcPr>
          <w:p>
            <w:pPr>
              <w:pStyle w:val="10"/>
            </w:pPr>
            <w:r>
              <w:t>一、一般公共服务支出</w:t>
            </w:r>
          </w:p>
        </w:tc>
        <w:tc>
          <w:tcPr>
            <w:tcW w:w="2126" w:type="dxa"/>
            <w:vAlign w:val="center"/>
          </w:tcPr>
          <w:p>
            <w:pPr>
              <w:pStyle w:val="11"/>
            </w:pPr>
            <w:r>
              <w:t>2243.00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2477.00</w:t>
            </w:r>
          </w:p>
        </w:tc>
        <w:tc>
          <w:tcPr>
            <w:tcW w:w="4535" w:type="dxa"/>
            <w:vAlign w:val="center"/>
          </w:tcPr>
          <w:p>
            <w:pPr>
              <w:pStyle w:val="12"/>
            </w:pPr>
            <w:r>
              <w:t>本年支出合计</w:t>
            </w:r>
          </w:p>
        </w:tc>
        <w:tc>
          <w:tcPr>
            <w:tcW w:w="2126" w:type="dxa"/>
            <w:vAlign w:val="center"/>
          </w:tcPr>
          <w:p>
            <w:pPr>
              <w:pStyle w:val="13"/>
            </w:pPr>
            <w:r>
              <w:t>2477.00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2477.00</w:t>
            </w:r>
          </w:p>
        </w:tc>
        <w:tc>
          <w:tcPr>
            <w:tcW w:w="4535" w:type="dxa"/>
            <w:vAlign w:val="center"/>
          </w:tcPr>
          <w:p>
            <w:pPr>
              <w:pStyle w:val="12"/>
            </w:pPr>
            <w:r>
              <w:t>支出总计</w:t>
            </w:r>
          </w:p>
        </w:tc>
        <w:tc>
          <w:tcPr>
            <w:tcW w:w="2126" w:type="dxa"/>
            <w:vAlign w:val="center"/>
          </w:tcPr>
          <w:p>
            <w:pPr>
              <w:pStyle w:val="13"/>
            </w:pPr>
            <w:r>
              <w:t>2477.00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318001无极县财政局本级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2477.00</w:t>
            </w:r>
          </w:p>
        </w:tc>
        <w:tc>
          <w:tcPr>
            <w:tcW w:w="1134" w:type="dxa"/>
            <w:vAlign w:val="center"/>
          </w:tcPr>
          <w:p>
            <w:pPr>
              <w:pStyle w:val="13"/>
            </w:pPr>
            <w:r>
              <w:t>2477.00</w:t>
            </w:r>
          </w:p>
        </w:tc>
        <w:tc>
          <w:tcPr>
            <w:tcW w:w="1134" w:type="dxa"/>
            <w:vAlign w:val="center"/>
          </w:tcPr>
          <w:p>
            <w:pPr>
              <w:pStyle w:val="13"/>
            </w:pPr>
            <w:r>
              <w:t>2477.00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11"/>
            </w:pPr>
            <w:r>
              <w:t>2243.00</w:t>
            </w:r>
          </w:p>
        </w:tc>
        <w:tc>
          <w:tcPr>
            <w:tcW w:w="1134" w:type="dxa"/>
            <w:vAlign w:val="center"/>
          </w:tcPr>
          <w:p>
            <w:pPr>
              <w:pStyle w:val="11"/>
            </w:pPr>
            <w:r>
              <w:t>2243.00</w:t>
            </w:r>
          </w:p>
        </w:tc>
        <w:tc>
          <w:tcPr>
            <w:tcW w:w="1134" w:type="dxa"/>
            <w:vAlign w:val="center"/>
          </w:tcPr>
          <w:p>
            <w:pPr>
              <w:pStyle w:val="11"/>
            </w:pPr>
            <w:r>
              <w:t>2243.00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20106</w:t>
            </w:r>
          </w:p>
        </w:tc>
        <w:tc>
          <w:tcPr>
            <w:tcW w:w="1559" w:type="dxa"/>
            <w:vAlign w:val="center"/>
          </w:tcPr>
          <w:p>
            <w:pPr>
              <w:pStyle w:val="10"/>
            </w:pPr>
            <w:r>
              <w:t>财政事务</w:t>
            </w:r>
          </w:p>
        </w:tc>
        <w:tc>
          <w:tcPr>
            <w:tcW w:w="1134" w:type="dxa"/>
            <w:vAlign w:val="center"/>
          </w:tcPr>
          <w:p>
            <w:pPr>
              <w:pStyle w:val="11"/>
            </w:pPr>
            <w:r>
              <w:t>2243.00</w:t>
            </w:r>
          </w:p>
        </w:tc>
        <w:tc>
          <w:tcPr>
            <w:tcW w:w="1134" w:type="dxa"/>
            <w:vAlign w:val="center"/>
          </w:tcPr>
          <w:p>
            <w:pPr>
              <w:pStyle w:val="11"/>
            </w:pPr>
            <w:r>
              <w:t>2243.00</w:t>
            </w:r>
          </w:p>
        </w:tc>
        <w:tc>
          <w:tcPr>
            <w:tcW w:w="1134" w:type="dxa"/>
            <w:vAlign w:val="center"/>
          </w:tcPr>
          <w:p>
            <w:pPr>
              <w:pStyle w:val="11"/>
            </w:pPr>
            <w:r>
              <w:t>2243.00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2010601</w:t>
            </w:r>
          </w:p>
        </w:tc>
        <w:tc>
          <w:tcPr>
            <w:tcW w:w="1559" w:type="dxa"/>
            <w:vAlign w:val="center"/>
          </w:tcPr>
          <w:p>
            <w:pPr>
              <w:pStyle w:val="10"/>
            </w:pPr>
            <w:r>
              <w:t>行政运行</w:t>
            </w:r>
          </w:p>
        </w:tc>
        <w:tc>
          <w:tcPr>
            <w:tcW w:w="1134" w:type="dxa"/>
            <w:vAlign w:val="center"/>
          </w:tcPr>
          <w:p>
            <w:pPr>
              <w:pStyle w:val="11"/>
            </w:pPr>
            <w:r>
              <w:t>1174.00</w:t>
            </w:r>
          </w:p>
        </w:tc>
        <w:tc>
          <w:tcPr>
            <w:tcW w:w="1134" w:type="dxa"/>
            <w:vAlign w:val="center"/>
          </w:tcPr>
          <w:p>
            <w:pPr>
              <w:pStyle w:val="11"/>
            </w:pPr>
            <w:r>
              <w:t>1174.00</w:t>
            </w:r>
          </w:p>
        </w:tc>
        <w:tc>
          <w:tcPr>
            <w:tcW w:w="1134" w:type="dxa"/>
            <w:vAlign w:val="center"/>
          </w:tcPr>
          <w:p>
            <w:pPr>
              <w:pStyle w:val="11"/>
            </w:pPr>
            <w:r>
              <w:t>1174.00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2010607</w:t>
            </w:r>
          </w:p>
        </w:tc>
        <w:tc>
          <w:tcPr>
            <w:tcW w:w="1559" w:type="dxa"/>
            <w:vAlign w:val="center"/>
          </w:tcPr>
          <w:p>
            <w:pPr>
              <w:pStyle w:val="10"/>
            </w:pPr>
            <w:r>
              <w:t>信息化建设</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2010608</w:t>
            </w:r>
          </w:p>
        </w:tc>
        <w:tc>
          <w:tcPr>
            <w:tcW w:w="1559" w:type="dxa"/>
            <w:vAlign w:val="center"/>
          </w:tcPr>
          <w:p>
            <w:pPr>
              <w:pStyle w:val="10"/>
            </w:pPr>
            <w:r>
              <w:t>财政委托业务支出</w:t>
            </w:r>
          </w:p>
        </w:tc>
        <w:tc>
          <w:tcPr>
            <w:tcW w:w="1134" w:type="dxa"/>
            <w:vAlign w:val="center"/>
          </w:tcPr>
          <w:p>
            <w:pPr>
              <w:pStyle w:val="11"/>
            </w:pPr>
            <w:r>
              <w:t>628.00</w:t>
            </w:r>
          </w:p>
        </w:tc>
        <w:tc>
          <w:tcPr>
            <w:tcW w:w="1134" w:type="dxa"/>
            <w:vAlign w:val="center"/>
          </w:tcPr>
          <w:p>
            <w:pPr>
              <w:pStyle w:val="11"/>
            </w:pPr>
            <w:r>
              <w:t>628.00</w:t>
            </w:r>
          </w:p>
        </w:tc>
        <w:tc>
          <w:tcPr>
            <w:tcW w:w="1134" w:type="dxa"/>
            <w:vAlign w:val="center"/>
          </w:tcPr>
          <w:p>
            <w:pPr>
              <w:pStyle w:val="11"/>
            </w:pPr>
            <w:r>
              <w:t>628.00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2010699</w:t>
            </w:r>
          </w:p>
        </w:tc>
        <w:tc>
          <w:tcPr>
            <w:tcW w:w="1559" w:type="dxa"/>
            <w:vAlign w:val="center"/>
          </w:tcPr>
          <w:p>
            <w:pPr>
              <w:pStyle w:val="10"/>
            </w:pPr>
            <w:r>
              <w:t>其他财政事务支出</w:t>
            </w:r>
          </w:p>
        </w:tc>
        <w:tc>
          <w:tcPr>
            <w:tcW w:w="1134" w:type="dxa"/>
            <w:vAlign w:val="center"/>
          </w:tcPr>
          <w:p>
            <w:pPr>
              <w:pStyle w:val="11"/>
            </w:pPr>
            <w:r>
              <w:t>261.00</w:t>
            </w:r>
          </w:p>
        </w:tc>
        <w:tc>
          <w:tcPr>
            <w:tcW w:w="1134" w:type="dxa"/>
            <w:vAlign w:val="center"/>
          </w:tcPr>
          <w:p>
            <w:pPr>
              <w:pStyle w:val="11"/>
            </w:pPr>
            <w:r>
              <w:t>261.00</w:t>
            </w:r>
          </w:p>
        </w:tc>
        <w:tc>
          <w:tcPr>
            <w:tcW w:w="1134" w:type="dxa"/>
            <w:vAlign w:val="center"/>
          </w:tcPr>
          <w:p>
            <w:pPr>
              <w:pStyle w:val="11"/>
            </w:pPr>
            <w:r>
              <w:t>261.00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137.00</w:t>
            </w:r>
          </w:p>
        </w:tc>
        <w:tc>
          <w:tcPr>
            <w:tcW w:w="1134" w:type="dxa"/>
            <w:vAlign w:val="center"/>
          </w:tcPr>
          <w:p>
            <w:pPr>
              <w:pStyle w:val="11"/>
            </w:pPr>
            <w:r>
              <w:t>137.00</w:t>
            </w:r>
          </w:p>
        </w:tc>
        <w:tc>
          <w:tcPr>
            <w:tcW w:w="1134" w:type="dxa"/>
            <w:vAlign w:val="center"/>
          </w:tcPr>
          <w:p>
            <w:pPr>
              <w:pStyle w:val="11"/>
            </w:pPr>
            <w:r>
              <w:t>137.00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10"/>
            </w:pPr>
            <w:r>
              <w:t>213</w:t>
            </w:r>
          </w:p>
        </w:tc>
        <w:tc>
          <w:tcPr>
            <w:tcW w:w="1559" w:type="dxa"/>
            <w:vAlign w:val="center"/>
          </w:tcPr>
          <w:p>
            <w:pPr>
              <w:pStyle w:val="10"/>
            </w:pPr>
            <w:r>
              <w:t>农林水支出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10"/>
            </w:pPr>
            <w:r>
              <w:t>21301</w:t>
            </w:r>
          </w:p>
        </w:tc>
        <w:tc>
          <w:tcPr>
            <w:tcW w:w="1559" w:type="dxa"/>
            <w:vAlign w:val="center"/>
          </w:tcPr>
          <w:p>
            <w:pPr>
              <w:pStyle w:val="10"/>
            </w:pPr>
            <w:r>
              <w:t>农业农村</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17</w:t>
            </w:r>
          </w:p>
        </w:tc>
        <w:tc>
          <w:tcPr>
            <w:tcW w:w="992" w:type="dxa"/>
            <w:vAlign w:val="center"/>
          </w:tcPr>
          <w:p>
            <w:pPr>
              <w:pStyle w:val="10"/>
            </w:pPr>
            <w:r>
              <w:t>2130199</w:t>
            </w:r>
          </w:p>
        </w:tc>
        <w:tc>
          <w:tcPr>
            <w:tcW w:w="1559" w:type="dxa"/>
            <w:vAlign w:val="center"/>
          </w:tcPr>
          <w:p>
            <w:pPr>
              <w:pStyle w:val="10"/>
            </w:pPr>
            <w:r>
              <w:t>其他农业农村支出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5"/>
            </w:pPr>
            <w:r>
              <w:t>318001无极县财政局本级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2477.00</w:t>
            </w:r>
          </w:p>
        </w:tc>
        <w:tc>
          <w:tcPr>
            <w:tcW w:w="1361" w:type="dxa"/>
            <w:vAlign w:val="center"/>
          </w:tcPr>
          <w:p>
            <w:pPr>
              <w:pStyle w:val="13"/>
            </w:pPr>
            <w:r>
              <w:t>1396.00</w:t>
            </w:r>
          </w:p>
        </w:tc>
        <w:tc>
          <w:tcPr>
            <w:tcW w:w="1361" w:type="dxa"/>
            <w:vAlign w:val="center"/>
          </w:tcPr>
          <w:p>
            <w:pPr>
              <w:pStyle w:val="13"/>
            </w:pPr>
            <w:r>
              <w:t>1081.00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11"/>
            </w:pPr>
            <w:r>
              <w:t>2243.00</w:t>
            </w:r>
          </w:p>
        </w:tc>
        <w:tc>
          <w:tcPr>
            <w:tcW w:w="1361" w:type="dxa"/>
            <w:vAlign w:val="center"/>
          </w:tcPr>
          <w:p>
            <w:pPr>
              <w:pStyle w:val="11"/>
            </w:pPr>
            <w:r>
              <w:t>1174.00</w:t>
            </w:r>
          </w:p>
        </w:tc>
        <w:tc>
          <w:tcPr>
            <w:tcW w:w="1361" w:type="dxa"/>
            <w:vAlign w:val="center"/>
          </w:tcPr>
          <w:p>
            <w:pPr>
              <w:pStyle w:val="11"/>
            </w:pPr>
            <w:r>
              <w:t>1069.00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20106</w:t>
            </w:r>
          </w:p>
        </w:tc>
        <w:tc>
          <w:tcPr>
            <w:tcW w:w="4535" w:type="dxa"/>
            <w:vAlign w:val="center"/>
          </w:tcPr>
          <w:p>
            <w:pPr>
              <w:pStyle w:val="10"/>
            </w:pPr>
            <w:r>
              <w:t>财政事务</w:t>
            </w:r>
          </w:p>
        </w:tc>
        <w:tc>
          <w:tcPr>
            <w:tcW w:w="1361" w:type="dxa"/>
            <w:vAlign w:val="center"/>
          </w:tcPr>
          <w:p>
            <w:pPr>
              <w:pStyle w:val="11"/>
            </w:pPr>
            <w:r>
              <w:t>2243.00</w:t>
            </w:r>
          </w:p>
        </w:tc>
        <w:tc>
          <w:tcPr>
            <w:tcW w:w="1361" w:type="dxa"/>
            <w:vAlign w:val="center"/>
          </w:tcPr>
          <w:p>
            <w:pPr>
              <w:pStyle w:val="11"/>
            </w:pPr>
            <w:r>
              <w:t>1174.00</w:t>
            </w:r>
          </w:p>
        </w:tc>
        <w:tc>
          <w:tcPr>
            <w:tcW w:w="1361" w:type="dxa"/>
            <w:vAlign w:val="center"/>
          </w:tcPr>
          <w:p>
            <w:pPr>
              <w:pStyle w:val="11"/>
            </w:pPr>
            <w:r>
              <w:t>1069.00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2010601</w:t>
            </w:r>
          </w:p>
        </w:tc>
        <w:tc>
          <w:tcPr>
            <w:tcW w:w="4535" w:type="dxa"/>
            <w:vAlign w:val="center"/>
          </w:tcPr>
          <w:p>
            <w:pPr>
              <w:pStyle w:val="10"/>
            </w:pPr>
            <w:r>
              <w:t>行政运行</w:t>
            </w:r>
          </w:p>
        </w:tc>
        <w:tc>
          <w:tcPr>
            <w:tcW w:w="1361" w:type="dxa"/>
            <w:vAlign w:val="center"/>
          </w:tcPr>
          <w:p>
            <w:pPr>
              <w:pStyle w:val="11"/>
            </w:pPr>
            <w:r>
              <w:t>1174.00</w:t>
            </w:r>
          </w:p>
        </w:tc>
        <w:tc>
          <w:tcPr>
            <w:tcW w:w="1361" w:type="dxa"/>
            <w:vAlign w:val="center"/>
          </w:tcPr>
          <w:p>
            <w:pPr>
              <w:pStyle w:val="11"/>
            </w:pPr>
            <w:r>
              <w:t>1174.00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2010607</w:t>
            </w:r>
          </w:p>
        </w:tc>
        <w:tc>
          <w:tcPr>
            <w:tcW w:w="4535" w:type="dxa"/>
            <w:vAlign w:val="center"/>
          </w:tcPr>
          <w:p>
            <w:pPr>
              <w:pStyle w:val="10"/>
            </w:pPr>
            <w:r>
              <w:t>信息化建设</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2010608</w:t>
            </w:r>
          </w:p>
        </w:tc>
        <w:tc>
          <w:tcPr>
            <w:tcW w:w="4535" w:type="dxa"/>
            <w:vAlign w:val="center"/>
          </w:tcPr>
          <w:p>
            <w:pPr>
              <w:pStyle w:val="10"/>
            </w:pPr>
            <w:r>
              <w:t>财政委托业务支出</w:t>
            </w:r>
          </w:p>
        </w:tc>
        <w:tc>
          <w:tcPr>
            <w:tcW w:w="1361" w:type="dxa"/>
            <w:vAlign w:val="center"/>
          </w:tcPr>
          <w:p>
            <w:pPr>
              <w:pStyle w:val="11"/>
            </w:pPr>
            <w:r>
              <w:t>628.00</w:t>
            </w:r>
          </w:p>
        </w:tc>
        <w:tc>
          <w:tcPr>
            <w:tcW w:w="1361" w:type="dxa"/>
            <w:vAlign w:val="center"/>
          </w:tcPr>
          <w:p>
            <w:pPr>
              <w:pStyle w:val="11"/>
            </w:pPr>
          </w:p>
        </w:tc>
        <w:tc>
          <w:tcPr>
            <w:tcW w:w="1361" w:type="dxa"/>
            <w:vAlign w:val="center"/>
          </w:tcPr>
          <w:p>
            <w:pPr>
              <w:pStyle w:val="11"/>
            </w:pPr>
            <w:r>
              <w:t>628.00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2010699</w:t>
            </w:r>
          </w:p>
        </w:tc>
        <w:tc>
          <w:tcPr>
            <w:tcW w:w="4535" w:type="dxa"/>
            <w:vAlign w:val="center"/>
          </w:tcPr>
          <w:p>
            <w:pPr>
              <w:pStyle w:val="10"/>
            </w:pPr>
            <w:r>
              <w:t>其他财政事务支出</w:t>
            </w:r>
          </w:p>
        </w:tc>
        <w:tc>
          <w:tcPr>
            <w:tcW w:w="1361" w:type="dxa"/>
            <w:vAlign w:val="center"/>
          </w:tcPr>
          <w:p>
            <w:pPr>
              <w:pStyle w:val="11"/>
            </w:pPr>
            <w:r>
              <w:t>261.00</w:t>
            </w:r>
          </w:p>
        </w:tc>
        <w:tc>
          <w:tcPr>
            <w:tcW w:w="1361" w:type="dxa"/>
            <w:vAlign w:val="center"/>
          </w:tcPr>
          <w:p>
            <w:pPr>
              <w:pStyle w:val="11"/>
            </w:pPr>
          </w:p>
        </w:tc>
        <w:tc>
          <w:tcPr>
            <w:tcW w:w="1361" w:type="dxa"/>
            <w:vAlign w:val="center"/>
          </w:tcPr>
          <w:p>
            <w:pPr>
              <w:pStyle w:val="11"/>
            </w:pPr>
            <w:r>
              <w:t>261.00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162.00</w:t>
            </w:r>
          </w:p>
        </w:tc>
        <w:tc>
          <w:tcPr>
            <w:tcW w:w="1361" w:type="dxa"/>
            <w:vAlign w:val="center"/>
          </w:tcPr>
          <w:p>
            <w:pPr>
              <w:pStyle w:val="11"/>
            </w:pPr>
            <w:r>
              <w:t>162.00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162.00</w:t>
            </w:r>
          </w:p>
        </w:tc>
        <w:tc>
          <w:tcPr>
            <w:tcW w:w="1361" w:type="dxa"/>
            <w:vAlign w:val="center"/>
          </w:tcPr>
          <w:p>
            <w:pPr>
              <w:pStyle w:val="11"/>
            </w:pPr>
            <w:r>
              <w:t>162.00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137.00</w:t>
            </w:r>
          </w:p>
        </w:tc>
        <w:tc>
          <w:tcPr>
            <w:tcW w:w="1361" w:type="dxa"/>
            <w:vAlign w:val="center"/>
          </w:tcPr>
          <w:p>
            <w:pPr>
              <w:pStyle w:val="11"/>
            </w:pPr>
            <w:r>
              <w:t>137.00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10"/>
            </w:pPr>
            <w:r>
              <w:t>213</w:t>
            </w:r>
          </w:p>
        </w:tc>
        <w:tc>
          <w:tcPr>
            <w:tcW w:w="4535" w:type="dxa"/>
            <w:vAlign w:val="center"/>
          </w:tcPr>
          <w:p>
            <w:pPr>
              <w:pStyle w:val="10"/>
            </w:pPr>
            <w:r>
              <w:t>农林水支出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10"/>
            </w:pPr>
            <w:r>
              <w:t>21301</w:t>
            </w:r>
          </w:p>
        </w:tc>
        <w:tc>
          <w:tcPr>
            <w:tcW w:w="4535" w:type="dxa"/>
            <w:vAlign w:val="center"/>
          </w:tcPr>
          <w:p>
            <w:pPr>
              <w:pStyle w:val="10"/>
            </w:pPr>
            <w:r>
              <w:t>农业农村</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992" w:type="dxa"/>
            <w:vAlign w:val="center"/>
          </w:tcPr>
          <w:p>
            <w:pPr>
              <w:pStyle w:val="10"/>
            </w:pPr>
            <w:r>
              <w:t>2130199</w:t>
            </w:r>
          </w:p>
        </w:tc>
        <w:tc>
          <w:tcPr>
            <w:tcW w:w="4535" w:type="dxa"/>
            <w:vAlign w:val="center"/>
          </w:tcPr>
          <w:p>
            <w:pPr>
              <w:pStyle w:val="10"/>
            </w:pPr>
            <w:r>
              <w:t>其他农业农村支出</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318001无极县财政局本级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2477.00</w:t>
            </w:r>
          </w:p>
        </w:tc>
        <w:tc>
          <w:tcPr>
            <w:tcW w:w="3402" w:type="dxa"/>
            <w:vAlign w:val="center"/>
          </w:tcPr>
          <w:p>
            <w:pPr>
              <w:pStyle w:val="10"/>
            </w:pPr>
            <w:r>
              <w:t>一、一般公共服务支出</w:t>
            </w:r>
          </w:p>
        </w:tc>
        <w:tc>
          <w:tcPr>
            <w:tcW w:w="1474" w:type="dxa"/>
            <w:vAlign w:val="center"/>
          </w:tcPr>
          <w:p>
            <w:pPr>
              <w:pStyle w:val="11"/>
            </w:pPr>
            <w:r>
              <w:t>2243.00</w:t>
            </w:r>
          </w:p>
        </w:tc>
        <w:tc>
          <w:tcPr>
            <w:tcW w:w="1474" w:type="dxa"/>
            <w:vAlign w:val="center"/>
          </w:tcPr>
          <w:p>
            <w:pPr>
              <w:pStyle w:val="11"/>
            </w:pPr>
            <w:r>
              <w:t>2243.00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162.00</w:t>
            </w:r>
          </w:p>
        </w:tc>
        <w:tc>
          <w:tcPr>
            <w:tcW w:w="1474" w:type="dxa"/>
            <w:vAlign w:val="center"/>
          </w:tcPr>
          <w:p>
            <w:pPr>
              <w:pStyle w:val="11"/>
            </w:pPr>
            <w:r>
              <w:t>162.00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60.00</w:t>
            </w:r>
          </w:p>
        </w:tc>
        <w:tc>
          <w:tcPr>
            <w:tcW w:w="1474" w:type="dxa"/>
            <w:vAlign w:val="center"/>
          </w:tcPr>
          <w:p>
            <w:pPr>
              <w:pStyle w:val="11"/>
            </w:pPr>
            <w:r>
              <w:t>60.00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r>
              <w:t>12.00</w:t>
            </w:r>
          </w:p>
        </w:tc>
        <w:tc>
          <w:tcPr>
            <w:tcW w:w="1474" w:type="dxa"/>
            <w:vAlign w:val="center"/>
          </w:tcPr>
          <w:p>
            <w:pPr>
              <w:pStyle w:val="11"/>
            </w:pPr>
            <w:r>
              <w:t>12.00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2477.00</w:t>
            </w:r>
          </w:p>
        </w:tc>
        <w:tc>
          <w:tcPr>
            <w:tcW w:w="3402" w:type="dxa"/>
            <w:vAlign w:val="center"/>
          </w:tcPr>
          <w:p>
            <w:pPr>
              <w:pStyle w:val="12"/>
            </w:pPr>
            <w:r>
              <w:t>本年支出合计</w:t>
            </w:r>
          </w:p>
        </w:tc>
        <w:tc>
          <w:tcPr>
            <w:tcW w:w="1474" w:type="dxa"/>
            <w:vAlign w:val="center"/>
          </w:tcPr>
          <w:p>
            <w:pPr>
              <w:pStyle w:val="13"/>
            </w:pPr>
            <w:r>
              <w:t>2477.00</w:t>
            </w:r>
          </w:p>
        </w:tc>
        <w:tc>
          <w:tcPr>
            <w:tcW w:w="1474" w:type="dxa"/>
            <w:vAlign w:val="center"/>
          </w:tcPr>
          <w:p>
            <w:pPr>
              <w:pStyle w:val="13"/>
            </w:pPr>
            <w:r>
              <w:t>2477.00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2477.00</w:t>
            </w:r>
          </w:p>
        </w:tc>
        <w:tc>
          <w:tcPr>
            <w:tcW w:w="3402" w:type="dxa"/>
            <w:vAlign w:val="center"/>
          </w:tcPr>
          <w:p>
            <w:pPr>
              <w:pStyle w:val="12"/>
            </w:pPr>
            <w:r>
              <w:t>支出总计</w:t>
            </w:r>
          </w:p>
        </w:tc>
        <w:tc>
          <w:tcPr>
            <w:tcW w:w="1474" w:type="dxa"/>
            <w:vAlign w:val="center"/>
          </w:tcPr>
          <w:p>
            <w:pPr>
              <w:pStyle w:val="13"/>
            </w:pPr>
            <w:r>
              <w:t>2477.00</w:t>
            </w:r>
          </w:p>
        </w:tc>
        <w:tc>
          <w:tcPr>
            <w:tcW w:w="1474" w:type="dxa"/>
            <w:vAlign w:val="center"/>
          </w:tcPr>
          <w:p>
            <w:pPr>
              <w:pStyle w:val="13"/>
            </w:pPr>
            <w:r>
              <w:t>2477.00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2477.00</w:t>
            </w:r>
          </w:p>
        </w:tc>
        <w:tc>
          <w:tcPr>
            <w:tcW w:w="2551" w:type="dxa"/>
            <w:vAlign w:val="center"/>
          </w:tcPr>
          <w:p>
            <w:pPr>
              <w:pStyle w:val="13"/>
            </w:pPr>
            <w:r>
              <w:t>1396.00</w:t>
            </w:r>
          </w:p>
        </w:tc>
        <w:tc>
          <w:tcPr>
            <w:tcW w:w="2551" w:type="dxa"/>
            <w:vAlign w:val="center"/>
          </w:tcPr>
          <w:p>
            <w:pPr>
              <w:pStyle w:val="13"/>
            </w:pPr>
            <w:r>
              <w:t>1081.00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11"/>
            </w:pPr>
            <w:r>
              <w:t>2243.00</w:t>
            </w:r>
          </w:p>
        </w:tc>
        <w:tc>
          <w:tcPr>
            <w:tcW w:w="2551" w:type="dxa"/>
            <w:vAlign w:val="center"/>
          </w:tcPr>
          <w:p>
            <w:pPr>
              <w:pStyle w:val="11"/>
            </w:pPr>
            <w:r>
              <w:t>1174.00</w:t>
            </w:r>
          </w:p>
        </w:tc>
        <w:tc>
          <w:tcPr>
            <w:tcW w:w="2551" w:type="dxa"/>
            <w:vAlign w:val="center"/>
          </w:tcPr>
          <w:p>
            <w:pPr>
              <w:pStyle w:val="11"/>
            </w:pPr>
            <w:r>
              <w:t>1069.00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20106</w:t>
            </w:r>
          </w:p>
        </w:tc>
        <w:tc>
          <w:tcPr>
            <w:tcW w:w="4535" w:type="dxa"/>
            <w:vAlign w:val="center"/>
          </w:tcPr>
          <w:p>
            <w:pPr>
              <w:pStyle w:val="10"/>
            </w:pPr>
            <w:r>
              <w:t>财政事务</w:t>
            </w:r>
          </w:p>
        </w:tc>
        <w:tc>
          <w:tcPr>
            <w:tcW w:w="2551" w:type="dxa"/>
            <w:vAlign w:val="center"/>
          </w:tcPr>
          <w:p>
            <w:pPr>
              <w:pStyle w:val="11"/>
            </w:pPr>
            <w:r>
              <w:t>2243.00</w:t>
            </w:r>
          </w:p>
        </w:tc>
        <w:tc>
          <w:tcPr>
            <w:tcW w:w="2551" w:type="dxa"/>
            <w:vAlign w:val="center"/>
          </w:tcPr>
          <w:p>
            <w:pPr>
              <w:pStyle w:val="11"/>
            </w:pPr>
            <w:r>
              <w:t>1174.00</w:t>
            </w:r>
          </w:p>
        </w:tc>
        <w:tc>
          <w:tcPr>
            <w:tcW w:w="2551" w:type="dxa"/>
            <w:vAlign w:val="center"/>
          </w:tcPr>
          <w:p>
            <w:pPr>
              <w:pStyle w:val="11"/>
            </w:pPr>
            <w:r>
              <w:t>1069.00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2010601</w:t>
            </w:r>
          </w:p>
        </w:tc>
        <w:tc>
          <w:tcPr>
            <w:tcW w:w="4535" w:type="dxa"/>
            <w:vAlign w:val="center"/>
          </w:tcPr>
          <w:p>
            <w:pPr>
              <w:pStyle w:val="10"/>
            </w:pPr>
            <w:r>
              <w:t>行政运行</w:t>
            </w:r>
          </w:p>
        </w:tc>
        <w:tc>
          <w:tcPr>
            <w:tcW w:w="2551" w:type="dxa"/>
            <w:vAlign w:val="center"/>
          </w:tcPr>
          <w:p>
            <w:pPr>
              <w:pStyle w:val="11"/>
            </w:pPr>
            <w:r>
              <w:t>1174.00</w:t>
            </w:r>
          </w:p>
        </w:tc>
        <w:tc>
          <w:tcPr>
            <w:tcW w:w="2551" w:type="dxa"/>
            <w:vAlign w:val="center"/>
          </w:tcPr>
          <w:p>
            <w:pPr>
              <w:pStyle w:val="11"/>
            </w:pPr>
            <w:r>
              <w:t>1174.00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2010607</w:t>
            </w:r>
          </w:p>
        </w:tc>
        <w:tc>
          <w:tcPr>
            <w:tcW w:w="4535" w:type="dxa"/>
            <w:vAlign w:val="center"/>
          </w:tcPr>
          <w:p>
            <w:pPr>
              <w:pStyle w:val="10"/>
            </w:pPr>
            <w:r>
              <w:t>信息化建设</w:t>
            </w:r>
          </w:p>
        </w:tc>
        <w:tc>
          <w:tcPr>
            <w:tcW w:w="2551" w:type="dxa"/>
            <w:vAlign w:val="center"/>
          </w:tcPr>
          <w:p>
            <w:pPr>
              <w:pStyle w:val="11"/>
            </w:pPr>
            <w:r>
              <w:t>180.00</w:t>
            </w:r>
          </w:p>
        </w:tc>
        <w:tc>
          <w:tcPr>
            <w:tcW w:w="2551" w:type="dxa"/>
            <w:vAlign w:val="center"/>
          </w:tcPr>
          <w:p>
            <w:pPr>
              <w:pStyle w:val="11"/>
            </w:pP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2010608</w:t>
            </w:r>
          </w:p>
        </w:tc>
        <w:tc>
          <w:tcPr>
            <w:tcW w:w="4535" w:type="dxa"/>
            <w:vAlign w:val="center"/>
          </w:tcPr>
          <w:p>
            <w:pPr>
              <w:pStyle w:val="10"/>
            </w:pPr>
            <w:r>
              <w:t>财政委托业务支出</w:t>
            </w:r>
          </w:p>
        </w:tc>
        <w:tc>
          <w:tcPr>
            <w:tcW w:w="2551" w:type="dxa"/>
            <w:vAlign w:val="center"/>
          </w:tcPr>
          <w:p>
            <w:pPr>
              <w:pStyle w:val="11"/>
            </w:pPr>
            <w:r>
              <w:t>628.00</w:t>
            </w:r>
          </w:p>
        </w:tc>
        <w:tc>
          <w:tcPr>
            <w:tcW w:w="2551" w:type="dxa"/>
            <w:vAlign w:val="center"/>
          </w:tcPr>
          <w:p>
            <w:pPr>
              <w:pStyle w:val="11"/>
            </w:pPr>
          </w:p>
        </w:tc>
        <w:tc>
          <w:tcPr>
            <w:tcW w:w="2551" w:type="dxa"/>
            <w:vAlign w:val="center"/>
          </w:tcPr>
          <w:p>
            <w:pPr>
              <w:pStyle w:val="11"/>
            </w:pPr>
            <w:r>
              <w:t>628.00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2010699</w:t>
            </w:r>
          </w:p>
        </w:tc>
        <w:tc>
          <w:tcPr>
            <w:tcW w:w="4535" w:type="dxa"/>
            <w:vAlign w:val="center"/>
          </w:tcPr>
          <w:p>
            <w:pPr>
              <w:pStyle w:val="10"/>
            </w:pPr>
            <w:r>
              <w:t>其他财政事务支出</w:t>
            </w:r>
          </w:p>
        </w:tc>
        <w:tc>
          <w:tcPr>
            <w:tcW w:w="2551" w:type="dxa"/>
            <w:vAlign w:val="center"/>
          </w:tcPr>
          <w:p>
            <w:pPr>
              <w:pStyle w:val="11"/>
            </w:pPr>
            <w:r>
              <w:t>261.00</w:t>
            </w:r>
          </w:p>
        </w:tc>
        <w:tc>
          <w:tcPr>
            <w:tcW w:w="2551" w:type="dxa"/>
            <w:vAlign w:val="center"/>
          </w:tcPr>
          <w:p>
            <w:pPr>
              <w:pStyle w:val="11"/>
            </w:pPr>
          </w:p>
        </w:tc>
        <w:tc>
          <w:tcPr>
            <w:tcW w:w="2551" w:type="dxa"/>
            <w:vAlign w:val="center"/>
          </w:tcPr>
          <w:p>
            <w:pPr>
              <w:pStyle w:val="11"/>
            </w:pPr>
            <w:r>
              <w:t>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162.00</w:t>
            </w:r>
          </w:p>
        </w:tc>
        <w:tc>
          <w:tcPr>
            <w:tcW w:w="2551" w:type="dxa"/>
            <w:vAlign w:val="center"/>
          </w:tcPr>
          <w:p>
            <w:pPr>
              <w:pStyle w:val="11"/>
            </w:pPr>
            <w:r>
              <w:t>162.00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162.00</w:t>
            </w:r>
          </w:p>
        </w:tc>
        <w:tc>
          <w:tcPr>
            <w:tcW w:w="2551" w:type="dxa"/>
            <w:vAlign w:val="center"/>
          </w:tcPr>
          <w:p>
            <w:pPr>
              <w:pStyle w:val="11"/>
            </w:pPr>
            <w:r>
              <w:t>162.00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137.00</w:t>
            </w:r>
          </w:p>
        </w:tc>
        <w:tc>
          <w:tcPr>
            <w:tcW w:w="2551" w:type="dxa"/>
            <w:vAlign w:val="center"/>
          </w:tcPr>
          <w:p>
            <w:pPr>
              <w:pStyle w:val="11"/>
            </w:pPr>
            <w:r>
              <w:t>137.00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213</w:t>
            </w:r>
          </w:p>
        </w:tc>
        <w:tc>
          <w:tcPr>
            <w:tcW w:w="4535" w:type="dxa"/>
            <w:vAlign w:val="center"/>
          </w:tcPr>
          <w:p>
            <w:pPr>
              <w:pStyle w:val="10"/>
            </w:pPr>
            <w:r>
              <w:t>农林水支出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21301</w:t>
            </w:r>
          </w:p>
        </w:tc>
        <w:tc>
          <w:tcPr>
            <w:tcW w:w="4535" w:type="dxa"/>
            <w:vAlign w:val="center"/>
          </w:tcPr>
          <w:p>
            <w:pPr>
              <w:pStyle w:val="10"/>
            </w:pPr>
            <w:r>
              <w:t>农业农村</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2130199</w:t>
            </w:r>
          </w:p>
        </w:tc>
        <w:tc>
          <w:tcPr>
            <w:tcW w:w="4535" w:type="dxa"/>
            <w:vAlign w:val="center"/>
          </w:tcPr>
          <w:p>
            <w:pPr>
              <w:pStyle w:val="10"/>
            </w:pPr>
            <w:r>
              <w:t>其他农业农村支出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1396.00</w:t>
            </w:r>
          </w:p>
        </w:tc>
        <w:tc>
          <w:tcPr>
            <w:tcW w:w="2551" w:type="dxa"/>
            <w:vAlign w:val="center"/>
          </w:tcPr>
          <w:p>
            <w:pPr>
              <w:pStyle w:val="13"/>
            </w:pPr>
            <w:r>
              <w:t>1271.50</w:t>
            </w:r>
          </w:p>
        </w:tc>
        <w:tc>
          <w:tcPr>
            <w:tcW w:w="2551" w:type="dxa"/>
            <w:vAlign w:val="center"/>
          </w:tcPr>
          <w:p>
            <w:pPr>
              <w:pStyle w:val="13"/>
            </w:pPr>
            <w:r>
              <w:t>124.50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1177.50</w:t>
            </w:r>
          </w:p>
        </w:tc>
        <w:tc>
          <w:tcPr>
            <w:tcW w:w="2551" w:type="dxa"/>
            <w:vAlign w:val="center"/>
          </w:tcPr>
          <w:p>
            <w:pPr>
              <w:pStyle w:val="11"/>
            </w:pPr>
            <w:r>
              <w:t>1177.50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638.00</w:t>
            </w:r>
          </w:p>
        </w:tc>
        <w:tc>
          <w:tcPr>
            <w:tcW w:w="2551" w:type="dxa"/>
            <w:vAlign w:val="center"/>
          </w:tcPr>
          <w:p>
            <w:pPr>
              <w:pStyle w:val="11"/>
            </w:pPr>
            <w:r>
              <w:t>638.00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111.50</w:t>
            </w:r>
          </w:p>
        </w:tc>
        <w:tc>
          <w:tcPr>
            <w:tcW w:w="2551" w:type="dxa"/>
            <w:vAlign w:val="center"/>
          </w:tcPr>
          <w:p>
            <w:pPr>
              <w:pStyle w:val="11"/>
            </w:pPr>
            <w:r>
              <w:t>111.50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104.00</w:t>
            </w:r>
          </w:p>
        </w:tc>
        <w:tc>
          <w:tcPr>
            <w:tcW w:w="2551" w:type="dxa"/>
            <w:vAlign w:val="center"/>
          </w:tcPr>
          <w:p>
            <w:pPr>
              <w:pStyle w:val="11"/>
            </w:pPr>
            <w:r>
              <w:t>104.00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96.00</w:t>
            </w:r>
          </w:p>
        </w:tc>
        <w:tc>
          <w:tcPr>
            <w:tcW w:w="2551" w:type="dxa"/>
            <w:vAlign w:val="center"/>
          </w:tcPr>
          <w:p>
            <w:pPr>
              <w:pStyle w:val="11"/>
            </w:pPr>
            <w:r>
              <w:t>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137.00</w:t>
            </w:r>
          </w:p>
        </w:tc>
        <w:tc>
          <w:tcPr>
            <w:tcW w:w="2551" w:type="dxa"/>
            <w:vAlign w:val="center"/>
          </w:tcPr>
          <w:p>
            <w:pPr>
              <w:pStyle w:val="11"/>
            </w:pPr>
            <w:r>
              <w:t>137.00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124.50</w:t>
            </w:r>
          </w:p>
        </w:tc>
        <w:tc>
          <w:tcPr>
            <w:tcW w:w="2551" w:type="dxa"/>
            <w:vAlign w:val="center"/>
          </w:tcPr>
          <w:p>
            <w:pPr>
              <w:pStyle w:val="11"/>
            </w:pPr>
          </w:p>
        </w:tc>
        <w:tc>
          <w:tcPr>
            <w:tcW w:w="2551" w:type="dxa"/>
            <w:vAlign w:val="center"/>
          </w:tcPr>
          <w:p>
            <w:pPr>
              <w:pStyle w:val="11"/>
            </w:pPr>
            <w:r>
              <w:t>124.50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73.50</w:t>
            </w:r>
          </w:p>
        </w:tc>
        <w:tc>
          <w:tcPr>
            <w:tcW w:w="2551" w:type="dxa"/>
            <w:vAlign w:val="center"/>
          </w:tcPr>
          <w:p>
            <w:pPr>
              <w:pStyle w:val="11"/>
            </w:pPr>
          </w:p>
        </w:tc>
        <w:tc>
          <w:tcPr>
            <w:tcW w:w="2551" w:type="dxa"/>
            <w:vAlign w:val="center"/>
          </w:tcPr>
          <w:p>
            <w:pPr>
              <w:pStyle w:val="11"/>
            </w:pPr>
            <w:r>
              <w:t>73.50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5"/>
            </w:pPr>
            <w:r>
              <w:t>318001无极县财政局本级</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2"/>
            </w:pPr>
            <w:r>
              <w:t>合计</w:t>
            </w:r>
          </w:p>
        </w:tc>
        <w:tc>
          <w:tcPr>
            <w:tcW w:w="2381" w:type="dxa"/>
            <w:vAlign w:val="center"/>
          </w:tcPr>
          <w:p>
            <w:pPr>
              <w:pStyle w:val="13"/>
              <w:rPr>
                <w:rFonts w:hint="default" w:eastAsia="方正书宋_GBK"/>
                <w:lang w:val="en-US" w:eastAsia="zh-CN"/>
              </w:rPr>
            </w:pPr>
            <w:r>
              <w:rPr>
                <w:rFonts w:hint="eastAsia"/>
                <w:lang w:val="en-US" w:eastAsia="zh-CN"/>
              </w:rPr>
              <w:t>3.00</w:t>
            </w:r>
          </w:p>
        </w:tc>
        <w:tc>
          <w:tcPr>
            <w:tcW w:w="2381" w:type="dxa"/>
            <w:vAlign w:val="center"/>
          </w:tcPr>
          <w:p>
            <w:pPr>
              <w:pStyle w:val="13"/>
              <w:rPr>
                <w:rFonts w:hint="default" w:eastAsia="方正书宋_GBK"/>
                <w:lang w:val="en-US" w:eastAsia="zh-CN"/>
              </w:rPr>
            </w:pPr>
            <w:r>
              <w:rPr>
                <w:rFonts w:hint="eastAsia"/>
                <w:lang w:val="en-US" w:eastAsia="zh-CN"/>
              </w:rP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10"/>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10"/>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10"/>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10"/>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10"/>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无极县财政局本级2023年单位预算信息公开情况说明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按照《预算法》、《地方预决算公开操作规程》和《关于进一步推进预算公开工作的实施意见》规定，现将无极县财政局本级2023年单位预算公开如下：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pStyle w:val="15"/>
      </w:pPr>
      <w:r>
        <w:t>（二）贯彻执行关于财政、税收、财务、会计管理方面的法律、法规、规章。</w:t>
      </w:r>
    </w:p>
    <w:p>
      <w:pPr>
        <w:pStyle w:val="15"/>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5"/>
      </w:pPr>
      <w:r>
        <w:t>（四）提出上级授权税目税率调整、减免和地方税收政策等重大事项的建议。组织推进税收制度改革。</w:t>
      </w:r>
    </w:p>
    <w:p>
      <w:pPr>
        <w:pStyle w:val="15"/>
      </w:pPr>
      <w:r>
        <w:t>（五）按分工负责政府非税收入管理。负责政府性基金管理，按规定管理行政事业性收费。管理财政票据。贯彻实施彩票管理政策和有关办法，参与管理彩票市场，按规定管理彩票资金。</w:t>
      </w:r>
    </w:p>
    <w:p>
      <w:pPr>
        <w:pStyle w:val="15"/>
      </w:pPr>
      <w:r>
        <w:t>（六）研究制定国库管理制度、国库集中收付制度，按规定开展国库资金现金管理工作。制定政府财务报告编制办法并组织实施。制定政府采购制度并监督管理。</w:t>
      </w:r>
    </w:p>
    <w:p>
      <w:pPr>
        <w:pStyle w:val="15"/>
      </w:pPr>
      <w:r>
        <w:t>（七）拟订政府债务管理制度和办法并组织实施。负责政府债务限额管理，按规定组织政府债券申报、转贷和还本付息等工作。执行国家外债管理政策，管理县政府国外债务。开展对外财经交流。</w:t>
      </w:r>
    </w:p>
    <w:p>
      <w:pPr>
        <w:pStyle w:val="15"/>
      </w:pPr>
      <w: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无极县财政局本级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w:t>
      </w:r>
      <w:r>
        <w:rPr>
          <w:rFonts w:hint="eastAsia" w:eastAsia="方正仿宋_GBK" w:cs="Times New Roman"/>
          <w:color w:val="000000"/>
          <w:sz w:val="28"/>
          <w:lang w:val="en-US" w:eastAsia="zh-CN"/>
        </w:rPr>
        <w:t>单位</w:t>
      </w:r>
      <w:r>
        <w:rPr>
          <w:rFonts w:eastAsia="方正仿宋_GBK" w:cs="Times New Roman"/>
          <w:color w:val="000000"/>
          <w:sz w:val="28"/>
        </w:rPr>
        <w:t>预算中。</w:t>
      </w:r>
    </w:p>
    <w:p>
      <w:pPr>
        <w:pStyle w:val="16"/>
      </w:pPr>
      <w:r>
        <w:t>1、收入说明</w:t>
      </w:r>
    </w:p>
    <w:p>
      <w:pPr>
        <w:pStyle w:val="16"/>
      </w:pPr>
      <w:r>
        <w:t>反映本</w:t>
      </w:r>
      <w:r>
        <w:rPr>
          <w:rFonts w:hint="eastAsia"/>
          <w:lang w:eastAsia="zh-CN"/>
        </w:rPr>
        <w:t>单位</w:t>
      </w:r>
      <w:r>
        <w:t>当年全部收入，2023年</w:t>
      </w:r>
      <w:r>
        <w:rPr>
          <w:rFonts w:hint="eastAsia"/>
          <w:lang w:val="en-US" w:eastAsia="zh-CN"/>
        </w:rPr>
        <w:t>单位</w:t>
      </w:r>
      <w:r>
        <w:t>预算收入2477万元，其中：一般公共预算拨款2477万元，基金预算拨款0万元，财政专户核拨0万元，其他来源收入0万元。</w:t>
      </w:r>
    </w:p>
    <w:p>
      <w:pPr>
        <w:pStyle w:val="16"/>
      </w:pPr>
      <w:r>
        <w:t>2、支出说明</w:t>
      </w:r>
    </w:p>
    <w:p>
      <w:pPr>
        <w:pStyle w:val="16"/>
      </w:pPr>
      <w:r>
        <w:t>收支预算总表支出栏、基本支出表、项目支出表按经济分类和支出功能分类科目编制，反映财政年度</w:t>
      </w:r>
      <w:r>
        <w:rPr>
          <w:rFonts w:hint="eastAsia"/>
          <w:lang w:eastAsia="zh-CN"/>
        </w:rPr>
        <w:t>单位</w:t>
      </w:r>
      <w:r>
        <w:t>预算中支出预算的总体情况。2023年</w:t>
      </w:r>
      <w:r>
        <w:rPr>
          <w:rFonts w:hint="eastAsia"/>
          <w:lang w:val="en-US" w:eastAsia="zh-CN"/>
        </w:rPr>
        <w:t>单位</w:t>
      </w:r>
      <w:r>
        <w:t>支出预算为2477万元，其中基本支出1396元，包括人员经费1271.5万元和日常公用经费124.5万元；项目支出1081万元,主要为财政委托业务、财政信息化建设、其他财政事务支出等1081万元。</w:t>
      </w:r>
    </w:p>
    <w:p>
      <w:pPr>
        <w:pStyle w:val="16"/>
      </w:pPr>
      <w:r>
        <w:t>3、比上年增减情况</w:t>
      </w:r>
    </w:p>
    <w:p>
      <w:pPr>
        <w:pStyle w:val="16"/>
      </w:pPr>
      <w:r>
        <w:t>2023年</w:t>
      </w:r>
      <w:r>
        <w:rPr>
          <w:rFonts w:hint="eastAsia"/>
          <w:lang w:eastAsia="zh-CN"/>
        </w:rPr>
        <w:t>单位</w:t>
      </w:r>
      <w:r>
        <w:t>预算支出较2022增加494.05万元，其中：基本支出增加260.05万元；项目支出增加234万元。</w:t>
      </w:r>
    </w:p>
    <w:p>
      <w:pPr>
        <w:spacing w:before="10" w:after="10"/>
        <w:ind w:firstLine="640"/>
        <w:outlineLvl w:val="5"/>
      </w:pPr>
      <w:r>
        <w:rPr>
          <w:rFonts w:ascii="黑体" w:hAnsi="黑体" w:eastAsia="黑体" w:cs="黑体"/>
          <w:color w:val="000000"/>
          <w:sz w:val="32"/>
        </w:rPr>
        <w:t>三、机关运行经费安排情况</w:t>
      </w:r>
    </w:p>
    <w:p>
      <w:pPr>
        <w:pStyle w:val="17"/>
      </w:pPr>
      <w:r>
        <w:t>2023年，我</w:t>
      </w:r>
      <w:r>
        <w:rPr>
          <w:rFonts w:hint="eastAsia"/>
          <w:lang w:eastAsia="zh-CN"/>
        </w:rPr>
        <w:t>单位</w:t>
      </w:r>
      <w:r>
        <w:t>机关运行经费共计安排124.5万元，主要用于保证机关正常运转的办公及印刷费、邮电费、差旅费、会议费、福利费、办公用房水电费、日常维修费等支出。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2023年，我</w:t>
      </w:r>
      <w:r>
        <w:rPr>
          <w:rFonts w:hint="eastAsia"/>
          <w:lang w:eastAsia="zh-CN"/>
        </w:rPr>
        <w:t>单位</w:t>
      </w:r>
      <w:r>
        <w:t>财政拨款“三公”经费预算安排3万元，其中：因公出国（境）费0万元</w:t>
      </w:r>
      <w:r>
        <w:rPr>
          <w:rFonts w:hint="eastAsia"/>
          <w:lang w:eastAsia="zh-CN"/>
        </w:rPr>
        <w:t>，</w:t>
      </w:r>
      <w:r>
        <w:rPr>
          <w:rFonts w:hint="eastAsia"/>
          <w:lang w:val="en-US" w:eastAsia="zh-CN"/>
        </w:rPr>
        <w:t>与上年持平，原因为未安排因公出国出境经费</w:t>
      </w:r>
      <w:r>
        <w:t>；公务用车购置及运维费3万元（其中：公务用车购置费0万元，公务用车运行维护费3万元</w:t>
      </w:r>
      <w:r>
        <w:rPr>
          <w:rFonts w:hint="eastAsia"/>
          <w:lang w:eastAsia="zh-CN"/>
        </w:rPr>
        <w:t>，</w:t>
      </w:r>
      <w:r>
        <w:rPr>
          <w:rFonts w:hint="eastAsia"/>
          <w:lang w:val="en-US" w:eastAsia="zh-CN"/>
        </w:rPr>
        <w:t>与上年持平，原因为严格按照公务用车相关制度执行，厉行节约</w:t>
      </w:r>
      <w:r>
        <w:t>；公务接待费0万元</w:t>
      </w:r>
      <w:r>
        <w:rPr>
          <w:rFonts w:hint="eastAsia"/>
          <w:lang w:eastAsia="zh-CN"/>
        </w:rPr>
        <w:t>，</w:t>
      </w:r>
      <w:r>
        <w:rPr>
          <w:rFonts w:hint="eastAsia"/>
          <w:lang w:val="en-US" w:eastAsia="zh-CN"/>
        </w:rPr>
        <w:t>与上年持平，原因为未安排公务接待费</w:t>
      </w:r>
      <w:r>
        <w:t>。“三公”经费与上年持平，无增减变化。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1、2023年财政局单位取暖费绩效目标表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1.保障单位正常运转</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按时支付取暖费</w:t>
            </w:r>
          </w:p>
        </w:tc>
        <w:tc>
          <w:tcPr>
            <w:tcW w:w="2835" w:type="dxa"/>
            <w:vAlign w:val="center"/>
          </w:tcPr>
          <w:p>
            <w:pPr>
              <w:pStyle w:val="10"/>
            </w:pPr>
            <w:r>
              <w:t>按时支付取暖费</w:t>
            </w:r>
          </w:p>
        </w:tc>
        <w:tc>
          <w:tcPr>
            <w:tcW w:w="2551" w:type="dxa"/>
            <w:vAlign w:val="center"/>
          </w:tcPr>
          <w:p>
            <w:pPr>
              <w:pStyle w:val="10"/>
            </w:pPr>
            <w:r>
              <w:t>按时支付</w:t>
            </w:r>
          </w:p>
        </w:tc>
        <w:tc>
          <w:tcPr>
            <w:tcW w:w="2268" w:type="dxa"/>
            <w:vAlign w:val="center"/>
          </w:tcPr>
          <w:p>
            <w:pPr>
              <w:pStyle w:val="10"/>
            </w:pPr>
            <w:r>
              <w:t>支付取暖费是否及时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专款专用率</w:t>
            </w:r>
          </w:p>
        </w:tc>
        <w:tc>
          <w:tcPr>
            <w:tcW w:w="2835" w:type="dxa"/>
            <w:vAlign w:val="center"/>
          </w:tcPr>
          <w:p>
            <w:pPr>
              <w:pStyle w:val="10"/>
            </w:pPr>
            <w:r>
              <w:t>财政拨款专款专用情况</w:t>
            </w:r>
          </w:p>
        </w:tc>
        <w:tc>
          <w:tcPr>
            <w:tcW w:w="2551" w:type="dxa"/>
            <w:vAlign w:val="center"/>
          </w:tcPr>
          <w:p>
            <w:pPr>
              <w:pStyle w:val="10"/>
            </w:pPr>
            <w:r>
              <w:t>100%</w:t>
            </w:r>
          </w:p>
        </w:tc>
        <w:tc>
          <w:tcPr>
            <w:tcW w:w="2268"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资金拨付及时率</w:t>
            </w:r>
          </w:p>
        </w:tc>
        <w:tc>
          <w:tcPr>
            <w:tcW w:w="2835" w:type="dxa"/>
            <w:vAlign w:val="center"/>
          </w:tcPr>
          <w:p>
            <w:pPr>
              <w:pStyle w:val="10"/>
            </w:pPr>
            <w:r>
              <w:t>资金拨付及时率</w:t>
            </w:r>
          </w:p>
        </w:tc>
        <w:tc>
          <w:tcPr>
            <w:tcW w:w="2551" w:type="dxa"/>
            <w:vAlign w:val="center"/>
          </w:tcPr>
          <w:p>
            <w:pPr>
              <w:pStyle w:val="10"/>
            </w:pPr>
            <w:r>
              <w:t>≥90%</w:t>
            </w:r>
          </w:p>
        </w:tc>
        <w:tc>
          <w:tcPr>
            <w:tcW w:w="2268"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项目预算金额</w:t>
            </w:r>
          </w:p>
        </w:tc>
        <w:tc>
          <w:tcPr>
            <w:tcW w:w="2551" w:type="dxa"/>
            <w:vAlign w:val="center"/>
          </w:tcPr>
          <w:p>
            <w:pPr>
              <w:pStyle w:val="10"/>
            </w:pPr>
            <w:r>
              <w:t>保障单位办公正常运行</w:t>
            </w:r>
          </w:p>
        </w:tc>
        <w:tc>
          <w:tcPr>
            <w:tcW w:w="2268" w:type="dxa"/>
            <w:vAlign w:val="center"/>
          </w:tcPr>
          <w:p>
            <w:pPr>
              <w:pStyle w:val="1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确保单位办公正常进行</w:t>
            </w:r>
          </w:p>
        </w:tc>
        <w:tc>
          <w:tcPr>
            <w:tcW w:w="2551" w:type="dxa"/>
            <w:vAlign w:val="center"/>
          </w:tcPr>
          <w:p>
            <w:pPr>
              <w:pStyle w:val="10"/>
            </w:pPr>
            <w:r>
              <w:t>保障单位办公正常运行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保证机关单位正常运转</w:t>
            </w:r>
          </w:p>
        </w:tc>
        <w:tc>
          <w:tcPr>
            <w:tcW w:w="2835" w:type="dxa"/>
            <w:vAlign w:val="center"/>
          </w:tcPr>
          <w:p>
            <w:pPr>
              <w:pStyle w:val="10"/>
            </w:pPr>
            <w:r>
              <w:t>保证单位正常运转</w:t>
            </w:r>
          </w:p>
        </w:tc>
        <w:tc>
          <w:tcPr>
            <w:tcW w:w="2551" w:type="dxa"/>
            <w:vAlign w:val="center"/>
          </w:tcPr>
          <w:p>
            <w:pPr>
              <w:pStyle w:val="10"/>
            </w:pPr>
            <w:r>
              <w:t>保障单位办公正常运行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保证单位正常运转</w:t>
            </w:r>
          </w:p>
        </w:tc>
        <w:tc>
          <w:tcPr>
            <w:tcW w:w="2835" w:type="dxa"/>
            <w:vAlign w:val="center"/>
          </w:tcPr>
          <w:p>
            <w:pPr>
              <w:pStyle w:val="10"/>
            </w:pPr>
            <w:r>
              <w:t>为单位正常开展财政业务提供保障</w:t>
            </w:r>
          </w:p>
        </w:tc>
        <w:tc>
          <w:tcPr>
            <w:tcW w:w="2551" w:type="dxa"/>
            <w:vAlign w:val="center"/>
          </w:tcPr>
          <w:p>
            <w:pPr>
              <w:pStyle w:val="10"/>
            </w:pPr>
            <w:r>
              <w:t>保障单位正常业务开展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2、2023年财政协同管理平台建设项目绩效目标表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1.保障财政协同管理平台建设项目正常开展</w:t>
            </w:r>
            <w:r>
              <w:tab/>
            </w:r>
            <w:r>
              <w:tab/>
            </w:r>
            <w:r>
              <w:tab/>
            </w:r>
            <w:r>
              <w:tab/>
            </w:r>
            <w:r>
              <w:tab/>
            </w:r>
            <w:r>
              <w:tab/>
            </w:r>
          </w:p>
          <w:p>
            <w:pPr>
              <w:pStyle w:val="10"/>
              <w:rPr>
                <w:lang w:eastAsia="zh-CN"/>
              </w:rPr>
            </w:pPr>
            <w:r>
              <w:t>2.满足工作需要</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及时支付各项平台建设费用</w:t>
            </w:r>
          </w:p>
        </w:tc>
        <w:tc>
          <w:tcPr>
            <w:tcW w:w="2835" w:type="dxa"/>
            <w:vAlign w:val="center"/>
          </w:tcPr>
          <w:p>
            <w:pPr>
              <w:pStyle w:val="10"/>
            </w:pPr>
            <w:r>
              <w:t>按时支付各项平台建设费用</w:t>
            </w:r>
          </w:p>
        </w:tc>
        <w:tc>
          <w:tcPr>
            <w:tcW w:w="2551" w:type="dxa"/>
            <w:vAlign w:val="center"/>
          </w:tcPr>
          <w:p>
            <w:pPr>
              <w:pStyle w:val="10"/>
            </w:pPr>
            <w:r>
              <w:t>按时支付</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专款专用率</w:t>
            </w:r>
          </w:p>
        </w:tc>
        <w:tc>
          <w:tcPr>
            <w:tcW w:w="2835" w:type="dxa"/>
            <w:vAlign w:val="center"/>
          </w:tcPr>
          <w:p>
            <w:pPr>
              <w:pStyle w:val="10"/>
            </w:pPr>
            <w:r>
              <w:t>财政拨款专款专用情况</w:t>
            </w:r>
          </w:p>
        </w:tc>
        <w:tc>
          <w:tcPr>
            <w:tcW w:w="2551" w:type="dxa"/>
            <w:vAlign w:val="center"/>
          </w:tcPr>
          <w:p>
            <w:pPr>
              <w:pStyle w:val="10"/>
            </w:pPr>
            <w:r>
              <w:t>100%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完成正常业务</w:t>
            </w:r>
          </w:p>
        </w:tc>
        <w:tc>
          <w:tcPr>
            <w:tcW w:w="2835" w:type="dxa"/>
            <w:vAlign w:val="center"/>
          </w:tcPr>
          <w:p>
            <w:pPr>
              <w:pStyle w:val="10"/>
            </w:pPr>
            <w:r>
              <w:t>正常财政业务完成及时率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项目预算金额</w:t>
            </w:r>
          </w:p>
        </w:tc>
        <w:tc>
          <w:tcPr>
            <w:tcW w:w="2551" w:type="dxa"/>
            <w:vAlign w:val="center"/>
          </w:tcPr>
          <w:p>
            <w:pPr>
              <w:pStyle w:val="10"/>
            </w:pPr>
            <w:r>
              <w:t>保障正常财政业务正常进行</w:t>
            </w:r>
          </w:p>
        </w:tc>
        <w:tc>
          <w:tcPr>
            <w:tcW w:w="2268" w:type="dxa"/>
            <w:vAlign w:val="center"/>
          </w:tcPr>
          <w:p>
            <w:pPr>
              <w:pStyle w:val="1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确保财政信息系统正常运行</w:t>
            </w:r>
          </w:p>
        </w:tc>
        <w:tc>
          <w:tcPr>
            <w:tcW w:w="2551" w:type="dxa"/>
            <w:vAlign w:val="center"/>
          </w:tcPr>
          <w:p>
            <w:pPr>
              <w:pStyle w:val="10"/>
            </w:pPr>
            <w:r>
              <w:t>保障正常财政业务正常进行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保证财政工作正常开展</w:t>
            </w:r>
          </w:p>
        </w:tc>
        <w:tc>
          <w:tcPr>
            <w:tcW w:w="2835" w:type="dxa"/>
            <w:vAlign w:val="center"/>
          </w:tcPr>
          <w:p>
            <w:pPr>
              <w:pStyle w:val="10"/>
            </w:pPr>
            <w:r>
              <w:t>保证财政工作正常开展</w:t>
            </w:r>
          </w:p>
        </w:tc>
        <w:tc>
          <w:tcPr>
            <w:tcW w:w="2551" w:type="dxa"/>
            <w:vAlign w:val="center"/>
          </w:tcPr>
          <w:p>
            <w:pPr>
              <w:pStyle w:val="10"/>
            </w:pPr>
            <w:r>
              <w:t>保障正常财政业务正常进行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保证单位正常运转</w:t>
            </w:r>
          </w:p>
        </w:tc>
        <w:tc>
          <w:tcPr>
            <w:tcW w:w="2835" w:type="dxa"/>
            <w:vAlign w:val="center"/>
          </w:tcPr>
          <w:p>
            <w:pPr>
              <w:pStyle w:val="10"/>
            </w:pPr>
            <w:r>
              <w:t>为单位正常开展财政业务提供保障</w:t>
            </w:r>
          </w:p>
        </w:tc>
        <w:tc>
          <w:tcPr>
            <w:tcW w:w="2551" w:type="dxa"/>
            <w:vAlign w:val="center"/>
          </w:tcPr>
          <w:p>
            <w:pPr>
              <w:pStyle w:val="10"/>
            </w:pPr>
            <w:r>
              <w:t>保障单位正常业务开展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3、2023年财政信息化建设绩效目标表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1.保障财政信息系统高效、平稳运行</w:t>
            </w:r>
          </w:p>
          <w:p>
            <w:pPr>
              <w:pStyle w:val="10"/>
              <w:rPr>
                <w:lang w:eastAsia="zh-CN"/>
              </w:rPr>
            </w:pPr>
            <w:r>
              <w:t>2.满足财政工作需要</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按时支付各项信息化费用</w:t>
            </w:r>
          </w:p>
        </w:tc>
        <w:tc>
          <w:tcPr>
            <w:tcW w:w="2835" w:type="dxa"/>
            <w:vAlign w:val="center"/>
          </w:tcPr>
          <w:p>
            <w:pPr>
              <w:pStyle w:val="10"/>
            </w:pPr>
            <w:r>
              <w:t>按时支付各项信息化费用</w:t>
            </w:r>
          </w:p>
        </w:tc>
        <w:tc>
          <w:tcPr>
            <w:tcW w:w="2551" w:type="dxa"/>
            <w:vAlign w:val="center"/>
          </w:tcPr>
          <w:p>
            <w:pPr>
              <w:pStyle w:val="10"/>
            </w:pPr>
            <w:r>
              <w:t>按时支付</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专款专用率</w:t>
            </w:r>
          </w:p>
        </w:tc>
        <w:tc>
          <w:tcPr>
            <w:tcW w:w="2835" w:type="dxa"/>
            <w:vAlign w:val="center"/>
          </w:tcPr>
          <w:p>
            <w:pPr>
              <w:pStyle w:val="10"/>
            </w:pPr>
            <w:r>
              <w:t>财政拨款专款专用情况</w:t>
            </w:r>
          </w:p>
        </w:tc>
        <w:tc>
          <w:tcPr>
            <w:tcW w:w="2551" w:type="dxa"/>
            <w:vAlign w:val="center"/>
          </w:tcPr>
          <w:p>
            <w:pPr>
              <w:pStyle w:val="10"/>
            </w:pPr>
            <w:r>
              <w:t>100%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完成正常业务</w:t>
            </w:r>
          </w:p>
        </w:tc>
        <w:tc>
          <w:tcPr>
            <w:tcW w:w="2835" w:type="dxa"/>
            <w:vAlign w:val="center"/>
          </w:tcPr>
          <w:p>
            <w:pPr>
              <w:pStyle w:val="10"/>
            </w:pPr>
            <w:r>
              <w:t>正常财政业务完成及时率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项目预算金额</w:t>
            </w:r>
          </w:p>
        </w:tc>
        <w:tc>
          <w:tcPr>
            <w:tcW w:w="2551" w:type="dxa"/>
            <w:vAlign w:val="center"/>
          </w:tcPr>
          <w:p>
            <w:pPr>
              <w:pStyle w:val="10"/>
            </w:pPr>
            <w:r>
              <w:t>保障正常财政业务正常进行</w:t>
            </w:r>
          </w:p>
        </w:tc>
        <w:tc>
          <w:tcPr>
            <w:tcW w:w="2268" w:type="dxa"/>
            <w:vAlign w:val="center"/>
          </w:tcPr>
          <w:p>
            <w:pPr>
              <w:pStyle w:val="1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确保财政信息系统正常运行</w:t>
            </w:r>
          </w:p>
        </w:tc>
        <w:tc>
          <w:tcPr>
            <w:tcW w:w="2551" w:type="dxa"/>
            <w:vAlign w:val="center"/>
          </w:tcPr>
          <w:p>
            <w:pPr>
              <w:pStyle w:val="10"/>
            </w:pPr>
            <w:r>
              <w:t>保障正常财政业务正常进行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保证财政工作正常开展</w:t>
            </w:r>
          </w:p>
        </w:tc>
        <w:tc>
          <w:tcPr>
            <w:tcW w:w="2835" w:type="dxa"/>
            <w:vAlign w:val="center"/>
          </w:tcPr>
          <w:p>
            <w:pPr>
              <w:pStyle w:val="10"/>
            </w:pPr>
            <w:r>
              <w:t>保证财政工作正常开展</w:t>
            </w:r>
          </w:p>
        </w:tc>
        <w:tc>
          <w:tcPr>
            <w:tcW w:w="2551" w:type="dxa"/>
            <w:vAlign w:val="center"/>
          </w:tcPr>
          <w:p>
            <w:pPr>
              <w:pStyle w:val="10"/>
            </w:pPr>
            <w:r>
              <w:t>保障正常财政业务正常进行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保证单位正常运转</w:t>
            </w:r>
          </w:p>
        </w:tc>
        <w:tc>
          <w:tcPr>
            <w:tcW w:w="2835" w:type="dxa"/>
            <w:vAlign w:val="center"/>
          </w:tcPr>
          <w:p>
            <w:pPr>
              <w:pStyle w:val="10"/>
            </w:pPr>
            <w:r>
              <w:t>为单位正常开展财政业务提供保障</w:t>
            </w:r>
          </w:p>
        </w:tc>
        <w:tc>
          <w:tcPr>
            <w:tcW w:w="2551" w:type="dxa"/>
            <w:vAlign w:val="center"/>
          </w:tcPr>
          <w:p>
            <w:pPr>
              <w:pStyle w:val="10"/>
            </w:pPr>
            <w:r>
              <w:t>保障单位正常业务开展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4、2023年国库专项经费绩效目标表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1.保证财政业务正常开展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按时支付各项费用</w:t>
            </w:r>
          </w:p>
        </w:tc>
        <w:tc>
          <w:tcPr>
            <w:tcW w:w="2835" w:type="dxa"/>
            <w:vAlign w:val="center"/>
          </w:tcPr>
          <w:p>
            <w:pPr>
              <w:pStyle w:val="10"/>
            </w:pPr>
            <w:r>
              <w:t>按时支付各项费用</w:t>
            </w:r>
          </w:p>
        </w:tc>
        <w:tc>
          <w:tcPr>
            <w:tcW w:w="2551" w:type="dxa"/>
            <w:vAlign w:val="center"/>
          </w:tcPr>
          <w:p>
            <w:pPr>
              <w:pStyle w:val="10"/>
            </w:pPr>
            <w:r>
              <w:t>按时支付</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专款专用率</w:t>
            </w:r>
          </w:p>
        </w:tc>
        <w:tc>
          <w:tcPr>
            <w:tcW w:w="2835" w:type="dxa"/>
            <w:vAlign w:val="center"/>
          </w:tcPr>
          <w:p>
            <w:pPr>
              <w:pStyle w:val="10"/>
            </w:pPr>
            <w:r>
              <w:t>财政拨款专款专用情况</w:t>
            </w:r>
          </w:p>
        </w:tc>
        <w:tc>
          <w:tcPr>
            <w:tcW w:w="2551" w:type="dxa"/>
            <w:vAlign w:val="center"/>
          </w:tcPr>
          <w:p>
            <w:pPr>
              <w:pStyle w:val="10"/>
            </w:pPr>
            <w:r>
              <w:t>100%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完成正常业务</w:t>
            </w:r>
          </w:p>
        </w:tc>
        <w:tc>
          <w:tcPr>
            <w:tcW w:w="2835" w:type="dxa"/>
            <w:vAlign w:val="center"/>
          </w:tcPr>
          <w:p>
            <w:pPr>
              <w:pStyle w:val="10"/>
            </w:pPr>
            <w:r>
              <w:t>正常财政业务完成及时率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项目预算金额</w:t>
            </w:r>
          </w:p>
        </w:tc>
        <w:tc>
          <w:tcPr>
            <w:tcW w:w="2551" w:type="dxa"/>
            <w:vAlign w:val="center"/>
          </w:tcPr>
          <w:p>
            <w:pPr>
              <w:pStyle w:val="10"/>
            </w:pPr>
            <w:r>
              <w:t>保障正常财政业务正常进行</w:t>
            </w:r>
          </w:p>
        </w:tc>
        <w:tc>
          <w:tcPr>
            <w:tcW w:w="2268" w:type="dxa"/>
            <w:vAlign w:val="center"/>
          </w:tcPr>
          <w:p>
            <w:pPr>
              <w:pStyle w:val="1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确保工作正常开展</w:t>
            </w:r>
          </w:p>
        </w:tc>
        <w:tc>
          <w:tcPr>
            <w:tcW w:w="2551" w:type="dxa"/>
            <w:vAlign w:val="center"/>
          </w:tcPr>
          <w:p>
            <w:pPr>
              <w:pStyle w:val="10"/>
            </w:pPr>
            <w:r>
              <w:t>保障正常财政业务正常进行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保证财政工作正常开展</w:t>
            </w:r>
          </w:p>
        </w:tc>
        <w:tc>
          <w:tcPr>
            <w:tcW w:w="2835" w:type="dxa"/>
            <w:vAlign w:val="center"/>
          </w:tcPr>
          <w:p>
            <w:pPr>
              <w:pStyle w:val="10"/>
            </w:pPr>
            <w:r>
              <w:t>保证财政工作正常开展</w:t>
            </w:r>
          </w:p>
        </w:tc>
        <w:tc>
          <w:tcPr>
            <w:tcW w:w="2551" w:type="dxa"/>
            <w:vAlign w:val="center"/>
          </w:tcPr>
          <w:p>
            <w:pPr>
              <w:pStyle w:val="10"/>
            </w:pPr>
            <w:r>
              <w:t>保障正常财政业务正常进行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保证单位正常运转</w:t>
            </w:r>
          </w:p>
        </w:tc>
        <w:tc>
          <w:tcPr>
            <w:tcW w:w="2835" w:type="dxa"/>
            <w:vAlign w:val="center"/>
          </w:tcPr>
          <w:p>
            <w:pPr>
              <w:pStyle w:val="10"/>
            </w:pPr>
            <w:r>
              <w:t>为单位正常开展财政业务提供保障</w:t>
            </w:r>
          </w:p>
        </w:tc>
        <w:tc>
          <w:tcPr>
            <w:tcW w:w="2551" w:type="dxa"/>
            <w:vAlign w:val="center"/>
          </w:tcPr>
          <w:p>
            <w:pPr>
              <w:pStyle w:val="10"/>
            </w:pPr>
            <w:r>
              <w:t>保障单位正常业务开展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5、2023年机关食堂运行补贴绩效目标表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1.保障食堂正常运行，为广大职工提供优质服务</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食堂数量</w:t>
            </w:r>
          </w:p>
        </w:tc>
        <w:tc>
          <w:tcPr>
            <w:tcW w:w="2835" w:type="dxa"/>
            <w:vAlign w:val="center"/>
          </w:tcPr>
          <w:p>
            <w:pPr>
              <w:pStyle w:val="10"/>
            </w:pPr>
            <w:r>
              <w:t>食堂数量</w:t>
            </w:r>
          </w:p>
        </w:tc>
        <w:tc>
          <w:tcPr>
            <w:tcW w:w="2551" w:type="dxa"/>
            <w:vAlign w:val="center"/>
          </w:tcPr>
          <w:p>
            <w:pPr>
              <w:pStyle w:val="10"/>
            </w:pPr>
            <w:r>
              <w:t>一个</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资金到位率</w:t>
            </w:r>
          </w:p>
          <w:p>
            <w:pPr>
              <w:pStyle w:val="10"/>
            </w:pPr>
          </w:p>
        </w:tc>
        <w:tc>
          <w:tcPr>
            <w:tcW w:w="2835" w:type="dxa"/>
            <w:vAlign w:val="center"/>
          </w:tcPr>
          <w:p>
            <w:pPr>
              <w:pStyle w:val="10"/>
            </w:pPr>
            <w:r>
              <w:t>资金到位率</w:t>
            </w:r>
          </w:p>
          <w:p>
            <w:pPr>
              <w:pStyle w:val="10"/>
            </w:pP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资金拨付及时率</w:t>
            </w:r>
          </w:p>
        </w:tc>
        <w:tc>
          <w:tcPr>
            <w:tcW w:w="2835" w:type="dxa"/>
            <w:vAlign w:val="center"/>
          </w:tcPr>
          <w:p>
            <w:pPr>
              <w:pStyle w:val="10"/>
            </w:pPr>
            <w:r>
              <w:t>资金拨付及时率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保障食堂正常运行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确保单位食堂正常运行</w:t>
            </w:r>
          </w:p>
        </w:tc>
        <w:tc>
          <w:tcPr>
            <w:tcW w:w="2551" w:type="dxa"/>
            <w:vAlign w:val="center"/>
          </w:tcPr>
          <w:p>
            <w:pPr>
              <w:pStyle w:val="10"/>
            </w:pPr>
            <w:r>
              <w:t>保障食堂正常运行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保障机关食堂正常运转</w:t>
            </w:r>
          </w:p>
        </w:tc>
        <w:tc>
          <w:tcPr>
            <w:tcW w:w="2835" w:type="dxa"/>
            <w:vAlign w:val="center"/>
          </w:tcPr>
          <w:p>
            <w:pPr>
              <w:pStyle w:val="10"/>
            </w:pPr>
            <w:r>
              <w:t>确保单位食堂正常运行</w:t>
            </w:r>
          </w:p>
        </w:tc>
        <w:tc>
          <w:tcPr>
            <w:tcW w:w="2551" w:type="dxa"/>
            <w:vAlign w:val="center"/>
          </w:tcPr>
          <w:p>
            <w:pPr>
              <w:pStyle w:val="10"/>
            </w:pPr>
            <w:r>
              <w:t>保障食堂正常运行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加强节约集约利用，促进生态文明</w:t>
            </w:r>
          </w:p>
        </w:tc>
        <w:tc>
          <w:tcPr>
            <w:tcW w:w="2835" w:type="dxa"/>
            <w:vAlign w:val="center"/>
          </w:tcPr>
          <w:p>
            <w:pPr>
              <w:pStyle w:val="10"/>
            </w:pPr>
            <w:r>
              <w:t>加强节约集约利用，促进生态文明建设</w:t>
            </w:r>
          </w:p>
        </w:tc>
        <w:tc>
          <w:tcPr>
            <w:tcW w:w="2551" w:type="dxa"/>
            <w:vAlign w:val="center"/>
          </w:tcPr>
          <w:p>
            <w:pPr>
              <w:pStyle w:val="10"/>
            </w:pPr>
            <w:r>
              <w:t>保障食堂正常运行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保障机关食堂正常运转</w:t>
            </w:r>
          </w:p>
        </w:tc>
        <w:tc>
          <w:tcPr>
            <w:tcW w:w="2835" w:type="dxa"/>
            <w:vAlign w:val="center"/>
          </w:tcPr>
          <w:p>
            <w:pPr>
              <w:pStyle w:val="10"/>
            </w:pPr>
            <w:r>
              <w:t>保证食堂正常运转，服务干部职工</w:t>
            </w:r>
          </w:p>
        </w:tc>
        <w:tc>
          <w:tcPr>
            <w:tcW w:w="2551" w:type="dxa"/>
            <w:vAlign w:val="center"/>
          </w:tcPr>
          <w:p>
            <w:pPr>
              <w:pStyle w:val="10"/>
            </w:pPr>
            <w:r>
              <w:t>保障食堂正常运行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≥90%</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6、2023年两会材料绩效目标表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1.保障人大、政协两会顺利召开</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计划印制数量</w:t>
            </w:r>
          </w:p>
        </w:tc>
        <w:tc>
          <w:tcPr>
            <w:tcW w:w="2835" w:type="dxa"/>
            <w:vAlign w:val="center"/>
          </w:tcPr>
          <w:p>
            <w:pPr>
              <w:pStyle w:val="10"/>
            </w:pPr>
            <w:r>
              <w:t>计划印制数量完成</w:t>
            </w:r>
          </w:p>
        </w:tc>
        <w:tc>
          <w:tcPr>
            <w:tcW w:w="2551" w:type="dxa"/>
            <w:vAlign w:val="center"/>
          </w:tcPr>
          <w:p>
            <w:pPr>
              <w:pStyle w:val="10"/>
            </w:pPr>
            <w:r>
              <w:t>≥90%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印刷合格率</w:t>
            </w:r>
          </w:p>
        </w:tc>
        <w:tc>
          <w:tcPr>
            <w:tcW w:w="2835" w:type="dxa"/>
            <w:vAlign w:val="center"/>
          </w:tcPr>
          <w:p>
            <w:pPr>
              <w:pStyle w:val="10"/>
            </w:pPr>
            <w:r>
              <w:t>印刷合格率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印刷完成及时率</w:t>
            </w:r>
          </w:p>
        </w:tc>
        <w:tc>
          <w:tcPr>
            <w:tcW w:w="2835" w:type="dxa"/>
            <w:vAlign w:val="center"/>
          </w:tcPr>
          <w:p>
            <w:pPr>
              <w:pStyle w:val="10"/>
            </w:pPr>
            <w:r>
              <w:t>印刷完成及时率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2835" w:type="dxa"/>
            <w:vAlign w:val="center"/>
          </w:tcPr>
          <w:p>
            <w:pPr>
              <w:pStyle w:val="10"/>
            </w:pPr>
            <w:r>
              <w:t>预算控制金额</w:t>
            </w:r>
          </w:p>
        </w:tc>
        <w:tc>
          <w:tcPr>
            <w:tcW w:w="2551" w:type="dxa"/>
            <w:vAlign w:val="center"/>
          </w:tcPr>
          <w:p>
            <w:pPr>
              <w:pStyle w:val="10"/>
            </w:pPr>
            <w:r>
              <w:t>保障两会顺利召开</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确保两会正常召开</w:t>
            </w:r>
          </w:p>
        </w:tc>
        <w:tc>
          <w:tcPr>
            <w:tcW w:w="2551" w:type="dxa"/>
            <w:vAlign w:val="center"/>
          </w:tcPr>
          <w:p>
            <w:pPr>
              <w:pStyle w:val="10"/>
            </w:pPr>
            <w:r>
              <w:t>保障两会正常召开</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保证两会正常召开</w:t>
            </w:r>
          </w:p>
        </w:tc>
        <w:tc>
          <w:tcPr>
            <w:tcW w:w="2835" w:type="dxa"/>
            <w:vAlign w:val="center"/>
          </w:tcPr>
          <w:p>
            <w:pPr>
              <w:pStyle w:val="10"/>
            </w:pPr>
            <w:r>
              <w:t>保证两会正常召开</w:t>
            </w:r>
          </w:p>
        </w:tc>
        <w:tc>
          <w:tcPr>
            <w:tcW w:w="2551" w:type="dxa"/>
            <w:vAlign w:val="center"/>
          </w:tcPr>
          <w:p>
            <w:pPr>
              <w:pStyle w:val="10"/>
            </w:pPr>
            <w:r>
              <w:t>保证两会正常进行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为两会召开提供保障</w:t>
            </w:r>
          </w:p>
        </w:tc>
        <w:tc>
          <w:tcPr>
            <w:tcW w:w="2835" w:type="dxa"/>
            <w:vAlign w:val="center"/>
          </w:tcPr>
          <w:p>
            <w:pPr>
              <w:pStyle w:val="10"/>
            </w:pPr>
            <w:r>
              <w:t>为两会召开提供保障</w:t>
            </w:r>
          </w:p>
        </w:tc>
        <w:tc>
          <w:tcPr>
            <w:tcW w:w="2551" w:type="dxa"/>
            <w:vAlign w:val="center"/>
          </w:tcPr>
          <w:p>
            <w:pPr>
              <w:pStyle w:val="10"/>
            </w:pPr>
            <w:r>
              <w:t>为两会召开提供保障</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参会人员满意度</w:t>
            </w:r>
          </w:p>
        </w:tc>
        <w:tc>
          <w:tcPr>
            <w:tcW w:w="2835" w:type="dxa"/>
            <w:vAlign w:val="center"/>
          </w:tcPr>
          <w:p>
            <w:pPr>
              <w:pStyle w:val="10"/>
            </w:pPr>
            <w:r>
              <w:t>参会人员满意度</w:t>
            </w:r>
          </w:p>
        </w:tc>
        <w:tc>
          <w:tcPr>
            <w:tcW w:w="2551" w:type="dxa"/>
            <w:vAlign w:val="center"/>
          </w:tcPr>
          <w:p>
            <w:pPr>
              <w:pStyle w:val="10"/>
            </w:pPr>
            <w:r>
              <w:t>≥95%</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7、2023年农村综改项目经费绩效目标表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1.加强农村综改项目的预决算评审管理</w:t>
            </w:r>
            <w:r>
              <w:tab/>
            </w:r>
          </w:p>
          <w:p>
            <w:pPr>
              <w:pStyle w:val="10"/>
              <w:rPr>
                <w:lang w:eastAsia="zh-CN"/>
              </w:rPr>
            </w:pPr>
            <w:r>
              <w:t>2.监督检查农村综改资金使用效率</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开展农村综改项目预决算评审个数</w:t>
            </w:r>
          </w:p>
        </w:tc>
        <w:tc>
          <w:tcPr>
            <w:tcW w:w="2835" w:type="dxa"/>
            <w:vAlign w:val="center"/>
          </w:tcPr>
          <w:p>
            <w:pPr>
              <w:pStyle w:val="10"/>
            </w:pPr>
            <w:r>
              <w:t>开展农村综改项目预决算评审个数</w:t>
            </w:r>
          </w:p>
        </w:tc>
        <w:tc>
          <w:tcPr>
            <w:tcW w:w="2551" w:type="dxa"/>
            <w:vAlign w:val="center"/>
          </w:tcPr>
          <w:p>
            <w:pPr>
              <w:pStyle w:val="10"/>
            </w:pPr>
            <w:r>
              <w:t>农村综改项目村</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农村综改项目预决算评审完成率</w:t>
            </w:r>
          </w:p>
        </w:tc>
        <w:tc>
          <w:tcPr>
            <w:tcW w:w="2835" w:type="dxa"/>
            <w:vAlign w:val="center"/>
          </w:tcPr>
          <w:p>
            <w:pPr>
              <w:pStyle w:val="10"/>
            </w:pPr>
            <w:r>
              <w:t>农村综改项目预决算评审完成率</w:t>
            </w:r>
          </w:p>
        </w:tc>
        <w:tc>
          <w:tcPr>
            <w:tcW w:w="2551" w:type="dxa"/>
            <w:vAlign w:val="center"/>
          </w:tcPr>
          <w:p>
            <w:pPr>
              <w:pStyle w:val="10"/>
            </w:pPr>
            <w:r>
              <w:t>100%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农村综改项目预决算评审完成及时率</w:t>
            </w:r>
          </w:p>
        </w:tc>
        <w:tc>
          <w:tcPr>
            <w:tcW w:w="2835" w:type="dxa"/>
            <w:vAlign w:val="center"/>
          </w:tcPr>
          <w:p>
            <w:pPr>
              <w:pStyle w:val="10"/>
            </w:pPr>
            <w:r>
              <w:t>农村综改项目预决算评审完成及时率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项目预算金额</w:t>
            </w:r>
          </w:p>
        </w:tc>
        <w:tc>
          <w:tcPr>
            <w:tcW w:w="2551" w:type="dxa"/>
            <w:vAlign w:val="center"/>
          </w:tcPr>
          <w:p>
            <w:pPr>
              <w:pStyle w:val="10"/>
            </w:pPr>
            <w:r>
              <w:t>保障农村综改项目预决算评审正常进行</w:t>
            </w:r>
          </w:p>
        </w:tc>
        <w:tc>
          <w:tcPr>
            <w:tcW w:w="2268" w:type="dxa"/>
            <w:vAlign w:val="center"/>
          </w:tcPr>
          <w:p>
            <w:pPr>
              <w:pStyle w:val="1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确保农村综改项目预决算评审正常进行</w:t>
            </w:r>
          </w:p>
        </w:tc>
        <w:tc>
          <w:tcPr>
            <w:tcW w:w="2551" w:type="dxa"/>
            <w:vAlign w:val="center"/>
          </w:tcPr>
          <w:p>
            <w:pPr>
              <w:pStyle w:val="10"/>
            </w:pPr>
            <w:r>
              <w:t>保障农村综改项目预决算评审正常进行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保证农村综改项目预决算评审进行</w:t>
            </w:r>
          </w:p>
        </w:tc>
        <w:tc>
          <w:tcPr>
            <w:tcW w:w="2835" w:type="dxa"/>
            <w:vAlign w:val="center"/>
          </w:tcPr>
          <w:p>
            <w:pPr>
              <w:pStyle w:val="10"/>
            </w:pPr>
            <w:r>
              <w:t>保证农村综改项目预决算评审进行</w:t>
            </w:r>
          </w:p>
        </w:tc>
        <w:tc>
          <w:tcPr>
            <w:tcW w:w="2551" w:type="dxa"/>
            <w:vAlign w:val="center"/>
          </w:tcPr>
          <w:p>
            <w:pPr>
              <w:pStyle w:val="10"/>
            </w:pPr>
            <w:r>
              <w:t>保证工作正常进行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项目复测率</w:t>
            </w:r>
          </w:p>
        </w:tc>
        <w:tc>
          <w:tcPr>
            <w:tcW w:w="2835" w:type="dxa"/>
            <w:vAlign w:val="center"/>
          </w:tcPr>
          <w:p>
            <w:pPr>
              <w:pStyle w:val="10"/>
            </w:pPr>
            <w:r>
              <w:t>项目复测率</w:t>
            </w:r>
          </w:p>
        </w:tc>
        <w:tc>
          <w:tcPr>
            <w:tcW w:w="2551" w:type="dxa"/>
            <w:vAlign w:val="center"/>
          </w:tcPr>
          <w:p>
            <w:pPr>
              <w:pStyle w:val="10"/>
            </w:pPr>
            <w:r>
              <w:t>&lt;10%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受益群众满意度</w:t>
            </w:r>
          </w:p>
        </w:tc>
        <w:tc>
          <w:tcPr>
            <w:tcW w:w="2551" w:type="dxa"/>
            <w:vAlign w:val="center"/>
          </w:tcPr>
          <w:p>
            <w:pPr>
              <w:pStyle w:val="10"/>
            </w:pPr>
            <w:r>
              <w:t>≥95%</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8、2023年票据款绩效目标表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1.购买非税收入票据</w:t>
            </w:r>
            <w:r>
              <w:tab/>
            </w:r>
            <w:r>
              <w:tab/>
            </w:r>
            <w:r>
              <w:tab/>
            </w:r>
            <w:r>
              <w:tab/>
            </w:r>
            <w:r>
              <w:tab/>
            </w:r>
            <w:r>
              <w:tab/>
            </w:r>
          </w:p>
          <w:p>
            <w:pPr>
              <w:pStyle w:val="10"/>
              <w:rPr>
                <w:lang w:eastAsia="zh-CN"/>
              </w:rPr>
            </w:pPr>
            <w:r>
              <w:t>2.免费提供非税收入票据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票据领用率</w:t>
            </w:r>
          </w:p>
        </w:tc>
        <w:tc>
          <w:tcPr>
            <w:tcW w:w="2835" w:type="dxa"/>
            <w:vAlign w:val="center"/>
          </w:tcPr>
          <w:p>
            <w:pPr>
              <w:pStyle w:val="10"/>
            </w:pPr>
            <w:r>
              <w:t>财政非税收入票据领用</w:t>
            </w:r>
          </w:p>
        </w:tc>
        <w:tc>
          <w:tcPr>
            <w:tcW w:w="2551" w:type="dxa"/>
            <w:vAlign w:val="center"/>
          </w:tcPr>
          <w:p>
            <w:pPr>
              <w:pStyle w:val="10"/>
            </w:pPr>
            <w:r>
              <w:t>100%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发票损耗率</w:t>
            </w:r>
          </w:p>
        </w:tc>
        <w:tc>
          <w:tcPr>
            <w:tcW w:w="2835" w:type="dxa"/>
            <w:vAlign w:val="center"/>
          </w:tcPr>
          <w:p>
            <w:pPr>
              <w:pStyle w:val="10"/>
            </w:pPr>
            <w:r>
              <w:t>发票损耗率</w:t>
            </w:r>
          </w:p>
        </w:tc>
        <w:tc>
          <w:tcPr>
            <w:tcW w:w="2551" w:type="dxa"/>
            <w:vAlign w:val="center"/>
          </w:tcPr>
          <w:p>
            <w:pPr>
              <w:pStyle w:val="10"/>
            </w:pPr>
            <w:r>
              <w:t>&lt;10%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2835" w:type="dxa"/>
            <w:vAlign w:val="center"/>
          </w:tcPr>
          <w:p>
            <w:pPr>
              <w:pStyle w:val="10"/>
            </w:pPr>
            <w:r>
              <w:t>工作任务完成及时率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项目预算金额</w:t>
            </w:r>
          </w:p>
        </w:tc>
        <w:tc>
          <w:tcPr>
            <w:tcW w:w="2551" w:type="dxa"/>
            <w:vAlign w:val="center"/>
          </w:tcPr>
          <w:p>
            <w:pPr>
              <w:pStyle w:val="10"/>
            </w:pPr>
            <w:r>
              <w:t>保障非税收入票据正常领用</w:t>
            </w:r>
          </w:p>
        </w:tc>
        <w:tc>
          <w:tcPr>
            <w:tcW w:w="2268" w:type="dxa"/>
            <w:vAlign w:val="center"/>
          </w:tcPr>
          <w:p>
            <w:pPr>
              <w:pStyle w:val="1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确保非税收入票据正常领用</w:t>
            </w:r>
          </w:p>
        </w:tc>
        <w:tc>
          <w:tcPr>
            <w:tcW w:w="2551" w:type="dxa"/>
            <w:vAlign w:val="center"/>
          </w:tcPr>
          <w:p>
            <w:pPr>
              <w:pStyle w:val="10"/>
            </w:pPr>
            <w:r>
              <w:t>保障非税收入票据正常领用</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工作完成率</w:t>
            </w:r>
          </w:p>
        </w:tc>
        <w:tc>
          <w:tcPr>
            <w:tcW w:w="2835" w:type="dxa"/>
            <w:vAlign w:val="center"/>
          </w:tcPr>
          <w:p>
            <w:pPr>
              <w:pStyle w:val="10"/>
            </w:pPr>
            <w:r>
              <w:t>工作完成率</w:t>
            </w:r>
          </w:p>
        </w:tc>
        <w:tc>
          <w:tcPr>
            <w:tcW w:w="2551" w:type="dxa"/>
            <w:vAlign w:val="center"/>
          </w:tcPr>
          <w:p>
            <w:pPr>
              <w:pStyle w:val="10"/>
            </w:pPr>
            <w:r>
              <w:t>保证工作正常进行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工作水平</w:t>
            </w:r>
          </w:p>
        </w:tc>
        <w:tc>
          <w:tcPr>
            <w:tcW w:w="2835" w:type="dxa"/>
            <w:vAlign w:val="center"/>
          </w:tcPr>
          <w:p>
            <w:pPr>
              <w:pStyle w:val="10"/>
            </w:pPr>
            <w:r>
              <w:t>工作水平提高</w:t>
            </w:r>
          </w:p>
        </w:tc>
        <w:tc>
          <w:tcPr>
            <w:tcW w:w="2551" w:type="dxa"/>
            <w:vAlign w:val="center"/>
          </w:tcPr>
          <w:p>
            <w:pPr>
              <w:pStyle w:val="10"/>
            </w:pPr>
            <w:r>
              <w:t>保证工作正常进行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9、2023年省级农村财会人员培训资金绩效目标表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1.培训农村财会人员支农政策</w:t>
            </w:r>
          </w:p>
          <w:p>
            <w:pPr>
              <w:pStyle w:val="10"/>
            </w:pPr>
            <w:r>
              <w:t>2.提高农村财会人员业务水平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举办业务培训</w:t>
            </w:r>
          </w:p>
        </w:tc>
        <w:tc>
          <w:tcPr>
            <w:tcW w:w="2835" w:type="dxa"/>
            <w:vAlign w:val="center"/>
          </w:tcPr>
          <w:p>
            <w:pPr>
              <w:pStyle w:val="10"/>
            </w:pPr>
            <w:r>
              <w:t>组织召开全县农村财会人员培训会</w:t>
            </w:r>
          </w:p>
        </w:tc>
        <w:tc>
          <w:tcPr>
            <w:tcW w:w="2551" w:type="dxa"/>
            <w:vAlign w:val="center"/>
          </w:tcPr>
          <w:p>
            <w:pPr>
              <w:pStyle w:val="10"/>
            </w:pPr>
            <w:r>
              <w:t>≥2次</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保障培训工作顺利完成</w:t>
            </w:r>
          </w:p>
        </w:tc>
        <w:tc>
          <w:tcPr>
            <w:tcW w:w="2835" w:type="dxa"/>
            <w:vAlign w:val="center"/>
          </w:tcPr>
          <w:p>
            <w:pPr>
              <w:pStyle w:val="10"/>
            </w:pPr>
            <w:r>
              <w:t>培训工作完成程度</w:t>
            </w:r>
          </w:p>
        </w:tc>
        <w:tc>
          <w:tcPr>
            <w:tcW w:w="2551" w:type="dxa"/>
            <w:vAlign w:val="center"/>
          </w:tcPr>
          <w:p>
            <w:pPr>
              <w:pStyle w:val="10"/>
            </w:pPr>
            <w:r>
              <w:t>≥90%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相关培训工作完成时间</w:t>
            </w:r>
          </w:p>
        </w:tc>
        <w:tc>
          <w:tcPr>
            <w:tcW w:w="2835" w:type="dxa"/>
            <w:vAlign w:val="center"/>
          </w:tcPr>
          <w:p>
            <w:pPr>
              <w:pStyle w:val="10"/>
            </w:pPr>
            <w:r>
              <w:t>相关培训工作完成时间</w:t>
            </w:r>
          </w:p>
        </w:tc>
        <w:tc>
          <w:tcPr>
            <w:tcW w:w="2551" w:type="dxa"/>
            <w:vAlign w:val="center"/>
          </w:tcPr>
          <w:p>
            <w:pPr>
              <w:pStyle w:val="10"/>
            </w:pPr>
            <w:r>
              <w:t>保证农村财会人员工作正常进行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2835" w:type="dxa"/>
            <w:vAlign w:val="center"/>
          </w:tcPr>
          <w:p>
            <w:pPr>
              <w:pStyle w:val="10"/>
            </w:pPr>
            <w:r>
              <w:t>预算金额</w:t>
            </w:r>
          </w:p>
        </w:tc>
        <w:tc>
          <w:tcPr>
            <w:tcW w:w="2551" w:type="dxa"/>
            <w:vAlign w:val="center"/>
          </w:tcPr>
          <w:p>
            <w:pPr>
              <w:pStyle w:val="10"/>
            </w:pPr>
            <w:r>
              <w:t>保障农村财会人员工作正常进行</w:t>
            </w:r>
          </w:p>
        </w:tc>
        <w:tc>
          <w:tcPr>
            <w:tcW w:w="2268" w:type="dxa"/>
            <w:vAlign w:val="center"/>
          </w:tcPr>
          <w:p>
            <w:pPr>
              <w:pStyle w:val="1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确保培训工作正常进行</w:t>
            </w:r>
          </w:p>
        </w:tc>
        <w:tc>
          <w:tcPr>
            <w:tcW w:w="2551" w:type="dxa"/>
            <w:vAlign w:val="center"/>
          </w:tcPr>
          <w:p>
            <w:pPr>
              <w:pStyle w:val="10"/>
            </w:pPr>
            <w:r>
              <w:t>保障农村财会人员工作正常进行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农村财会人员工作正常进行</w:t>
            </w:r>
          </w:p>
        </w:tc>
        <w:tc>
          <w:tcPr>
            <w:tcW w:w="2835" w:type="dxa"/>
            <w:vAlign w:val="center"/>
          </w:tcPr>
          <w:p>
            <w:pPr>
              <w:pStyle w:val="10"/>
            </w:pPr>
            <w:r>
              <w:t>保证农村财会人员工作正常进行</w:t>
            </w:r>
          </w:p>
        </w:tc>
        <w:tc>
          <w:tcPr>
            <w:tcW w:w="2551" w:type="dxa"/>
            <w:vAlign w:val="center"/>
          </w:tcPr>
          <w:p>
            <w:pPr>
              <w:pStyle w:val="10"/>
            </w:pPr>
            <w:r>
              <w:t>保证农村财会人员工作正常进行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业务能力增强</w:t>
            </w:r>
          </w:p>
        </w:tc>
        <w:tc>
          <w:tcPr>
            <w:tcW w:w="2835" w:type="dxa"/>
            <w:vAlign w:val="center"/>
          </w:tcPr>
          <w:p>
            <w:pPr>
              <w:pStyle w:val="10"/>
            </w:pPr>
            <w:r>
              <w:t>提升农村财会人员业务能力</w:t>
            </w:r>
          </w:p>
        </w:tc>
        <w:tc>
          <w:tcPr>
            <w:tcW w:w="2551" w:type="dxa"/>
            <w:vAlign w:val="center"/>
          </w:tcPr>
          <w:p>
            <w:pPr>
              <w:pStyle w:val="10"/>
            </w:pPr>
            <w:r>
              <w:t>农村财会人员工作业务能力增强</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参训人员满意率</w:t>
            </w:r>
          </w:p>
        </w:tc>
        <w:tc>
          <w:tcPr>
            <w:tcW w:w="2835" w:type="dxa"/>
            <w:vAlign w:val="center"/>
          </w:tcPr>
          <w:p>
            <w:pPr>
              <w:pStyle w:val="10"/>
            </w:pPr>
            <w:r>
              <w:t>参训人员满意率</w:t>
            </w:r>
          </w:p>
        </w:tc>
        <w:tc>
          <w:tcPr>
            <w:tcW w:w="2551" w:type="dxa"/>
            <w:vAlign w:val="center"/>
          </w:tcPr>
          <w:p>
            <w:pPr>
              <w:pStyle w:val="10"/>
            </w:pPr>
            <w:r>
              <w:t>≥90%</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10、2023年银行手续费绩效目标表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1.保证财政业务正常开展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按时支付银行手续费</w:t>
            </w:r>
          </w:p>
        </w:tc>
        <w:tc>
          <w:tcPr>
            <w:tcW w:w="2835" w:type="dxa"/>
            <w:vAlign w:val="center"/>
          </w:tcPr>
          <w:p>
            <w:pPr>
              <w:pStyle w:val="10"/>
            </w:pPr>
            <w:r>
              <w:t>按时支付银行手续费</w:t>
            </w:r>
          </w:p>
        </w:tc>
        <w:tc>
          <w:tcPr>
            <w:tcW w:w="2551" w:type="dxa"/>
            <w:vAlign w:val="center"/>
          </w:tcPr>
          <w:p>
            <w:pPr>
              <w:pStyle w:val="10"/>
            </w:pPr>
            <w:r>
              <w:t>按时支付</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专款专用率</w:t>
            </w:r>
          </w:p>
        </w:tc>
        <w:tc>
          <w:tcPr>
            <w:tcW w:w="2835" w:type="dxa"/>
            <w:vAlign w:val="center"/>
          </w:tcPr>
          <w:p>
            <w:pPr>
              <w:pStyle w:val="10"/>
            </w:pPr>
            <w:r>
              <w:t>财政拨款专款专用情况</w:t>
            </w:r>
          </w:p>
        </w:tc>
        <w:tc>
          <w:tcPr>
            <w:tcW w:w="2551" w:type="dxa"/>
            <w:vAlign w:val="center"/>
          </w:tcPr>
          <w:p>
            <w:pPr>
              <w:pStyle w:val="10"/>
            </w:pPr>
            <w:r>
              <w:t>100%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完成正常业务</w:t>
            </w:r>
          </w:p>
        </w:tc>
        <w:tc>
          <w:tcPr>
            <w:tcW w:w="2835" w:type="dxa"/>
            <w:vAlign w:val="center"/>
          </w:tcPr>
          <w:p>
            <w:pPr>
              <w:pStyle w:val="10"/>
            </w:pPr>
            <w:r>
              <w:t>正常财政业务完成及时率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项目预算金额</w:t>
            </w:r>
          </w:p>
        </w:tc>
        <w:tc>
          <w:tcPr>
            <w:tcW w:w="2551" w:type="dxa"/>
            <w:vAlign w:val="center"/>
          </w:tcPr>
          <w:p>
            <w:pPr>
              <w:pStyle w:val="10"/>
            </w:pPr>
            <w:r>
              <w:t>保障正常财政业务正常进行</w:t>
            </w:r>
          </w:p>
        </w:tc>
        <w:tc>
          <w:tcPr>
            <w:tcW w:w="2268" w:type="dxa"/>
            <w:vAlign w:val="center"/>
          </w:tcPr>
          <w:p>
            <w:pPr>
              <w:pStyle w:val="1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确保监督检查正常进行</w:t>
            </w:r>
          </w:p>
        </w:tc>
        <w:tc>
          <w:tcPr>
            <w:tcW w:w="2551" w:type="dxa"/>
            <w:vAlign w:val="center"/>
          </w:tcPr>
          <w:p>
            <w:pPr>
              <w:pStyle w:val="10"/>
            </w:pPr>
            <w:r>
              <w:t>保障正常财政业务正常进行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保证监督检查正常进行</w:t>
            </w:r>
          </w:p>
        </w:tc>
        <w:tc>
          <w:tcPr>
            <w:tcW w:w="2835" w:type="dxa"/>
            <w:vAlign w:val="center"/>
          </w:tcPr>
          <w:p>
            <w:pPr>
              <w:pStyle w:val="10"/>
            </w:pPr>
            <w:r>
              <w:t>保证农业保险全部落实</w:t>
            </w:r>
          </w:p>
        </w:tc>
        <w:tc>
          <w:tcPr>
            <w:tcW w:w="2551" w:type="dxa"/>
            <w:vAlign w:val="center"/>
          </w:tcPr>
          <w:p>
            <w:pPr>
              <w:pStyle w:val="10"/>
            </w:pPr>
            <w:r>
              <w:t>保障正常财政业务正常进行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保证单位正常运转</w:t>
            </w:r>
          </w:p>
        </w:tc>
        <w:tc>
          <w:tcPr>
            <w:tcW w:w="2835" w:type="dxa"/>
            <w:vAlign w:val="center"/>
          </w:tcPr>
          <w:p>
            <w:pPr>
              <w:pStyle w:val="10"/>
            </w:pPr>
            <w:r>
              <w:t>为单位正常开展财政业务提供保障</w:t>
            </w:r>
          </w:p>
        </w:tc>
        <w:tc>
          <w:tcPr>
            <w:tcW w:w="2551" w:type="dxa"/>
            <w:vAlign w:val="center"/>
          </w:tcPr>
          <w:p>
            <w:pPr>
              <w:pStyle w:val="10"/>
            </w:pPr>
            <w:r>
              <w:t>保障单位正常业务开展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11、2023年预算绩效第三方评估绩效目标表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1.监督检查资金使用效率</w:t>
            </w:r>
          </w:p>
          <w:p>
            <w:pPr>
              <w:pStyle w:val="10"/>
            </w:pPr>
            <w:r>
              <w:t>2.检查结果真实准确无误</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监督检查次数</w:t>
            </w:r>
          </w:p>
        </w:tc>
        <w:tc>
          <w:tcPr>
            <w:tcW w:w="2835" w:type="dxa"/>
            <w:vAlign w:val="center"/>
          </w:tcPr>
          <w:p>
            <w:pPr>
              <w:pStyle w:val="10"/>
            </w:pPr>
            <w:r>
              <w:t>监督检查次数</w:t>
            </w:r>
          </w:p>
        </w:tc>
        <w:tc>
          <w:tcPr>
            <w:tcW w:w="2551" w:type="dxa"/>
            <w:vAlign w:val="center"/>
          </w:tcPr>
          <w:p>
            <w:pPr>
              <w:pStyle w:val="10"/>
            </w:pPr>
            <w:r>
              <w:t>≥20次</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监管覆盖率</w:t>
            </w:r>
          </w:p>
        </w:tc>
        <w:tc>
          <w:tcPr>
            <w:tcW w:w="2835" w:type="dxa"/>
            <w:vAlign w:val="center"/>
          </w:tcPr>
          <w:p>
            <w:pPr>
              <w:pStyle w:val="10"/>
            </w:pPr>
            <w:r>
              <w:t>监管覆盖率</w:t>
            </w:r>
          </w:p>
        </w:tc>
        <w:tc>
          <w:tcPr>
            <w:tcW w:w="2551" w:type="dxa"/>
            <w:vAlign w:val="center"/>
          </w:tcPr>
          <w:p>
            <w:pPr>
              <w:pStyle w:val="10"/>
            </w:pPr>
            <w:r>
              <w:t>100%</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监督检查完成及时率</w:t>
            </w:r>
          </w:p>
        </w:tc>
        <w:tc>
          <w:tcPr>
            <w:tcW w:w="2835" w:type="dxa"/>
            <w:vAlign w:val="center"/>
          </w:tcPr>
          <w:p>
            <w:pPr>
              <w:pStyle w:val="10"/>
            </w:pPr>
            <w:r>
              <w:t>监督检查完成及时率</w:t>
            </w:r>
          </w:p>
        </w:tc>
        <w:tc>
          <w:tcPr>
            <w:tcW w:w="2551" w:type="dxa"/>
            <w:vAlign w:val="center"/>
          </w:tcPr>
          <w:p>
            <w:pPr>
              <w:pStyle w:val="10"/>
            </w:pPr>
            <w:r>
              <w:t>≥95%</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2835" w:type="dxa"/>
            <w:vAlign w:val="center"/>
          </w:tcPr>
          <w:p>
            <w:pPr>
              <w:pStyle w:val="10"/>
            </w:pPr>
            <w:r>
              <w:t>预算控制数</w:t>
            </w:r>
          </w:p>
        </w:tc>
        <w:tc>
          <w:tcPr>
            <w:tcW w:w="2551" w:type="dxa"/>
            <w:vAlign w:val="center"/>
          </w:tcPr>
          <w:p>
            <w:pPr>
              <w:pStyle w:val="10"/>
            </w:pPr>
            <w:r>
              <w:t>≥90%</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资金的使用效率</w:t>
            </w:r>
          </w:p>
        </w:tc>
        <w:tc>
          <w:tcPr>
            <w:tcW w:w="2835" w:type="dxa"/>
            <w:vAlign w:val="center"/>
          </w:tcPr>
          <w:p>
            <w:pPr>
              <w:pStyle w:val="10"/>
            </w:pPr>
            <w:r>
              <w:t>资金的使用效率</w:t>
            </w:r>
          </w:p>
        </w:tc>
        <w:tc>
          <w:tcPr>
            <w:tcW w:w="2551" w:type="dxa"/>
            <w:vAlign w:val="center"/>
          </w:tcPr>
          <w:p>
            <w:pPr>
              <w:pStyle w:val="10"/>
            </w:pPr>
            <w:r>
              <w:t>≥90%</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2835" w:type="dxa"/>
            <w:vAlign w:val="center"/>
          </w:tcPr>
          <w:p>
            <w:pPr>
              <w:pStyle w:val="10"/>
            </w:pPr>
            <w:r>
              <w:t>保障相关业务、工作等开展的情况</w:t>
            </w:r>
          </w:p>
        </w:tc>
        <w:tc>
          <w:tcPr>
            <w:tcW w:w="2551" w:type="dxa"/>
            <w:vAlign w:val="center"/>
          </w:tcPr>
          <w:p>
            <w:pPr>
              <w:pStyle w:val="10"/>
            </w:pPr>
            <w:r>
              <w:t>&gt;80%</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无纸化办公节约率</w:t>
            </w:r>
          </w:p>
        </w:tc>
        <w:tc>
          <w:tcPr>
            <w:tcW w:w="2835" w:type="dxa"/>
            <w:vAlign w:val="center"/>
          </w:tcPr>
          <w:p>
            <w:pPr>
              <w:pStyle w:val="10"/>
            </w:pPr>
            <w:r>
              <w:t>反应使用数据采集终端减少纸质表的填报工作情况</w:t>
            </w:r>
          </w:p>
        </w:tc>
        <w:tc>
          <w:tcPr>
            <w:tcW w:w="2551" w:type="dxa"/>
            <w:vAlign w:val="center"/>
          </w:tcPr>
          <w:p>
            <w:pPr>
              <w:pStyle w:val="10"/>
            </w:pPr>
            <w:r>
              <w:t>无纸化办公节约率</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项目复测率</w:t>
            </w:r>
          </w:p>
        </w:tc>
        <w:tc>
          <w:tcPr>
            <w:tcW w:w="2835" w:type="dxa"/>
            <w:vAlign w:val="center"/>
          </w:tcPr>
          <w:p>
            <w:pPr>
              <w:pStyle w:val="10"/>
            </w:pPr>
            <w:r>
              <w:t>项目复测率</w:t>
            </w:r>
          </w:p>
        </w:tc>
        <w:tc>
          <w:tcPr>
            <w:tcW w:w="2551" w:type="dxa"/>
            <w:vAlign w:val="center"/>
          </w:tcPr>
          <w:p>
            <w:pPr>
              <w:pStyle w:val="10"/>
            </w:pPr>
            <w:r>
              <w:t>≤10%</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被审计对象满意度比例</w:t>
            </w:r>
          </w:p>
        </w:tc>
        <w:tc>
          <w:tcPr>
            <w:tcW w:w="2835" w:type="dxa"/>
            <w:vAlign w:val="center"/>
          </w:tcPr>
          <w:p>
            <w:pPr>
              <w:pStyle w:val="10"/>
            </w:pPr>
            <w:r>
              <w:t>被审计对象满意度比例</w:t>
            </w:r>
          </w:p>
        </w:tc>
        <w:tc>
          <w:tcPr>
            <w:tcW w:w="2551" w:type="dxa"/>
            <w:vAlign w:val="center"/>
          </w:tcPr>
          <w:p>
            <w:pPr>
              <w:pStyle w:val="10"/>
            </w:pPr>
            <w:r>
              <w:t>≥85%</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≥85%</w:t>
            </w:r>
          </w:p>
        </w:tc>
        <w:tc>
          <w:tcPr>
            <w:tcW w:w="2268" w:type="dxa"/>
            <w:vAlign w:val="center"/>
          </w:tcPr>
          <w:p>
            <w:pPr>
              <w:pStyle w:val="10"/>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12、2023年政府购买中介机构服务费绩效目标表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1.加强政府工程项目预算管理</w:t>
            </w:r>
            <w:r>
              <w:tab/>
            </w:r>
            <w:r>
              <w:tab/>
            </w:r>
            <w:r>
              <w:tab/>
            </w:r>
            <w:r>
              <w:tab/>
            </w:r>
            <w:r>
              <w:tab/>
            </w:r>
            <w:r>
              <w:tab/>
            </w:r>
          </w:p>
          <w:p>
            <w:pPr>
              <w:pStyle w:val="10"/>
              <w:rPr>
                <w:lang w:eastAsia="zh-CN"/>
              </w:rPr>
            </w:pPr>
            <w:r>
              <w:t>2.为有效地上附着物项目工程测算</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预算管理、测算政府工程项目个数</w:t>
            </w:r>
          </w:p>
        </w:tc>
        <w:tc>
          <w:tcPr>
            <w:tcW w:w="2835" w:type="dxa"/>
            <w:vAlign w:val="center"/>
          </w:tcPr>
          <w:p>
            <w:pPr>
              <w:pStyle w:val="10"/>
            </w:pPr>
            <w:r>
              <w:t>开展政府工程项目个数</w:t>
            </w:r>
          </w:p>
        </w:tc>
        <w:tc>
          <w:tcPr>
            <w:tcW w:w="2551" w:type="dxa"/>
            <w:vAlign w:val="center"/>
          </w:tcPr>
          <w:p>
            <w:pPr>
              <w:pStyle w:val="10"/>
            </w:pPr>
            <w:r>
              <w:t>≥10个</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预算管理、测算政府工程完成率</w:t>
            </w:r>
          </w:p>
        </w:tc>
        <w:tc>
          <w:tcPr>
            <w:tcW w:w="2835" w:type="dxa"/>
            <w:vAlign w:val="center"/>
          </w:tcPr>
          <w:p>
            <w:pPr>
              <w:pStyle w:val="10"/>
            </w:pPr>
            <w:r>
              <w:t>政府工程项目任务完成率</w:t>
            </w:r>
          </w:p>
        </w:tc>
        <w:tc>
          <w:tcPr>
            <w:tcW w:w="2551" w:type="dxa"/>
            <w:vAlign w:val="center"/>
          </w:tcPr>
          <w:p>
            <w:pPr>
              <w:pStyle w:val="10"/>
            </w:pPr>
            <w:r>
              <w:t>≥95%</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政府工程项目任务完成及时率</w:t>
            </w:r>
          </w:p>
        </w:tc>
        <w:tc>
          <w:tcPr>
            <w:tcW w:w="2835" w:type="dxa"/>
            <w:vAlign w:val="center"/>
          </w:tcPr>
          <w:p>
            <w:pPr>
              <w:pStyle w:val="10"/>
            </w:pPr>
            <w:r>
              <w:t>监督检查完成效率</w:t>
            </w:r>
          </w:p>
        </w:tc>
        <w:tc>
          <w:tcPr>
            <w:tcW w:w="2551" w:type="dxa"/>
            <w:vAlign w:val="center"/>
          </w:tcPr>
          <w:p>
            <w:pPr>
              <w:pStyle w:val="10"/>
            </w:pPr>
            <w:r>
              <w:t>≥90%</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政府工程项目预算金额</w:t>
            </w:r>
          </w:p>
        </w:tc>
        <w:tc>
          <w:tcPr>
            <w:tcW w:w="2551" w:type="dxa"/>
            <w:vAlign w:val="center"/>
          </w:tcPr>
          <w:p>
            <w:pPr>
              <w:pStyle w:val="10"/>
            </w:pPr>
            <w:r>
              <w:t>保障政府工程项目正常进行</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确保政府工程项目正常进行</w:t>
            </w:r>
          </w:p>
        </w:tc>
        <w:tc>
          <w:tcPr>
            <w:tcW w:w="2551" w:type="dxa"/>
            <w:vAlign w:val="center"/>
          </w:tcPr>
          <w:p>
            <w:pPr>
              <w:pStyle w:val="10"/>
            </w:pPr>
            <w:r>
              <w:t>保障政府工程项目正常进行</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保证项目正常运转</w:t>
            </w:r>
          </w:p>
        </w:tc>
        <w:tc>
          <w:tcPr>
            <w:tcW w:w="2835" w:type="dxa"/>
            <w:vAlign w:val="center"/>
          </w:tcPr>
          <w:p>
            <w:pPr>
              <w:pStyle w:val="10"/>
            </w:pPr>
            <w:r>
              <w:t>保持工作正常有序的进行</w:t>
            </w:r>
          </w:p>
        </w:tc>
        <w:tc>
          <w:tcPr>
            <w:tcW w:w="2551" w:type="dxa"/>
            <w:vAlign w:val="center"/>
          </w:tcPr>
          <w:p>
            <w:pPr>
              <w:pStyle w:val="10"/>
            </w:pPr>
            <w:r>
              <w:t>保证政府工程项目正常进行</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保障社会正常发展</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项目复测率</w:t>
            </w:r>
          </w:p>
        </w:tc>
        <w:tc>
          <w:tcPr>
            <w:tcW w:w="2835" w:type="dxa"/>
            <w:vAlign w:val="center"/>
          </w:tcPr>
          <w:p>
            <w:pPr>
              <w:pStyle w:val="10"/>
            </w:pPr>
            <w:r>
              <w:t>项目复测率</w:t>
            </w:r>
          </w:p>
        </w:tc>
        <w:tc>
          <w:tcPr>
            <w:tcW w:w="2551" w:type="dxa"/>
            <w:vAlign w:val="center"/>
          </w:tcPr>
          <w:p>
            <w:pPr>
              <w:pStyle w:val="10"/>
            </w:pPr>
            <w:r>
              <w:t>＜10%</w:t>
            </w:r>
          </w:p>
        </w:tc>
        <w:tc>
          <w:tcPr>
            <w:tcW w:w="2268"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≥90%</w:t>
            </w:r>
          </w:p>
        </w:tc>
        <w:tc>
          <w:tcPr>
            <w:tcW w:w="2268" w:type="dxa"/>
            <w:vAlign w:val="center"/>
          </w:tcPr>
          <w:p>
            <w:pPr>
              <w:pStyle w:val="10"/>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13、2023年资产评估费绩效目标表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1.评估处置转让及拍卖行政事业单位资产</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开展评估处置转让拍卖项目个数</w:t>
            </w:r>
          </w:p>
        </w:tc>
        <w:tc>
          <w:tcPr>
            <w:tcW w:w="2835" w:type="dxa"/>
            <w:vAlign w:val="center"/>
          </w:tcPr>
          <w:p>
            <w:pPr>
              <w:pStyle w:val="10"/>
            </w:pPr>
            <w:r>
              <w:t>开展评估处置转让拍卖项目个数</w:t>
            </w:r>
          </w:p>
        </w:tc>
        <w:tc>
          <w:tcPr>
            <w:tcW w:w="2551" w:type="dxa"/>
            <w:vAlign w:val="center"/>
          </w:tcPr>
          <w:p>
            <w:pPr>
              <w:pStyle w:val="10"/>
            </w:pPr>
            <w:r>
              <w:t>相关行政事业单位</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开展评估处置转让拍卖完成率</w:t>
            </w:r>
          </w:p>
        </w:tc>
        <w:tc>
          <w:tcPr>
            <w:tcW w:w="2835" w:type="dxa"/>
            <w:vAlign w:val="center"/>
          </w:tcPr>
          <w:p>
            <w:pPr>
              <w:pStyle w:val="10"/>
            </w:pPr>
            <w:r>
              <w:t>开展评估处置转让拍卖完成率</w:t>
            </w:r>
          </w:p>
        </w:tc>
        <w:tc>
          <w:tcPr>
            <w:tcW w:w="2551" w:type="dxa"/>
            <w:vAlign w:val="center"/>
          </w:tcPr>
          <w:p>
            <w:pPr>
              <w:pStyle w:val="10"/>
            </w:pPr>
            <w:r>
              <w:t>100%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开展评估处置转让拍卖完成及时率</w:t>
            </w:r>
          </w:p>
        </w:tc>
        <w:tc>
          <w:tcPr>
            <w:tcW w:w="2835" w:type="dxa"/>
            <w:vAlign w:val="center"/>
          </w:tcPr>
          <w:p>
            <w:pPr>
              <w:pStyle w:val="10"/>
            </w:pPr>
            <w:r>
              <w:t>开展评估处置转让拍卖完成及时率</w:t>
            </w:r>
          </w:p>
        </w:tc>
        <w:tc>
          <w:tcPr>
            <w:tcW w:w="2551" w:type="dxa"/>
            <w:vAlign w:val="center"/>
          </w:tcPr>
          <w:p>
            <w:pPr>
              <w:pStyle w:val="10"/>
            </w:pPr>
            <w:r>
              <w:t>≥95%</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2835" w:type="dxa"/>
            <w:vAlign w:val="center"/>
          </w:tcPr>
          <w:p>
            <w:pPr>
              <w:pStyle w:val="10"/>
            </w:pPr>
            <w:r>
              <w:t>项目预算金额</w:t>
            </w:r>
          </w:p>
        </w:tc>
        <w:tc>
          <w:tcPr>
            <w:tcW w:w="2551" w:type="dxa"/>
            <w:vAlign w:val="center"/>
          </w:tcPr>
          <w:p>
            <w:pPr>
              <w:pStyle w:val="10"/>
            </w:pPr>
            <w:r>
              <w:t>保障评估处置转让拍卖正常进行</w:t>
            </w:r>
          </w:p>
        </w:tc>
        <w:tc>
          <w:tcPr>
            <w:tcW w:w="2268" w:type="dxa"/>
            <w:vAlign w:val="center"/>
          </w:tcPr>
          <w:p>
            <w:pPr>
              <w:pStyle w:val="1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确保评估处置转让拍卖正常进行</w:t>
            </w:r>
          </w:p>
        </w:tc>
        <w:tc>
          <w:tcPr>
            <w:tcW w:w="2551" w:type="dxa"/>
            <w:vAlign w:val="center"/>
          </w:tcPr>
          <w:p>
            <w:pPr>
              <w:pStyle w:val="10"/>
            </w:pPr>
            <w:r>
              <w:t>保障评估处置转让拍卖正常进行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保证评估处置转让拍卖进行</w:t>
            </w:r>
          </w:p>
        </w:tc>
        <w:tc>
          <w:tcPr>
            <w:tcW w:w="2835" w:type="dxa"/>
            <w:vAlign w:val="center"/>
          </w:tcPr>
          <w:p>
            <w:pPr>
              <w:pStyle w:val="10"/>
            </w:pPr>
            <w:r>
              <w:t>保证评估处置转让拍卖进行</w:t>
            </w:r>
          </w:p>
        </w:tc>
        <w:tc>
          <w:tcPr>
            <w:tcW w:w="2551" w:type="dxa"/>
            <w:vAlign w:val="center"/>
          </w:tcPr>
          <w:p>
            <w:pPr>
              <w:pStyle w:val="10"/>
            </w:pPr>
            <w:r>
              <w:t>保证工作正常进行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项目复测率</w:t>
            </w:r>
          </w:p>
        </w:tc>
        <w:tc>
          <w:tcPr>
            <w:tcW w:w="2835" w:type="dxa"/>
            <w:vAlign w:val="center"/>
          </w:tcPr>
          <w:p>
            <w:pPr>
              <w:pStyle w:val="10"/>
            </w:pPr>
            <w:r>
              <w:t>项目复测率</w:t>
            </w:r>
          </w:p>
        </w:tc>
        <w:tc>
          <w:tcPr>
            <w:tcW w:w="2551" w:type="dxa"/>
            <w:vAlign w:val="center"/>
          </w:tcPr>
          <w:p>
            <w:pPr>
              <w:pStyle w:val="10"/>
            </w:pPr>
            <w:r>
              <w:t>&lt;10%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委托方满意度</w:t>
            </w:r>
          </w:p>
        </w:tc>
        <w:tc>
          <w:tcPr>
            <w:tcW w:w="2835" w:type="dxa"/>
            <w:vAlign w:val="center"/>
          </w:tcPr>
          <w:p>
            <w:pPr>
              <w:pStyle w:val="10"/>
            </w:pPr>
            <w:r>
              <w:t>委托方满意度</w:t>
            </w:r>
          </w:p>
        </w:tc>
        <w:tc>
          <w:tcPr>
            <w:tcW w:w="2551" w:type="dxa"/>
            <w:vAlign w:val="center"/>
          </w:tcPr>
          <w:p>
            <w:pPr>
              <w:pStyle w:val="10"/>
            </w:pPr>
            <w:r>
              <w:t>≥95%</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14、2023年综合治税绩效目标表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lang w:eastAsia="zh-CN"/>
              </w:rPr>
            </w:pPr>
            <w:r>
              <w:t>1.确保财政收入</w:t>
            </w:r>
          </w:p>
          <w:p>
            <w:pPr>
              <w:pStyle w:val="10"/>
            </w:pPr>
            <w:r>
              <w:t>2.更好的挖掘税源，及时纠正漏洞</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举办业务培训</w:t>
            </w:r>
          </w:p>
        </w:tc>
        <w:tc>
          <w:tcPr>
            <w:tcW w:w="2835" w:type="dxa"/>
            <w:vAlign w:val="center"/>
          </w:tcPr>
          <w:p>
            <w:pPr>
              <w:pStyle w:val="10"/>
            </w:pPr>
            <w:r>
              <w:t>组织召开全县税源调查工作培训会</w:t>
            </w:r>
          </w:p>
        </w:tc>
        <w:tc>
          <w:tcPr>
            <w:tcW w:w="2551" w:type="dxa"/>
            <w:vAlign w:val="center"/>
          </w:tcPr>
          <w:p>
            <w:pPr>
              <w:pStyle w:val="10"/>
            </w:pPr>
            <w:r>
              <w:t>≥6次</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保障财政收入</w:t>
            </w:r>
          </w:p>
        </w:tc>
        <w:tc>
          <w:tcPr>
            <w:tcW w:w="2835" w:type="dxa"/>
            <w:vAlign w:val="center"/>
          </w:tcPr>
          <w:p>
            <w:pPr>
              <w:pStyle w:val="10"/>
            </w:pPr>
            <w:r>
              <w:t>保障财政收入程度</w:t>
            </w:r>
          </w:p>
        </w:tc>
        <w:tc>
          <w:tcPr>
            <w:tcW w:w="2551" w:type="dxa"/>
            <w:vAlign w:val="center"/>
          </w:tcPr>
          <w:p>
            <w:pPr>
              <w:pStyle w:val="10"/>
            </w:pPr>
            <w:r>
              <w:t>≥90%</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按时完成数据采集和监测报告</w:t>
            </w:r>
          </w:p>
        </w:tc>
        <w:tc>
          <w:tcPr>
            <w:tcW w:w="2835" w:type="dxa"/>
            <w:vAlign w:val="center"/>
          </w:tcPr>
          <w:p>
            <w:pPr>
              <w:pStyle w:val="10"/>
            </w:pPr>
            <w:r>
              <w:t>按时完成涉税数据采集，统计监测和分析，编制监测报告</w:t>
            </w:r>
          </w:p>
        </w:tc>
        <w:tc>
          <w:tcPr>
            <w:tcW w:w="2551" w:type="dxa"/>
            <w:vAlign w:val="center"/>
          </w:tcPr>
          <w:p>
            <w:pPr>
              <w:pStyle w:val="10"/>
            </w:pPr>
            <w:r>
              <w:t>保证工作正常进行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2835" w:type="dxa"/>
            <w:vAlign w:val="center"/>
          </w:tcPr>
          <w:p>
            <w:pPr>
              <w:pStyle w:val="10"/>
            </w:pPr>
            <w:r>
              <w:t>项目预算金额</w:t>
            </w:r>
          </w:p>
        </w:tc>
        <w:tc>
          <w:tcPr>
            <w:tcW w:w="2551" w:type="dxa"/>
            <w:vAlign w:val="center"/>
          </w:tcPr>
          <w:p>
            <w:pPr>
              <w:pStyle w:val="10"/>
            </w:pPr>
            <w:r>
              <w:t>保障工作正常进行</w:t>
            </w:r>
          </w:p>
        </w:tc>
        <w:tc>
          <w:tcPr>
            <w:tcW w:w="2268" w:type="dxa"/>
            <w:vAlign w:val="center"/>
          </w:tcPr>
          <w:p>
            <w:pPr>
              <w:pStyle w:val="1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工作正常运转完成率</w:t>
            </w:r>
          </w:p>
        </w:tc>
        <w:tc>
          <w:tcPr>
            <w:tcW w:w="2835" w:type="dxa"/>
            <w:vAlign w:val="center"/>
          </w:tcPr>
          <w:p>
            <w:pPr>
              <w:pStyle w:val="10"/>
            </w:pPr>
            <w:r>
              <w:t>确保治税工作正常进行</w:t>
            </w:r>
          </w:p>
        </w:tc>
        <w:tc>
          <w:tcPr>
            <w:tcW w:w="2551" w:type="dxa"/>
            <w:vAlign w:val="center"/>
          </w:tcPr>
          <w:p>
            <w:pPr>
              <w:pStyle w:val="10"/>
            </w:pPr>
            <w:r>
              <w:t>保障治税工作正常进行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保证治税工作正常进行</w:t>
            </w:r>
          </w:p>
        </w:tc>
        <w:tc>
          <w:tcPr>
            <w:tcW w:w="2835" w:type="dxa"/>
            <w:vAlign w:val="center"/>
          </w:tcPr>
          <w:p>
            <w:pPr>
              <w:pStyle w:val="10"/>
            </w:pPr>
            <w:r>
              <w:t>保证财政收入</w:t>
            </w:r>
          </w:p>
        </w:tc>
        <w:tc>
          <w:tcPr>
            <w:tcW w:w="2551" w:type="dxa"/>
            <w:vAlign w:val="center"/>
          </w:tcPr>
          <w:p>
            <w:pPr>
              <w:pStyle w:val="10"/>
            </w:pPr>
            <w:r>
              <w:t>保证工作正常进行</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社会发展保障力</w:t>
            </w:r>
          </w:p>
        </w:tc>
        <w:tc>
          <w:tcPr>
            <w:tcW w:w="2835" w:type="dxa"/>
            <w:vAlign w:val="center"/>
          </w:tcPr>
          <w:p>
            <w:pPr>
              <w:pStyle w:val="10"/>
            </w:pPr>
            <w:r>
              <w:t>社会发展保障力</w:t>
            </w:r>
          </w:p>
        </w:tc>
        <w:tc>
          <w:tcPr>
            <w:tcW w:w="2551" w:type="dxa"/>
            <w:vAlign w:val="center"/>
          </w:tcPr>
          <w:p>
            <w:pPr>
              <w:pStyle w:val="10"/>
            </w:pPr>
            <w:r>
              <w:t>保障社会发展</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业务能力增强</w:t>
            </w:r>
          </w:p>
        </w:tc>
        <w:tc>
          <w:tcPr>
            <w:tcW w:w="2835" w:type="dxa"/>
            <w:vAlign w:val="center"/>
          </w:tcPr>
          <w:p>
            <w:pPr>
              <w:pStyle w:val="10"/>
            </w:pPr>
            <w:r>
              <w:t>业务能力增强</w:t>
            </w:r>
          </w:p>
        </w:tc>
        <w:tc>
          <w:tcPr>
            <w:tcW w:w="2551" w:type="dxa"/>
            <w:vAlign w:val="center"/>
          </w:tcPr>
          <w:p>
            <w:pPr>
              <w:pStyle w:val="10"/>
            </w:pPr>
            <w:r>
              <w:t>自身工作业务能力增强</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≥90%</w:t>
            </w:r>
          </w:p>
        </w:tc>
        <w:tc>
          <w:tcPr>
            <w:tcW w:w="2268" w:type="dxa"/>
            <w:vAlign w:val="center"/>
          </w:tcPr>
          <w:p>
            <w:pPr>
              <w:pStyle w:val="10"/>
            </w:pPr>
            <w:r>
              <w:t>根据工作需要</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2023年，无极县财政局本级安排政府采购预算0.00万元。具体内容见下表。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318001无极县财政局本级</w:t>
            </w:r>
          </w:p>
        </w:tc>
        <w:tc>
          <w:tcPr>
            <w:tcW w:w="8674"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无极县财政局本级上年末固定资产金额为307.77万元（详见下表）。本年度拟购置固定资产总额为0.00万元</w:t>
      </w:r>
      <w:bookmarkStart w:id="1" w:name="_GoBack"/>
      <w:bookmarkEnd w:id="1"/>
      <w:r>
        <w:rPr>
          <w:rFonts w:eastAsia="方正仿宋_GBK" w:cs="Times New Roman"/>
          <w:color w:val="000000"/>
          <w:sz w:val="28"/>
        </w:rPr>
        <w:t>。</w:t>
      </w:r>
    </w:p>
    <w:p>
      <w:pPr>
        <w:jc w:val="center"/>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318001无极县财政局本级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r>
              <w:t>307.77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9"/>
            </w:pPr>
            <w:r>
              <w:t>1400.08</w:t>
            </w:r>
          </w:p>
        </w:tc>
        <w:tc>
          <w:tcPr>
            <w:tcW w:w="2835" w:type="dxa"/>
            <w:vAlign w:val="center"/>
          </w:tcPr>
          <w:p>
            <w:pPr>
              <w:pStyle w:val="11"/>
            </w:pPr>
            <w:r>
              <w:t>278.56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9"/>
            </w:pPr>
            <w:r>
              <w:t>679</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9"/>
            </w:pPr>
            <w:r>
              <w:t>2</w:t>
            </w:r>
          </w:p>
        </w:tc>
        <w:tc>
          <w:tcPr>
            <w:tcW w:w="2835" w:type="dxa"/>
            <w:vAlign w:val="center"/>
          </w:tcPr>
          <w:p>
            <w:pPr>
              <w:pStyle w:val="11"/>
            </w:pPr>
            <w:r>
              <w:t>29.21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9"/>
            </w:pPr>
          </w:p>
        </w:tc>
        <w:tc>
          <w:tcPr>
            <w:tcW w:w="2835" w:type="dxa"/>
            <w:vAlign w:val="center"/>
          </w:tcPr>
          <w:p>
            <w:pPr>
              <w:pStyle w:val="11"/>
            </w:pP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AE02F0"/>
    <w:rsid w:val="42A949EF"/>
    <w:rsid w:val="52F652F7"/>
    <w:rsid w:val="593041C6"/>
    <w:rsid w:val="5A2B5FC4"/>
    <w:rsid w:val="6BEA73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s="Times New Roman"/>
      <w:color w:val="000000"/>
      <w:sz w:val="28"/>
    </w:rPr>
  </w:style>
  <w:style w:type="paragraph" w:customStyle="1" w:styleId="5">
    <w:name w:val="单元格样式20"/>
    <w:basedOn w:val="1"/>
    <w:qFormat/>
    <w:uiPriority w:val="0"/>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16">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17">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19">
    <w:name w:val="单元格样式23"/>
    <w:basedOn w:val="1"/>
    <w:qFormat/>
    <w:uiPriority w:val="0"/>
    <w:pPr>
      <w:jc w:val="right"/>
    </w:pPr>
    <w:rPr>
      <w:rFonts w:ascii="方正书宋_GBK" w:hAnsi="方正书宋_GBK" w:eastAsia="方正书宋_GBK" w:cs="方正书宋_GBK"/>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2023-08-01T01:40:00Z</dcterms:created>
  <dc:creator>Administrator</dc:creator>
  <cp:lastModifiedBy>leovo</cp:lastModifiedBy>
  <dcterms:modified xsi:type="dcterms:W3CDTF">2023-09-03T23:50:13Z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04C5A364EC004B5D92F1AF7A4E324CD4</vt:lpwstr>
  </property>
</Properties>
</file>