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rPr>
          <w:rFonts w:hint="eastAsia" w:ascii="方正仿宋_GBK" w:hAnsi="方正仿宋_GBK" w:eastAsia="方正仿宋_GBK" w:cs="方正仿宋_GBK"/>
          <w:b/>
          <w:sz w:val="30"/>
          <w:szCs w:val="30"/>
        </w:rPr>
      </w:pPr>
      <w:r>
        <w:rPr>
          <w:rFonts w:hint="eastAsia" w:ascii="方正仿宋_GBK" w:hAnsi="方正仿宋_GBK" w:eastAsia="方正仿宋_GBK" w:cs="方正仿宋_GBK"/>
          <w:b/>
          <w:color w:val="000000"/>
          <w:sz w:val="30"/>
          <w:szCs w:val="30"/>
          <w:lang w:eastAsia="zh-CN"/>
        </w:rPr>
        <w:t>2023年</w:t>
      </w:r>
      <w:r>
        <w:rPr>
          <w:rFonts w:hint="eastAsia" w:ascii="方正仿宋_GBK" w:hAnsi="方正仿宋_GBK" w:eastAsia="方正仿宋_GBK" w:cs="方正仿宋_GBK"/>
          <w:b/>
          <w:color w:val="000000"/>
          <w:sz w:val="30"/>
          <w:szCs w:val="30"/>
        </w:rPr>
        <w:t>部门预算公开表</w:t>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TOC \o "2-2" \h \z \u</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"_Toc15322"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部门预算收支总表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_Toc15322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3</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"_Toc19489"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部门预算收入总表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_Toc19489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5</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"_Toc88"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部门预算支出总表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_Toc88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6</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"_Toc3006"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部门预算财政拨款收支总表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_Toc3006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7</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"_Toc11226"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部门预算一般公共预算财政拨款支出表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_Toc11226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10</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"_Toc5456"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部门预算一般公共预算财政拨款基本支出表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_Toc5456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11</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"_Toc2429"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部门预算政府基金预算财政拨款支出表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_Toc2429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12</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"_Toc12664"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部门预算国有资本经营预算财政拨款支出表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_Toc12664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13</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5"/>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"_Toc10613"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部门预算财政拨款“三公”经费支出表</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_Toc10613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14</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end"/>
      </w:r>
    </w:p>
    <w:p>
      <w:pPr>
        <w:rPr>
          <w:rFonts w:hint="eastAsia" w:ascii="方正仿宋_GBK" w:hAnsi="方正仿宋_GBK" w:eastAsia="方正仿宋_GBK" w:cs="方正仿宋_GBK"/>
          <w:sz w:val="30"/>
          <w:szCs w:val="30"/>
        </w:rPr>
      </w:pPr>
      <w:r>
        <w:rPr>
          <w:rFonts w:hint="eastAsia" w:ascii="方正仿宋_GBK" w:hAnsi="方正仿宋_GBK" w:eastAsia="方正仿宋_GBK" w:cs="方正仿宋_GBK"/>
          <w:b/>
          <w:color w:val="000000"/>
          <w:sz w:val="30"/>
          <w:szCs w:val="30"/>
          <w:lang w:eastAsia="zh-CN"/>
        </w:rPr>
        <w:t>2023年</w:t>
      </w:r>
      <w:r>
        <w:rPr>
          <w:rFonts w:hint="eastAsia" w:ascii="方正仿宋_GBK" w:hAnsi="方正仿宋_GBK" w:eastAsia="方正仿宋_GBK" w:cs="方正仿宋_GBK"/>
          <w:b/>
          <w:color w:val="000000"/>
          <w:sz w:val="30"/>
          <w:szCs w:val="30"/>
        </w:rPr>
        <w:t>部门预算信息公开情况说明</w:t>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TOC \o "3-3" \h \z \u</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"_Toc22884"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一、部门职责及机构设置情况</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_Toc22884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15</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"_Toc11068"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二、部门预算安排的总体情况</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_Toc11068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16</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"_Toc23196"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三、机关运行经费安排情况</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_Toc23196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17</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"_Toc14834"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四、财政拨款“三公”经费预算情况及增减变化原因</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_Toc14834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17</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"_Toc32514"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五、预算绩效信息</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_Toc32514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18</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"_Toc17479"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六、政府采购预算情况</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_Toc17479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22</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"_Toc15883"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七、国有资产信息</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_Toc15883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29</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"_Toc7995"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八、名词解释</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_Toc7995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30</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pStyle w:val="2"/>
        <w:tabs>
          <w:tab w:val="right" w:leader="dot" w:pos="14572"/>
        </w:tabs>
        <w:rPr>
          <w:rFonts w:hint="eastAsia" w:ascii="方正仿宋_GBK" w:hAnsi="方正仿宋_GBK" w:eastAsia="方正仿宋_GBK" w:cs="方正仿宋_GBK"/>
          <w:sz w:val="30"/>
          <w:szCs w:val="30"/>
        </w:rPr>
      </w:pP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HYPERLINK \l "_Toc20133"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九、其他需要说明的事项</w:t>
      </w:r>
      <w:r>
        <w:rPr>
          <w:rFonts w:hint="eastAsia" w:ascii="方正仿宋_GBK" w:hAnsi="方正仿宋_GBK" w:eastAsia="方正仿宋_GBK" w:cs="方正仿宋_GBK"/>
          <w:sz w:val="30"/>
          <w:szCs w:val="30"/>
        </w:rPr>
        <w:tab/>
      </w:r>
      <w:r>
        <w:rPr>
          <w:rFonts w:hint="eastAsia" w:ascii="方正仿宋_GBK" w:hAnsi="方正仿宋_GBK" w:eastAsia="方正仿宋_GBK" w:cs="方正仿宋_GBK"/>
          <w:sz w:val="30"/>
          <w:szCs w:val="30"/>
        </w:rPr>
        <w:fldChar w:fldCharType="begin"/>
      </w:r>
      <w:r>
        <w:rPr>
          <w:rFonts w:hint="eastAsia" w:ascii="方正仿宋_GBK" w:hAnsi="方正仿宋_GBK" w:eastAsia="方正仿宋_GBK" w:cs="方正仿宋_GBK"/>
          <w:sz w:val="30"/>
          <w:szCs w:val="30"/>
        </w:rPr>
        <w:instrText xml:space="preserve"> PAGEREF _Toc20133 \h </w:instrText>
      </w:r>
      <w:r>
        <w:rPr>
          <w:rFonts w:hint="eastAsia" w:ascii="方正仿宋_GBK" w:hAnsi="方正仿宋_GBK" w:eastAsia="方正仿宋_GBK" w:cs="方正仿宋_GBK"/>
          <w:sz w:val="30"/>
          <w:szCs w:val="30"/>
        </w:rPr>
        <w:fldChar w:fldCharType="separate"/>
      </w:r>
      <w:r>
        <w:rPr>
          <w:rFonts w:hint="eastAsia" w:ascii="方正仿宋_GBK" w:hAnsi="方正仿宋_GBK" w:eastAsia="方正仿宋_GBK" w:cs="方正仿宋_GBK"/>
          <w:sz w:val="30"/>
          <w:szCs w:val="30"/>
        </w:rPr>
        <w:t>31</w:t>
      </w:r>
      <w:r>
        <w:rPr>
          <w:rFonts w:hint="eastAsia" w:ascii="方正仿宋_GBK" w:hAnsi="方正仿宋_GBK" w:eastAsia="方正仿宋_GBK" w:cs="方正仿宋_GBK"/>
          <w:sz w:val="30"/>
          <w:szCs w:val="30"/>
        </w:rPr>
        <w:fldChar w:fldCharType="end"/>
      </w:r>
      <w:r>
        <w:rPr>
          <w:rFonts w:hint="eastAsia" w:ascii="方正仿宋_GBK" w:hAnsi="方正仿宋_GBK" w:eastAsia="方正仿宋_GBK" w:cs="方正仿宋_GBK"/>
          <w:sz w:val="30"/>
          <w:szCs w:val="30"/>
        </w:rPr>
        <w:fldChar w:fldCharType="end"/>
      </w:r>
    </w:p>
    <w:p>
      <w:pPr>
        <w:rPr>
          <w:rFonts w:ascii="方正仿宋_GBK" w:hAnsi="方正仿宋_GBK" w:eastAsia="方正仿宋_GBK" w:cs="方正仿宋_GBK"/>
          <w:sz w:val="28"/>
          <w:szCs w:val="28"/>
        </w:rPr>
      </w:pPr>
      <w:r>
        <w:rPr>
          <w:rFonts w:hint="eastAsia" w:ascii="方正仿宋_GBK" w:hAnsi="方正仿宋_GBK" w:eastAsia="方正仿宋_GBK" w:cs="方正仿宋_GBK"/>
          <w:sz w:val="30"/>
          <w:szCs w:val="30"/>
        </w:rPr>
        <w:fldChar w:fldCharType="end"/>
      </w:r>
    </w:p>
    <w:p>
      <w:pPr>
        <w:rPr>
          <w:rFonts w:ascii="方正仿宋_GBK" w:hAnsi="方正仿宋_GBK" w:eastAsia="方正仿宋_GBK" w:cs="方正仿宋_GBK"/>
          <w:sz w:val="28"/>
          <w:szCs w:val="28"/>
        </w:rPr>
        <w:sectPr>
          <w:pgSz w:w="16840" w:h="11900" w:orient="landscape"/>
          <w:pgMar w:top="1587" w:right="1134" w:bottom="1361" w:left="1134" w:header="720" w:footer="720" w:gutter="0"/>
          <w:pgNumType w:start="1"/>
          <w:cols w:space="720" w:num="1"/>
        </w:sectPr>
      </w:pPr>
    </w:p>
    <w:p>
      <w:pPr>
        <w:jc w:val="center"/>
        <w:rPr>
          <w:b/>
          <w:lang w:eastAsia="zh-CN"/>
        </w:rPr>
      </w:pPr>
      <w:r>
        <w:rPr>
          <w:rFonts w:ascii="方正小标宋_GBK" w:hAnsi="方正小标宋_GBK" w:eastAsia="方正小标宋_GBK" w:cs="方正小标宋_GBK"/>
          <w:color w:val="000000"/>
          <w:sz w:val="44"/>
        </w:rPr>
        <w:t xml:space="preserve"> </w:t>
      </w:r>
      <w:r>
        <w:rPr>
          <w:rFonts w:hint="eastAsia" w:ascii="方正小标宋_GBK" w:hAnsi="方正小标宋_GBK" w:eastAsia="方正小标宋_GBK" w:cs="方正小标宋_GBK"/>
          <w:b/>
          <w:color w:val="000000"/>
          <w:sz w:val="44"/>
          <w:lang w:eastAsia="zh-CN"/>
        </w:rPr>
        <w:t>2023</w:t>
      </w:r>
      <w:r>
        <w:rPr>
          <w:rFonts w:hint="eastAsia" w:ascii="宋体" w:hAnsi="宋体" w:eastAsia="宋体" w:cs="宋体"/>
          <w:b/>
          <w:color w:val="000000"/>
          <w:sz w:val="44"/>
          <w:lang w:eastAsia="zh-CN"/>
        </w:rPr>
        <w:t>年部门预算信息公开表</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bookmarkStart w:id="0" w:name="_Toc15322"/>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431无极县行政审批局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1124.32</w:t>
            </w:r>
          </w:p>
        </w:tc>
        <w:tc>
          <w:tcPr>
            <w:tcW w:w="4535" w:type="dxa"/>
            <w:vAlign w:val="center"/>
          </w:tcPr>
          <w:p>
            <w:pPr>
              <w:pStyle w:val="14"/>
            </w:pPr>
            <w:r>
              <w:t>一、一般公共服务支出</w:t>
            </w:r>
          </w:p>
        </w:tc>
        <w:tc>
          <w:tcPr>
            <w:tcW w:w="2126" w:type="dxa"/>
            <w:vAlign w:val="center"/>
          </w:tcPr>
          <w:p>
            <w:pPr>
              <w:pStyle w:val="13"/>
            </w:pPr>
            <w:r>
              <w:t>1036.32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1124.32</w:t>
            </w:r>
          </w:p>
        </w:tc>
        <w:tc>
          <w:tcPr>
            <w:tcW w:w="4535" w:type="dxa"/>
            <w:vAlign w:val="center"/>
          </w:tcPr>
          <w:p>
            <w:pPr>
              <w:pStyle w:val="16"/>
            </w:pPr>
            <w:r>
              <w:t>本年支出合计</w:t>
            </w:r>
          </w:p>
        </w:tc>
        <w:tc>
          <w:tcPr>
            <w:tcW w:w="2126" w:type="dxa"/>
            <w:vAlign w:val="center"/>
          </w:tcPr>
          <w:p>
            <w:pPr>
              <w:pStyle w:val="17"/>
            </w:pPr>
            <w:r>
              <w:t>1124.32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1124.32</w:t>
            </w:r>
          </w:p>
        </w:tc>
        <w:tc>
          <w:tcPr>
            <w:tcW w:w="4535" w:type="dxa"/>
            <w:vAlign w:val="center"/>
          </w:tcPr>
          <w:p>
            <w:pPr>
              <w:pStyle w:val="16"/>
            </w:pPr>
            <w:r>
              <w:t>支出总计</w:t>
            </w:r>
          </w:p>
        </w:tc>
        <w:tc>
          <w:tcPr>
            <w:tcW w:w="2126" w:type="dxa"/>
            <w:vAlign w:val="center"/>
          </w:tcPr>
          <w:p>
            <w:pPr>
              <w:pStyle w:val="17"/>
            </w:pPr>
            <w:r>
              <w:t>1124.32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19489"/>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431无极县行政审批局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1124.32</w:t>
            </w:r>
          </w:p>
        </w:tc>
        <w:tc>
          <w:tcPr>
            <w:tcW w:w="1134" w:type="dxa"/>
            <w:vAlign w:val="center"/>
          </w:tcPr>
          <w:p>
            <w:pPr>
              <w:pStyle w:val="17"/>
            </w:pPr>
            <w:r>
              <w:t>1124.32</w:t>
            </w:r>
          </w:p>
        </w:tc>
        <w:tc>
          <w:tcPr>
            <w:tcW w:w="1134" w:type="dxa"/>
            <w:vAlign w:val="center"/>
          </w:tcPr>
          <w:p>
            <w:pPr>
              <w:pStyle w:val="17"/>
            </w:pPr>
            <w:r>
              <w:t>1124.32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2010306</w:t>
            </w:r>
          </w:p>
        </w:tc>
        <w:tc>
          <w:tcPr>
            <w:tcW w:w="1559" w:type="dxa"/>
            <w:vAlign w:val="center"/>
          </w:tcPr>
          <w:p>
            <w:pPr>
              <w:pStyle w:val="14"/>
            </w:pPr>
            <w:r>
              <w:t>政务公开审批</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88"/>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1124.32</w:t>
            </w:r>
          </w:p>
        </w:tc>
        <w:tc>
          <w:tcPr>
            <w:tcW w:w="1361" w:type="dxa"/>
            <w:vAlign w:val="center"/>
          </w:tcPr>
          <w:p>
            <w:pPr>
              <w:pStyle w:val="17"/>
            </w:pPr>
            <w:r>
              <w:t>841.32</w:t>
            </w:r>
          </w:p>
        </w:tc>
        <w:tc>
          <w:tcPr>
            <w:tcW w:w="1361" w:type="dxa"/>
            <w:vAlign w:val="center"/>
          </w:tcPr>
          <w:p>
            <w:pPr>
              <w:pStyle w:val="17"/>
            </w:pPr>
            <w:r>
              <w:t>283.00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1036.32</w:t>
            </w:r>
          </w:p>
        </w:tc>
        <w:tc>
          <w:tcPr>
            <w:tcW w:w="1361" w:type="dxa"/>
            <w:vAlign w:val="center"/>
          </w:tcPr>
          <w:p>
            <w:pPr>
              <w:pStyle w:val="13"/>
            </w:pPr>
            <w:r>
              <w:t>753.32</w:t>
            </w:r>
          </w:p>
        </w:tc>
        <w:tc>
          <w:tcPr>
            <w:tcW w:w="1361" w:type="dxa"/>
            <w:vAlign w:val="center"/>
          </w:tcPr>
          <w:p>
            <w:pPr>
              <w:pStyle w:val="13"/>
            </w:pPr>
            <w:r>
              <w:t>283.00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1036.32</w:t>
            </w:r>
          </w:p>
        </w:tc>
        <w:tc>
          <w:tcPr>
            <w:tcW w:w="1361" w:type="dxa"/>
            <w:vAlign w:val="center"/>
          </w:tcPr>
          <w:p>
            <w:pPr>
              <w:pStyle w:val="13"/>
            </w:pPr>
            <w:r>
              <w:t>753.32</w:t>
            </w:r>
          </w:p>
        </w:tc>
        <w:tc>
          <w:tcPr>
            <w:tcW w:w="1361" w:type="dxa"/>
            <w:vAlign w:val="center"/>
          </w:tcPr>
          <w:p>
            <w:pPr>
              <w:pStyle w:val="13"/>
            </w:pPr>
            <w:r>
              <w:t>283.00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2010306</w:t>
            </w:r>
          </w:p>
        </w:tc>
        <w:tc>
          <w:tcPr>
            <w:tcW w:w="4535" w:type="dxa"/>
            <w:vAlign w:val="center"/>
          </w:tcPr>
          <w:p>
            <w:pPr>
              <w:pStyle w:val="14"/>
            </w:pPr>
            <w:r>
              <w:t>政务公开审批</w:t>
            </w:r>
          </w:p>
        </w:tc>
        <w:tc>
          <w:tcPr>
            <w:tcW w:w="1361" w:type="dxa"/>
            <w:vAlign w:val="center"/>
          </w:tcPr>
          <w:p>
            <w:pPr>
              <w:pStyle w:val="13"/>
            </w:pPr>
            <w:r>
              <w:t>1036.32</w:t>
            </w:r>
          </w:p>
        </w:tc>
        <w:tc>
          <w:tcPr>
            <w:tcW w:w="1361" w:type="dxa"/>
            <w:vAlign w:val="center"/>
          </w:tcPr>
          <w:p>
            <w:pPr>
              <w:pStyle w:val="13"/>
            </w:pPr>
            <w:r>
              <w:t>753.32</w:t>
            </w:r>
          </w:p>
        </w:tc>
        <w:tc>
          <w:tcPr>
            <w:tcW w:w="1361" w:type="dxa"/>
            <w:vAlign w:val="center"/>
          </w:tcPr>
          <w:p>
            <w:pPr>
              <w:pStyle w:val="13"/>
            </w:pPr>
            <w:r>
              <w:t>283.00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58.50</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58.50</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58.50</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29.50</w:t>
            </w:r>
          </w:p>
        </w:tc>
        <w:tc>
          <w:tcPr>
            <w:tcW w:w="1361" w:type="dxa"/>
            <w:vAlign w:val="center"/>
          </w:tcPr>
          <w:p>
            <w:pPr>
              <w:pStyle w:val="13"/>
            </w:pPr>
            <w:r>
              <w:t>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29.50</w:t>
            </w:r>
          </w:p>
        </w:tc>
        <w:tc>
          <w:tcPr>
            <w:tcW w:w="1361" w:type="dxa"/>
            <w:vAlign w:val="center"/>
          </w:tcPr>
          <w:p>
            <w:pPr>
              <w:pStyle w:val="13"/>
            </w:pPr>
            <w:r>
              <w:t>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29.50</w:t>
            </w:r>
          </w:p>
        </w:tc>
        <w:tc>
          <w:tcPr>
            <w:tcW w:w="1361" w:type="dxa"/>
            <w:vAlign w:val="center"/>
          </w:tcPr>
          <w:p>
            <w:pPr>
              <w:pStyle w:val="13"/>
            </w:pPr>
            <w:r>
              <w:t>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3006"/>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3402" w:type="dxa"/>
            <w:tcBorders>
              <w:top w:val="single" w:color="FFFFFF" w:sz="6" w:space="0"/>
              <w:left w:val="single" w:color="FFFFFF" w:sz="6" w:space="0"/>
              <w:right w:val="single" w:color="FFFFFF" w:sz="6" w:space="0"/>
            </w:tcBorders>
            <w:vAlign w:val="center"/>
          </w:tcPr>
          <w:p>
            <w:pPr>
              <w:pStyle w:val="10"/>
              <w:jc w:val="both"/>
              <w:rPr>
                <w:lang w:eastAsia="zh-CN"/>
              </w:rPr>
            </w:pPr>
            <w:r>
              <w:rPr>
                <w:rFonts w:hint="eastAsia"/>
                <w:lang w:eastAsia="zh-CN"/>
              </w:rPr>
              <w:t>预算年度</w:t>
            </w:r>
          </w:p>
          <w:p>
            <w:pPr>
              <w:pStyle w:val="10"/>
              <w:jc w:val="both"/>
            </w:pPr>
            <w:r>
              <w:t>2023</w:t>
            </w:r>
          </w:p>
        </w:tc>
        <w:tc>
          <w:tcPr>
            <w:tcW w:w="5896" w:type="dxa"/>
            <w:gridSpan w:val="4"/>
            <w:tcBorders>
              <w:top w:val="single" w:color="FFFFFF" w:sz="6" w:space="0"/>
              <w:left w:val="single" w:color="FFFFFF" w:sz="6" w:space="0"/>
              <w:right w:val="single" w:color="FFFFFF" w:sz="6" w:space="0"/>
            </w:tcBorders>
            <w:vAlign w:val="center"/>
          </w:tcPr>
          <w:p>
            <w:pPr>
              <w:pStyle w:val="9"/>
              <w:ind w:firstLine="1920" w:firstLineChars="800"/>
              <w:jc w:val="both"/>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1124.32</w:t>
            </w:r>
          </w:p>
        </w:tc>
        <w:tc>
          <w:tcPr>
            <w:tcW w:w="3402" w:type="dxa"/>
            <w:vAlign w:val="center"/>
          </w:tcPr>
          <w:p>
            <w:pPr>
              <w:pStyle w:val="14"/>
            </w:pPr>
            <w:r>
              <w:t>一、一般公共服务支出</w:t>
            </w:r>
          </w:p>
        </w:tc>
        <w:tc>
          <w:tcPr>
            <w:tcW w:w="1474" w:type="dxa"/>
            <w:vAlign w:val="center"/>
          </w:tcPr>
          <w:p>
            <w:pPr>
              <w:pStyle w:val="13"/>
            </w:pPr>
            <w:r>
              <w:t>1036.32</w:t>
            </w:r>
          </w:p>
        </w:tc>
        <w:tc>
          <w:tcPr>
            <w:tcW w:w="1474" w:type="dxa"/>
            <w:vAlign w:val="center"/>
          </w:tcPr>
          <w:p>
            <w:pPr>
              <w:pStyle w:val="13"/>
            </w:pPr>
            <w:r>
              <w:t>1036.32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58.50</w:t>
            </w:r>
          </w:p>
        </w:tc>
        <w:tc>
          <w:tcPr>
            <w:tcW w:w="1474" w:type="dxa"/>
            <w:vAlign w:val="center"/>
          </w:tcPr>
          <w:p>
            <w:pPr>
              <w:pStyle w:val="13"/>
            </w:pPr>
            <w:r>
              <w:t>58.50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29.50</w:t>
            </w:r>
          </w:p>
        </w:tc>
        <w:tc>
          <w:tcPr>
            <w:tcW w:w="1474" w:type="dxa"/>
            <w:vAlign w:val="center"/>
          </w:tcPr>
          <w:p>
            <w:pPr>
              <w:pStyle w:val="13"/>
            </w:pPr>
            <w:r>
              <w:t>29.50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1124.32</w:t>
            </w:r>
          </w:p>
        </w:tc>
        <w:tc>
          <w:tcPr>
            <w:tcW w:w="3402" w:type="dxa"/>
            <w:vAlign w:val="center"/>
          </w:tcPr>
          <w:p>
            <w:pPr>
              <w:pStyle w:val="16"/>
            </w:pPr>
            <w:r>
              <w:t>本年支出合计</w:t>
            </w:r>
          </w:p>
        </w:tc>
        <w:tc>
          <w:tcPr>
            <w:tcW w:w="1474" w:type="dxa"/>
            <w:vAlign w:val="center"/>
          </w:tcPr>
          <w:p>
            <w:pPr>
              <w:pStyle w:val="17"/>
            </w:pPr>
            <w:r>
              <w:t>1124.32</w:t>
            </w:r>
          </w:p>
        </w:tc>
        <w:tc>
          <w:tcPr>
            <w:tcW w:w="1474" w:type="dxa"/>
            <w:vAlign w:val="center"/>
          </w:tcPr>
          <w:p>
            <w:pPr>
              <w:pStyle w:val="17"/>
            </w:pPr>
            <w:r>
              <w:t>1124.32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1124.32</w:t>
            </w:r>
          </w:p>
        </w:tc>
        <w:tc>
          <w:tcPr>
            <w:tcW w:w="3402" w:type="dxa"/>
            <w:vAlign w:val="center"/>
          </w:tcPr>
          <w:p>
            <w:pPr>
              <w:pStyle w:val="16"/>
            </w:pPr>
            <w:r>
              <w:t>支出总计</w:t>
            </w:r>
          </w:p>
        </w:tc>
        <w:tc>
          <w:tcPr>
            <w:tcW w:w="1474" w:type="dxa"/>
            <w:vAlign w:val="center"/>
          </w:tcPr>
          <w:p>
            <w:pPr>
              <w:pStyle w:val="17"/>
            </w:pPr>
            <w:r>
              <w:t>1124.32</w:t>
            </w:r>
          </w:p>
        </w:tc>
        <w:tc>
          <w:tcPr>
            <w:tcW w:w="1474" w:type="dxa"/>
            <w:vAlign w:val="center"/>
          </w:tcPr>
          <w:p>
            <w:pPr>
              <w:pStyle w:val="17"/>
            </w:pPr>
            <w:r>
              <w:t>1124.32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11226"/>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1124.32</w:t>
            </w:r>
          </w:p>
        </w:tc>
        <w:tc>
          <w:tcPr>
            <w:tcW w:w="2551" w:type="dxa"/>
            <w:vAlign w:val="center"/>
          </w:tcPr>
          <w:p>
            <w:pPr>
              <w:pStyle w:val="17"/>
            </w:pPr>
            <w:r>
              <w:t>841.32</w:t>
            </w:r>
          </w:p>
        </w:tc>
        <w:tc>
          <w:tcPr>
            <w:tcW w:w="2551" w:type="dxa"/>
            <w:vAlign w:val="center"/>
          </w:tcPr>
          <w:p>
            <w:pPr>
              <w:pStyle w:val="17"/>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1036.32</w:t>
            </w:r>
          </w:p>
        </w:tc>
        <w:tc>
          <w:tcPr>
            <w:tcW w:w="2551" w:type="dxa"/>
            <w:vAlign w:val="center"/>
          </w:tcPr>
          <w:p>
            <w:pPr>
              <w:pStyle w:val="13"/>
            </w:pPr>
            <w:r>
              <w:t>753.32</w:t>
            </w:r>
          </w:p>
        </w:tc>
        <w:tc>
          <w:tcPr>
            <w:tcW w:w="2551" w:type="dxa"/>
            <w:vAlign w:val="center"/>
          </w:tcPr>
          <w:p>
            <w:pPr>
              <w:pStyle w:val="13"/>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1036.32</w:t>
            </w:r>
          </w:p>
        </w:tc>
        <w:tc>
          <w:tcPr>
            <w:tcW w:w="2551" w:type="dxa"/>
            <w:vAlign w:val="center"/>
          </w:tcPr>
          <w:p>
            <w:pPr>
              <w:pStyle w:val="13"/>
            </w:pPr>
            <w:r>
              <w:t>753.32</w:t>
            </w:r>
          </w:p>
        </w:tc>
        <w:tc>
          <w:tcPr>
            <w:tcW w:w="2551" w:type="dxa"/>
            <w:vAlign w:val="center"/>
          </w:tcPr>
          <w:p>
            <w:pPr>
              <w:pStyle w:val="13"/>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2010306</w:t>
            </w:r>
          </w:p>
        </w:tc>
        <w:tc>
          <w:tcPr>
            <w:tcW w:w="4535" w:type="dxa"/>
            <w:vAlign w:val="center"/>
          </w:tcPr>
          <w:p>
            <w:pPr>
              <w:pStyle w:val="14"/>
            </w:pPr>
            <w:r>
              <w:t>政务公开审批</w:t>
            </w:r>
          </w:p>
        </w:tc>
        <w:tc>
          <w:tcPr>
            <w:tcW w:w="2551" w:type="dxa"/>
            <w:vAlign w:val="center"/>
          </w:tcPr>
          <w:p>
            <w:pPr>
              <w:pStyle w:val="13"/>
            </w:pPr>
            <w:r>
              <w:t>1036.32</w:t>
            </w:r>
          </w:p>
        </w:tc>
        <w:tc>
          <w:tcPr>
            <w:tcW w:w="2551" w:type="dxa"/>
            <w:vAlign w:val="center"/>
          </w:tcPr>
          <w:p>
            <w:pPr>
              <w:pStyle w:val="13"/>
            </w:pPr>
            <w:r>
              <w:t>753.32</w:t>
            </w:r>
          </w:p>
        </w:tc>
        <w:tc>
          <w:tcPr>
            <w:tcW w:w="2551" w:type="dxa"/>
            <w:vAlign w:val="center"/>
          </w:tcPr>
          <w:p>
            <w:pPr>
              <w:pStyle w:val="13"/>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545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841.32</w:t>
            </w:r>
          </w:p>
        </w:tc>
        <w:tc>
          <w:tcPr>
            <w:tcW w:w="2551" w:type="dxa"/>
            <w:vAlign w:val="center"/>
          </w:tcPr>
          <w:p>
            <w:pPr>
              <w:pStyle w:val="17"/>
            </w:pPr>
            <w:r>
              <w:t>783.82</w:t>
            </w:r>
          </w:p>
        </w:tc>
        <w:tc>
          <w:tcPr>
            <w:tcW w:w="2551" w:type="dxa"/>
            <w:vAlign w:val="center"/>
          </w:tcPr>
          <w:p>
            <w:pPr>
              <w:pStyle w:val="17"/>
            </w:pPr>
            <w:r>
              <w:t>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771.92</w:t>
            </w:r>
          </w:p>
        </w:tc>
        <w:tc>
          <w:tcPr>
            <w:tcW w:w="2551" w:type="dxa"/>
            <w:vAlign w:val="center"/>
          </w:tcPr>
          <w:p>
            <w:pPr>
              <w:pStyle w:val="13"/>
            </w:pPr>
            <w:r>
              <w:t>771.92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380.00</w:t>
            </w:r>
          </w:p>
        </w:tc>
        <w:tc>
          <w:tcPr>
            <w:tcW w:w="2551" w:type="dxa"/>
            <w:vAlign w:val="center"/>
          </w:tcPr>
          <w:p>
            <w:pPr>
              <w:pStyle w:val="13"/>
            </w:pPr>
            <w:r>
              <w:t>380.00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97.00</w:t>
            </w:r>
          </w:p>
        </w:tc>
        <w:tc>
          <w:tcPr>
            <w:tcW w:w="2551" w:type="dxa"/>
            <w:vAlign w:val="center"/>
          </w:tcPr>
          <w:p>
            <w:pPr>
              <w:pStyle w:val="13"/>
            </w:pPr>
            <w:r>
              <w:t>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69.50</w:t>
            </w:r>
          </w:p>
        </w:tc>
        <w:tc>
          <w:tcPr>
            <w:tcW w:w="2551" w:type="dxa"/>
            <w:vAlign w:val="center"/>
          </w:tcPr>
          <w:p>
            <w:pPr>
              <w:pStyle w:val="13"/>
            </w:pPr>
            <w:r>
              <w:t>69.50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133.72</w:t>
            </w:r>
          </w:p>
        </w:tc>
        <w:tc>
          <w:tcPr>
            <w:tcW w:w="2551" w:type="dxa"/>
            <w:vAlign w:val="center"/>
          </w:tcPr>
          <w:p>
            <w:pPr>
              <w:pStyle w:val="13"/>
            </w:pPr>
            <w:r>
              <w:t>133.72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3.70</w:t>
            </w:r>
          </w:p>
        </w:tc>
        <w:tc>
          <w:tcPr>
            <w:tcW w:w="2551" w:type="dxa"/>
            <w:vAlign w:val="center"/>
          </w:tcPr>
          <w:p>
            <w:pPr>
              <w:pStyle w:val="13"/>
            </w:pPr>
            <w:r>
              <w:t>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57.50</w:t>
            </w:r>
          </w:p>
        </w:tc>
        <w:tc>
          <w:tcPr>
            <w:tcW w:w="2551" w:type="dxa"/>
            <w:vAlign w:val="center"/>
          </w:tcPr>
          <w:p>
            <w:pPr>
              <w:pStyle w:val="13"/>
            </w:pPr>
          </w:p>
        </w:tc>
        <w:tc>
          <w:tcPr>
            <w:tcW w:w="2551" w:type="dxa"/>
            <w:vAlign w:val="center"/>
          </w:tcPr>
          <w:p>
            <w:pPr>
              <w:pStyle w:val="13"/>
            </w:pPr>
            <w:r>
              <w:t>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27.50</w:t>
            </w:r>
          </w:p>
        </w:tc>
        <w:tc>
          <w:tcPr>
            <w:tcW w:w="2551" w:type="dxa"/>
            <w:vAlign w:val="center"/>
          </w:tcPr>
          <w:p>
            <w:pPr>
              <w:pStyle w:val="13"/>
            </w:pPr>
          </w:p>
        </w:tc>
        <w:tc>
          <w:tcPr>
            <w:tcW w:w="2551" w:type="dxa"/>
            <w:vAlign w:val="center"/>
          </w:tcPr>
          <w:p>
            <w:pPr>
              <w:pStyle w:val="13"/>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2429"/>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12664"/>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10613"/>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431无极县行政审批局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b w:val="0"/>
                <w:bCs/>
                <w:lang w:val="en-US" w:eastAsia="zh-CN"/>
              </w:rPr>
            </w:pPr>
            <w:r>
              <w:rPr>
                <w:rFonts w:hint="eastAsia"/>
                <w:b w:val="0"/>
                <w:bCs/>
                <w:lang w:val="en-US" w:eastAsia="zh-CN"/>
              </w:rPr>
              <w:t>3.00</w:t>
            </w:r>
          </w:p>
        </w:tc>
        <w:tc>
          <w:tcPr>
            <w:tcW w:w="2381" w:type="dxa"/>
            <w:vAlign w:val="center"/>
          </w:tcPr>
          <w:p>
            <w:pPr>
              <w:pStyle w:val="17"/>
              <w:rPr>
                <w:rFonts w:hint="default" w:eastAsia="方正书宋_GBK"/>
                <w:b w:val="0"/>
                <w:bCs/>
                <w:lang w:val="en-US" w:eastAsia="zh-CN"/>
              </w:rPr>
            </w:pPr>
            <w:r>
              <w:rPr>
                <w:rFonts w:hint="eastAsia"/>
                <w:b w:val="0"/>
                <w:bCs/>
                <w:lang w:val="en-US" w:eastAsia="zh-CN"/>
              </w:rPr>
              <w:t>3.00</w:t>
            </w:r>
          </w:p>
        </w:tc>
        <w:tc>
          <w:tcPr>
            <w:tcW w:w="2381" w:type="dxa"/>
            <w:vAlign w:val="center"/>
          </w:tcPr>
          <w:p>
            <w:pPr>
              <w:pStyle w:val="17"/>
              <w:rPr>
                <w:b w:val="0"/>
                <w:bCs/>
              </w:rPr>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无极县行政审批局2023年部门预算信息公开情况说明</w:t>
      </w:r>
    </w:p>
    <w:p>
      <w:pPr>
        <w:jc w:val="center"/>
      </w:pPr>
      <w:r>
        <w:rPr>
          <w:rFonts w:ascii="方正小标宋_GBK" w:hAnsi="方正小标宋_GBK" w:eastAsia="方正小标宋_GBK" w:cs="方正小标宋_GBK"/>
          <w:color w:val="000000"/>
          <w:sz w:val="44"/>
        </w:rPr>
        <w:t>无极县行政审批局2023年部门预算信息公开情况说明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按照《预算法》、《地方预决算公开操作规程》和《关于进一步推进预算公开工作的实施意见》规定，现将无极县行政审批局2023年部门预算公开如下：</w:t>
      </w:r>
    </w:p>
    <w:p>
      <w:pPr>
        <w:spacing w:before="10" w:after="10" w:line="360" w:lineRule="auto"/>
        <w:ind w:firstLine="640"/>
        <w:outlineLvl w:val="2"/>
      </w:pPr>
      <w:bookmarkStart w:id="9" w:name="_Toc22884"/>
      <w:r>
        <w:rPr>
          <w:rFonts w:ascii="黑体" w:hAnsi="黑体" w:eastAsia="黑体" w:cs="黑体"/>
          <w:color w:val="000000"/>
          <w:sz w:val="32"/>
        </w:rPr>
        <w:t>一、部门职责及机构设置情况</w:t>
      </w:r>
      <w:bookmarkEnd w:id="9"/>
    </w:p>
    <w:p>
      <w:pPr>
        <w:ind w:firstLine="640"/>
        <w:rPr>
          <w:rFonts w:eastAsia="方正仿宋_GBK"/>
          <w:lang w:eastAsia="zh-CN"/>
        </w:rPr>
      </w:pPr>
      <w:r>
        <w:rPr>
          <w:rFonts w:ascii="方正楷体_GBK" w:hAnsi="方正楷体_GBK" w:eastAsia="方正楷体_GBK" w:cs="方正楷体_GBK"/>
          <w:b/>
          <w:color w:val="000000"/>
          <w:sz w:val="32"/>
        </w:rPr>
        <w:t>部门职责：</w:t>
      </w:r>
      <w:r>
        <w:rPr>
          <w:rFonts w:hint="eastAsia"/>
          <w:lang w:eastAsia="zh-CN"/>
        </w:rPr>
        <w:t xml:space="preserve"> </w:t>
      </w:r>
    </w:p>
    <w:p>
      <w:pPr>
        <w:pStyle w:val="19"/>
      </w:pPr>
      <w:r>
        <w:t>（一）贯彻落实党中央、国务院和</w:t>
      </w:r>
      <w:r>
        <w:rPr>
          <w:rFonts w:hint="eastAsia"/>
          <w:lang w:eastAsia="zh-CN"/>
        </w:rPr>
        <w:t>县</w:t>
      </w:r>
      <w:r>
        <w:t>委</w:t>
      </w:r>
      <w:r>
        <w:rPr>
          <w:rFonts w:hint="eastAsia"/>
          <w:lang w:eastAsia="zh-CN"/>
        </w:rPr>
        <w:t>县</w:t>
      </w:r>
      <w:r>
        <w:t>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19"/>
      </w:pPr>
      <w:r>
        <w:t>（二）负责规范全县行政审批行为，创新和完善相关工作体制机制。推进简政放权，清理和规范各类行政许可等管理事项；承担县行政审批制度改革领导小组办公室日常工作。</w:t>
      </w:r>
    </w:p>
    <w:p>
      <w:pPr>
        <w:pStyle w:val="19"/>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pPr>
        <w:pStyle w:val="19"/>
      </w:pPr>
      <w:r>
        <w:t>（四）负责投资项目、商事登记、市场服务、文教体卫、社会事务、住建交通、生态环境、安全生产、农林畜水、经贸商务、城市管理等方面行政审批事项的办理及相关行政性收费，并承担相应的法律责任。</w:t>
      </w:r>
    </w:p>
    <w:p>
      <w:pPr>
        <w:pStyle w:val="19"/>
      </w:pPr>
      <w:r>
        <w:t>（五）负责协调派驻部门行政审批事项的办理工作，规范、管理和监督派驻部门行政审批行为。</w:t>
      </w:r>
    </w:p>
    <w:p>
      <w:pPr>
        <w:pStyle w:val="19"/>
      </w:pPr>
      <w:r>
        <w:t>（六）负责对行政审批、政务服务事项流程进行规范和优化，推进审批服务便民化、标准化建设。</w:t>
      </w:r>
    </w:p>
    <w:p>
      <w:pPr>
        <w:pStyle w:val="19"/>
      </w:pPr>
      <w:r>
        <w:t>（七）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19"/>
      </w:pPr>
      <w:r>
        <w:t>（八）负责对行政审批、政务服务行为进行监督检查、日常管理、教育培训和考评考核，负责对有关单位派驻县政务服务大厅窗口人员的协调服务及后勤保障工作。</w:t>
      </w:r>
    </w:p>
    <w:p>
      <w:pPr>
        <w:pStyle w:val="19"/>
      </w:pPr>
      <w:r>
        <w:t>（九）负责已划转行政许可事项涉及的现场勘验、审图、联合验收等工作。</w:t>
      </w:r>
    </w:p>
    <w:p>
      <w:pPr>
        <w:pStyle w:val="19"/>
      </w:pPr>
      <w:r>
        <w:t>（十）负责行政审批信息化工作，以及行政审批信息资料的保管、整理、统计、编目和定期检查工作。</w:t>
      </w:r>
    </w:p>
    <w:p>
      <w:pPr>
        <w:pStyle w:val="19"/>
      </w:pPr>
      <w:r>
        <w:t>（十一）完成县委县政府交办的其他任务。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无极县行政审批局本级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11068"/>
      <w:r>
        <w:rPr>
          <w:rFonts w:ascii="黑体" w:hAnsi="黑体" w:eastAsia="黑体" w:cs="黑体"/>
          <w:color w:val="000000"/>
          <w:sz w:val="32"/>
        </w:rPr>
        <w:t>二、部门预算安排的总体情况</w:t>
      </w:r>
      <w:bookmarkEnd w:id="10"/>
    </w:p>
    <w:p>
      <w:pPr>
        <w:pStyle w:val="20"/>
        <w:rPr>
          <w:rFonts w:hint="eastAsia"/>
          <w:lang w:val="en-US" w:eastAsia="zh-CN"/>
        </w:rPr>
      </w:pPr>
      <w:r>
        <w:t>按照预算管理有关规定，目前我县部门预算的编制实行综合预算制度，即全部收入和支出都反映在预算里</w:t>
      </w:r>
      <w:r>
        <w:rPr>
          <w:rFonts w:hint="eastAsia"/>
          <w:lang w:val="en-US" w:eastAsia="zh-CN"/>
        </w:rPr>
        <w:t>。</w:t>
      </w:r>
    </w:p>
    <w:p>
      <w:pPr>
        <w:pStyle w:val="20"/>
      </w:pPr>
      <w:r>
        <w:t>1、收入说明</w:t>
      </w:r>
    </w:p>
    <w:p>
      <w:pPr>
        <w:pStyle w:val="20"/>
      </w:pPr>
      <w:r>
        <w:t>反映本部门当年全部收入。2023年预算收入</w:t>
      </w:r>
      <w:r>
        <w:rPr>
          <w:rFonts w:hint="eastAsia"/>
          <w:lang w:eastAsia="zh-CN"/>
        </w:rPr>
        <w:t>1124.32</w:t>
      </w:r>
      <w:r>
        <w:t>万元，其中：一般公共预算收入</w:t>
      </w:r>
      <w:r>
        <w:rPr>
          <w:rFonts w:hint="eastAsia"/>
          <w:lang w:eastAsia="zh-CN"/>
        </w:rPr>
        <w:t>1124.32</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收支预算总表支出栏、基本支出表、项目支出表按经济分类和支出功能分类科目编制，反映无极县行政审批局年度部门预算中支出预算的总体情况。2023年部门支出预算为</w:t>
      </w:r>
      <w:r>
        <w:rPr>
          <w:rFonts w:hint="eastAsia"/>
          <w:lang w:eastAsia="zh-CN"/>
        </w:rPr>
        <w:t>1124.32</w:t>
      </w:r>
      <w:r>
        <w:t>万元，其中基本支出</w:t>
      </w:r>
      <w:r>
        <w:rPr>
          <w:rFonts w:hint="eastAsia"/>
          <w:lang w:eastAsia="zh-CN"/>
        </w:rPr>
        <w:t>841.32</w:t>
      </w:r>
      <w:r>
        <w:t>万元，包括人员经费</w:t>
      </w:r>
      <w:r>
        <w:rPr>
          <w:rFonts w:hint="eastAsia"/>
          <w:lang w:eastAsia="zh-CN"/>
        </w:rPr>
        <w:t>783.</w:t>
      </w:r>
      <w:r>
        <w:rPr>
          <w:rFonts w:hint="eastAsia"/>
          <w:lang w:val="en-US" w:eastAsia="zh-CN"/>
        </w:rPr>
        <w:t>8</w:t>
      </w:r>
      <w:r>
        <w:rPr>
          <w:rFonts w:hint="eastAsia"/>
          <w:lang w:eastAsia="zh-CN"/>
        </w:rPr>
        <w:t>2</w:t>
      </w:r>
      <w:r>
        <w:t>万元和日常公用经费</w:t>
      </w:r>
      <w:r>
        <w:rPr>
          <w:rFonts w:hint="eastAsia"/>
          <w:lang w:eastAsia="zh-CN"/>
        </w:rPr>
        <w:t>57.5</w:t>
      </w:r>
      <w:r>
        <w:t>万元；项目支出 283万元。</w:t>
      </w:r>
      <w:bookmarkStart w:id="18" w:name="_GoBack"/>
      <w:bookmarkEnd w:id="18"/>
    </w:p>
    <w:p>
      <w:pPr>
        <w:pStyle w:val="20"/>
      </w:pPr>
      <w:r>
        <w:t>3、比上年增加情况</w:t>
      </w:r>
    </w:p>
    <w:p>
      <w:pPr>
        <w:pStyle w:val="20"/>
      </w:pPr>
      <w:r>
        <w:t>2023年部门预算收支安排</w:t>
      </w:r>
      <w:r>
        <w:rPr>
          <w:rFonts w:hint="eastAsia"/>
          <w:lang w:eastAsia="zh-CN"/>
        </w:rPr>
        <w:t>1124.32</w:t>
      </w:r>
      <w:r>
        <w:t>万元，较202</w:t>
      </w:r>
      <w:r>
        <w:rPr>
          <w:rFonts w:hint="eastAsia"/>
          <w:lang w:eastAsia="zh-CN"/>
        </w:rPr>
        <w:t>2</w:t>
      </w:r>
      <w:r>
        <w:t>增加</w:t>
      </w:r>
      <w:r>
        <w:rPr>
          <w:rFonts w:hint="eastAsia"/>
          <w:lang w:eastAsia="zh-CN"/>
        </w:rPr>
        <w:t>177.72</w:t>
      </w:r>
      <w:r>
        <w:t>元，其中：基本支出增加</w:t>
      </w:r>
      <w:r>
        <w:rPr>
          <w:rFonts w:hint="eastAsia"/>
          <w:lang w:eastAsia="zh-CN"/>
        </w:rPr>
        <w:t>144.92</w:t>
      </w:r>
      <w:r>
        <w:t>万元，主要是增加新增和退休人员相应人员经费及增加基础绩效；项目支出增加32.8万元，主要是增加新注册企业印章刻制费用；其他支出无增减变化。</w:t>
      </w:r>
    </w:p>
    <w:p>
      <w:pPr>
        <w:spacing w:before="10" w:after="10" w:line="360" w:lineRule="auto"/>
        <w:ind w:firstLine="640"/>
        <w:outlineLvl w:val="2"/>
      </w:pPr>
      <w:bookmarkStart w:id="11" w:name="_Toc23196"/>
      <w:r>
        <w:rPr>
          <w:rFonts w:ascii="黑体" w:hAnsi="黑体" w:eastAsia="黑体" w:cs="黑体"/>
          <w:color w:val="000000"/>
          <w:sz w:val="32"/>
        </w:rPr>
        <w:t>三、机关运行经费安排情况</w:t>
      </w:r>
      <w:bookmarkEnd w:id="11"/>
    </w:p>
    <w:p>
      <w:pPr>
        <w:pStyle w:val="21"/>
      </w:pPr>
      <w:r>
        <w:t>2023年，我部门机关运行经费共计安排57.5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14834"/>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2023年，我部门财政拨款“三公”经费预算安排3万元，其中：因公出国（境）费0元；公务用车购置及运维费3万元（其中：公务用车购置费0万元，公务用车运行费3万元)；公务接待费0万元，与202</w:t>
      </w:r>
      <w:r>
        <w:rPr>
          <w:rFonts w:hint="eastAsia"/>
          <w:lang w:val="en-US" w:eastAsia="zh-CN"/>
        </w:rPr>
        <w:t>2</w:t>
      </w:r>
      <w:r>
        <w:t>年相比持平</w:t>
      </w:r>
      <w:r>
        <w:rPr>
          <w:rFonts w:hint="eastAsia"/>
          <w:lang w:eastAsia="zh-CN"/>
        </w:rPr>
        <w:t>，</w:t>
      </w:r>
      <w:r>
        <w:rPr>
          <w:rFonts w:hint="eastAsia"/>
          <w:lang w:val="en-US" w:eastAsia="zh-CN"/>
        </w:rPr>
        <w:t>能保证部门正常运行，</w:t>
      </w:r>
      <w:r>
        <w:t>无增减</w:t>
      </w:r>
      <w:r>
        <w:rPr>
          <w:rFonts w:hint="eastAsia"/>
          <w:lang w:val="en-US" w:eastAsia="zh-CN"/>
        </w:rPr>
        <w:t xml:space="preserve"> </w:t>
      </w:r>
      <w:r>
        <w:t>。</w:t>
      </w:r>
    </w:p>
    <w:p>
      <w:pPr>
        <w:pStyle w:val="22"/>
      </w:pPr>
    </w:p>
    <w:p>
      <w:pPr>
        <w:pStyle w:val="22"/>
      </w:pPr>
    </w:p>
    <w:p>
      <w:pPr>
        <w:spacing w:before="10" w:after="10" w:line="360" w:lineRule="auto"/>
        <w:ind w:firstLine="640"/>
        <w:outlineLvl w:val="2"/>
      </w:pPr>
      <w:bookmarkStart w:id="13" w:name="_Toc325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3"/>
      </w:pPr>
      <w:r>
        <w:rPr>
          <w:rFonts w:hint="eastAsia"/>
          <w:lang w:eastAsia="zh-CN"/>
        </w:rPr>
        <w:t xml:space="preserve"> </w:t>
      </w:r>
      <w:r>
        <w:t>按照“一门受理、转告相关、互联审批、统一收费、限时办结、集中管理、分业行政、效能监督”的服务模式，努力打造成为县委、县政府便民利民的平台，依法行政的抓手，密切党群干群关系的载体，努力打造“高效无极”服务窗口。</w:t>
      </w:r>
    </w:p>
    <w:p>
      <w:pPr>
        <w:pStyle w:val="23"/>
      </w:pPr>
      <w:r>
        <w:t>对行政审批、政务服务行为进行监督检查，对窗口工作人员进行日常管理、教育培训和检查考核；规范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务平台规范化、标准化、集约化建设，实现政务数据、公共数据的互联互通，为提升政府治理水平、促进保障和改善民生提供数据资源保障服务。</w:t>
      </w:r>
    </w:p>
    <w:p>
      <w:pPr>
        <w:pStyle w:val="23"/>
      </w:pPr>
      <w:r>
        <w:t>致力于深化行政审批制度改革，不断推出创新举措，努力提升政务服务质量，着力营造良好的营商环境，使人民群众满意度和获得感不断提升。</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4"/>
      </w:pPr>
      <w:r>
        <w:rPr>
          <w:rFonts w:hint="eastAsia"/>
          <w:lang w:val="en-US" w:eastAsia="zh-CN"/>
        </w:rPr>
        <w:t xml:space="preserve"> </w:t>
      </w:r>
      <w:r>
        <w:t>为群众提供一个功能齐全、行为规范、工作透明、廉洁高效和政务服务平台，不断提高办事质量，办事效率；为群众提供更加快捷高效的一站式服务，让办事群众只进一扇门，办齐所有事。</w:t>
      </w:r>
    </w:p>
    <w:p>
      <w:pPr>
        <w:pStyle w:val="24"/>
      </w:pPr>
      <w:r>
        <w:t>（一）审批、服务事项受理</w:t>
      </w:r>
    </w:p>
    <w:p>
      <w:pPr>
        <w:pStyle w:val="24"/>
      </w:pPr>
      <w:r>
        <w:t>绩效目标：受理企业和群众申请办理的各类批准、核准、备案等服务事项。</w:t>
      </w:r>
    </w:p>
    <w:p>
      <w:pPr>
        <w:pStyle w:val="24"/>
      </w:pPr>
      <w:r>
        <w:t>绩效指标：规范完善行政审批工作，创造宽松的经济发展环境，打造高效、公正的服务平台，提高行政效能。</w:t>
      </w:r>
    </w:p>
    <w:p>
      <w:pPr>
        <w:pStyle w:val="24"/>
      </w:pPr>
      <w:r>
        <w:t>（二）信息化工作</w:t>
      </w:r>
    </w:p>
    <w:p>
      <w:pPr>
        <w:pStyle w:val="24"/>
      </w:pPr>
      <w:r>
        <w:t>绩效目标：推行网上审批自动化和办公自动化。</w:t>
      </w:r>
    </w:p>
    <w:p>
      <w:pPr>
        <w:pStyle w:val="24"/>
      </w:pPr>
      <w:r>
        <w:t>绩效指标：中心网络的维护管理和技术指导，操作系统、安全系统的日常检测、维护及数据更新和网络建设。</w:t>
      </w:r>
    </w:p>
    <w:p>
      <w:pPr>
        <w:pStyle w:val="24"/>
      </w:pPr>
      <w:r>
        <w:t>（三）驻派人员的管理与考核</w:t>
      </w:r>
    </w:p>
    <w:p>
      <w:pPr>
        <w:pStyle w:val="24"/>
      </w:pPr>
      <w:r>
        <w:t>绩效目标：对县政府有关单位驻派人员的考核与管理。</w:t>
      </w:r>
    </w:p>
    <w:p>
      <w:pPr>
        <w:pStyle w:val="24"/>
      </w:pPr>
      <w:r>
        <w:t>绩效指标：对县政府有关单位驻派人员的考核与管理，管理有制度、考核有依据。</w:t>
      </w:r>
    </w:p>
    <w:p>
      <w:pPr>
        <w:pStyle w:val="24"/>
      </w:pPr>
      <w:r>
        <w:t>（四）中心综合事务和我县政府交办的其他事宜</w:t>
      </w:r>
    </w:p>
    <w:p>
      <w:pPr>
        <w:pStyle w:val="24"/>
      </w:pPr>
      <w:r>
        <w:t>绩效目标：中心设备与人员正常运转的水电保障和办理县政府交办的其他事宜。</w:t>
      </w:r>
    </w:p>
    <w:p>
      <w:pPr>
        <w:pStyle w:val="24"/>
      </w:pPr>
      <w:r>
        <w:t>绩效指标：中心的办公环境、办公设备以及生活设施进行维护和修缮，保障中心功能以及基本设施正常运转。</w:t>
      </w:r>
    </w:p>
    <w:p>
      <w:pPr>
        <w:pStyle w:val="24"/>
      </w:pPr>
      <w:r>
        <w:t>（五）公共资源交易监督管理工作</w:t>
      </w:r>
    </w:p>
    <w:p>
      <w:pPr>
        <w:pStyle w:val="24"/>
      </w:pPr>
      <w:r>
        <w:t>绩效目标：拟定全县公共资源交易管理制度和规则并组织实施，建设公共资源交易电子平台，推进公共资源交易领域信用体系建设。</w:t>
      </w:r>
    </w:p>
    <w:p>
      <w:pPr>
        <w:pStyle w:val="24"/>
      </w:pPr>
      <w:r>
        <w:t>绩效指标：监督公共资源交易项目进场交易，并对场内交易活动进行监督，协调开展公共资源交易活动的联动执法。</w:t>
      </w:r>
    </w:p>
    <w:p>
      <w:pPr>
        <w:pStyle w:val="24"/>
      </w:pPr>
      <w:r>
        <w:t>（六）政务服务管理工作</w:t>
      </w:r>
    </w:p>
    <w:p>
      <w:pPr>
        <w:pStyle w:val="24"/>
      </w:pPr>
      <w:r>
        <w:t>绩效目标：贯彻落实县</w:t>
      </w:r>
      <w:r>
        <w:rPr>
          <w:rFonts w:hint="eastAsia"/>
          <w:lang w:val="en-US" w:eastAsia="zh-CN"/>
        </w:rPr>
        <w:t>政府</w:t>
      </w:r>
      <w:r>
        <w:t>关于政务服务管理工作的方针政策和决策部署，坚持和加强党对政务服务管理工作的集中统一领导。</w:t>
      </w:r>
    </w:p>
    <w:p>
      <w:pPr>
        <w:pStyle w:val="24"/>
      </w:pPr>
      <w:r>
        <w:t>绩效指标：全县政务服务体系建设，推动政务服务事项网上办理，协调推进政务服务同一事项、统一编码、统一网上技术规范；推进审批服务便民化；提供规范、高效、优质的政务服务。</w:t>
      </w:r>
    </w:p>
    <w:p>
      <w:pPr>
        <w:spacing w:line="500" w:lineRule="exact"/>
        <w:ind w:firstLine="560"/>
      </w:pPr>
      <w:r>
        <w:rPr>
          <w:rFonts w:hint="eastAsia" w:eastAsia="方正仿宋_GBK" w:cs="Times New Roman"/>
          <w:color w:val="000000"/>
          <w:sz w:val="28"/>
          <w:lang w:eastAsia="zh-CN"/>
        </w:rPr>
        <w:t>三、</w:t>
      </w:r>
      <w:r>
        <w:rPr>
          <w:rFonts w:eastAsia="方正仿宋_GBK" w:cs="Times New Roman"/>
          <w:color w:val="000000"/>
          <w:sz w:val="28"/>
        </w:rPr>
        <w:t>工作保障措施</w:t>
      </w:r>
    </w:p>
    <w:p>
      <w:pPr>
        <w:pStyle w:val="25"/>
      </w:pPr>
      <w:r>
        <w:rPr>
          <w:rFonts w:hint="eastAsia"/>
          <w:lang w:eastAsia="zh-CN"/>
        </w:rPr>
        <w:t xml:space="preserve"> （</w:t>
      </w:r>
      <w:r>
        <w:t>一）完善制度建设：加强机关制度建设，切实做部门预算资金的使用、管理、监督等工作，确保不发生违法、违规、违纪等现象。</w:t>
      </w:r>
    </w:p>
    <w:p>
      <w:pPr>
        <w:pStyle w:val="25"/>
      </w:pPr>
      <w:r>
        <w:t>（二）加强支出管理：坚持从发展大局出发，进一步优化支出结构，在预算执行中坚持统筹兼顾，严控一般性支出，加大项目支出清理整合力度，提高预算执行效率。</w:t>
      </w:r>
    </w:p>
    <w:p>
      <w:pPr>
        <w:pStyle w:val="25"/>
      </w:pPr>
      <w:r>
        <w:t>（三）加强绩效运行监控：建立健全支出绩效管理机制，按照要求开展绩效运行监控，发现问题及时采取措施，确保绩效目标如期保质实现。</w:t>
      </w:r>
    </w:p>
    <w:p>
      <w:pPr>
        <w:pStyle w:val="25"/>
      </w:pPr>
      <w:r>
        <w:t>（四）做好绩效自评：按要求开展上年度部门预算绩效自评和重大评价工作，对评价中发现的问题及时整改，调整优化支出结构，提高财政资金使用效益。</w:t>
      </w:r>
    </w:p>
    <w:p>
      <w:pPr>
        <w:pStyle w:val="25"/>
      </w:pPr>
      <w:r>
        <w:t>（五）规范财务资产管理：完善机关财务管理制度，严格审批程序，加强固定资产登记、使用和报废处置管理，做到支出合理，物尽其用。</w:t>
      </w:r>
    </w:p>
    <w:p>
      <w:pPr>
        <w:pStyle w:val="25"/>
      </w:pPr>
      <w:r>
        <w:t>（六）加强内部监督：强化监督管理，提高资金使用效益。加强机关内部监督制度建设，对绩效运行情况、重大支出决策、资产处置及其他重要经济业务事项的决策和执行进行监督，对会计资料定期进行内部审计，并配合做好审计、财政监督等外部监督工作，确保财政资金安全有效。</w:t>
      </w:r>
    </w:p>
    <w:p>
      <w:pPr>
        <w:pStyle w:val="25"/>
      </w:pPr>
      <w:r>
        <w:t>（七）加强宣传培训调研：积极开展财经法律法规的宣传教育，提高本单位员工的业务素质，加大宣传力度，强化预算绩效管理意识，促进预算绩效管理水平进一步提升。</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560" w:firstLineChars="200"/>
        <w:rPr>
          <w:rFonts w:eastAsia="方正仿宋_GBK" w:cs="Times New Roman"/>
          <w:sz w:val="28"/>
        </w:rPr>
      </w:pPr>
      <w:r>
        <w:rPr>
          <w:rFonts w:hint="eastAsia" w:eastAsia="方正仿宋_GBK" w:cs="Times New Roman"/>
          <w:sz w:val="28"/>
        </w:rPr>
        <w:t>无</w:t>
      </w:r>
    </w:p>
    <w:p>
      <w:p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bookmarkStart w:id="14" w:name="_Toc17479"/>
      <w:r>
        <w:rPr>
          <w:rFonts w:ascii="方正仿宋_GBK" w:hAnsi="方正仿宋_GBK" w:eastAsia="方正仿宋_GBK" w:cs="方正仿宋_GBK"/>
          <w:b/>
          <w:color w:val="000000"/>
          <w:sz w:val="28"/>
        </w:rPr>
        <w:t>1、2023保安工资绩效目标表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执行公开率(%)</w:t>
            </w:r>
          </w:p>
        </w:tc>
        <w:tc>
          <w:tcPr>
            <w:tcW w:w="2268" w:type="dxa"/>
            <w:vAlign w:val="center"/>
          </w:tcPr>
          <w:p>
            <w:pPr>
              <w:pStyle w:val="14"/>
            </w:pPr>
            <w:r>
              <w:t>执行公开情况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项目按期结项率（%）</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完成工作任务及时性</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经济效益增长率</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对地区经济的贡献</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反映使用数据采集终端减少纸质表的填报工作情况</w:t>
            </w:r>
          </w:p>
          <w:p>
            <w:pPr>
              <w:pStyle w:val="14"/>
            </w:pP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项目持续发挥作用期限</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服务对象满意比例</w:t>
            </w:r>
          </w:p>
        </w:tc>
        <w:tc>
          <w:tcPr>
            <w:tcW w:w="2835" w:type="dxa"/>
            <w:vAlign w:val="center"/>
          </w:tcPr>
          <w:p>
            <w:pPr>
              <w:pStyle w:val="14"/>
            </w:pPr>
            <w:r>
              <w:t>服务对象满意比例</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2、2023各审批事项技术评估专家评审费绩效目标表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按时支付论证评审等费用</w:t>
            </w:r>
          </w:p>
        </w:tc>
        <w:tc>
          <w:tcPr>
            <w:tcW w:w="2835" w:type="dxa"/>
            <w:vAlign w:val="center"/>
          </w:tcPr>
          <w:p>
            <w:pPr>
              <w:pStyle w:val="14"/>
            </w:pPr>
            <w:r>
              <w:t>按时支付论证评审等费用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&gt;1次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3、2023公共资源交易中心水费电费及卫生保洁经费绩效目标表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按时支付电脑维修维护等日常费用</w:t>
            </w:r>
          </w:p>
        </w:tc>
        <w:tc>
          <w:tcPr>
            <w:tcW w:w="2835" w:type="dxa"/>
            <w:vAlign w:val="center"/>
          </w:tcPr>
          <w:p>
            <w:pPr>
              <w:pStyle w:val="14"/>
            </w:pPr>
            <w:r>
              <w:t>支付电脑维修维护等日常费用是否及时</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4、2023全局及大厅电脑网络维修维护费绩效目标表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按时支付电脑维修维护等日常费用</w:t>
            </w:r>
          </w:p>
        </w:tc>
        <w:tc>
          <w:tcPr>
            <w:tcW w:w="2835" w:type="dxa"/>
            <w:vAlign w:val="center"/>
          </w:tcPr>
          <w:p>
            <w:pPr>
              <w:pStyle w:val="14"/>
            </w:pPr>
            <w:r>
              <w:t>支付电脑维修维护等日常费用是否及时</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5、2023审批局（政务办）大厅运行费绩效目标表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按时支付水电暖等日常费用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机关运行质量</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完成日常工作</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不超出各项目预算数</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满足正常办公需求</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保障机关单位正常运转</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无纸化办公节约率</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保证单位正常运转</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使用人员满意度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6、2023新注册企业印章刻制费用资金绩效目标表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采购率（%）</w:t>
            </w:r>
          </w:p>
        </w:tc>
        <w:tc>
          <w:tcPr>
            <w:tcW w:w="2835" w:type="dxa"/>
            <w:vAlign w:val="center"/>
          </w:tcPr>
          <w:p>
            <w:pPr>
              <w:pStyle w:val="14"/>
            </w:pPr>
            <w:r>
              <w:t>采购率（%）</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7、2023专线费用绩效目标表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按时支付论证评审等费用</w:t>
            </w:r>
          </w:p>
        </w:tc>
        <w:tc>
          <w:tcPr>
            <w:tcW w:w="2835" w:type="dxa"/>
            <w:vAlign w:val="center"/>
          </w:tcPr>
          <w:p>
            <w:pPr>
              <w:pStyle w:val="14"/>
            </w:pPr>
            <w:r>
              <w:t>按时支付论证评审等费用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被上级部门批评次数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2023年，无极县行政审批局安排政府采购预算0.00万元。具体内容见下表。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431无极县行政审批局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tabs>
                <w:tab w:val="left" w:pos="243"/>
              </w:tabs>
              <w:jc w:val="left"/>
              <w:rPr>
                <w:lang w:eastAsia="zh-CN"/>
              </w:rPr>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15883"/>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无极县行政审批局（含所属单位）上年末固定资产金额为117.20万元（详见下表）。本年度拟购置固定资产总额为0.00万元</w:t>
      </w:r>
      <w:r>
        <w:rPr>
          <w:rFonts w:hint="eastAsia" w:eastAsia="方正仿宋_GBK" w:cs="Times New Roman"/>
          <w:color w:val="000000"/>
          <w:sz w:val="28"/>
          <w:lang w:val="en-US" w:eastAsia="zh-CN"/>
        </w:rPr>
        <w:t xml:space="preserve"> </w:t>
      </w:r>
      <w:r>
        <w:rPr>
          <w:rFonts w:eastAsia="方正仿宋_GBK" w:cs="Times New Roman"/>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431无极县行政审批局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1592</w:t>
            </w:r>
          </w:p>
        </w:tc>
        <w:tc>
          <w:tcPr>
            <w:tcW w:w="2835" w:type="dxa"/>
            <w:vAlign w:val="center"/>
          </w:tcPr>
          <w:p>
            <w:pPr>
              <w:pStyle w:val="13"/>
            </w:pPr>
            <w:r>
              <w:t>122.55</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7995"/>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20133"/>
      <w:r>
        <w:rPr>
          <w:rFonts w:ascii="黑体" w:hAnsi="黑体" w:eastAsia="黑体" w:cs="黑体"/>
          <w:color w:val="000000"/>
          <w:sz w:val="32"/>
        </w:rPr>
        <w:t>九、其他需要说明的事项</w:t>
      </w:r>
      <w:bookmarkEnd w:id="17"/>
    </w:p>
    <w:p>
      <w:pPr>
        <w:spacing w:line="500" w:lineRule="exact"/>
        <w:ind w:firstLine="560"/>
        <w:rPr>
          <w:lang w:eastAsia="zh-CN"/>
        </w:rPr>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zNTkxMDYyN2RkOWRjMzRmMjM2ODEyYjYzODMzNWUifQ=="/>
  </w:docVars>
  <w:rsids>
    <w:rsidRoot w:val="006F3CDB"/>
    <w:rsid w:val="00080849"/>
    <w:rsid w:val="00247EAA"/>
    <w:rsid w:val="002B1353"/>
    <w:rsid w:val="00396461"/>
    <w:rsid w:val="004C2A2D"/>
    <w:rsid w:val="00663D71"/>
    <w:rsid w:val="006E0D39"/>
    <w:rsid w:val="006F3CDB"/>
    <w:rsid w:val="00986DC9"/>
    <w:rsid w:val="009B67CE"/>
    <w:rsid w:val="00B00584"/>
    <w:rsid w:val="00CD6E16"/>
    <w:rsid w:val="0F3C26D1"/>
    <w:rsid w:val="177F07C8"/>
    <w:rsid w:val="1DF54FEB"/>
    <w:rsid w:val="2D853388"/>
    <w:rsid w:val="2ECD09D2"/>
    <w:rsid w:val="3525429E"/>
    <w:rsid w:val="3647334E"/>
    <w:rsid w:val="37692F70"/>
    <w:rsid w:val="391A169B"/>
    <w:rsid w:val="39CA1394"/>
    <w:rsid w:val="47EF7803"/>
    <w:rsid w:val="535D4D17"/>
    <w:rsid w:val="54146970"/>
    <w:rsid w:val="64921A19"/>
    <w:rsid w:val="667663A3"/>
    <w:rsid w:val="669F53D4"/>
    <w:rsid w:val="72FA1BF7"/>
    <w:rsid w:val="7A626DEA"/>
    <w:rsid w:val="7AE725D4"/>
    <w:rsid w:val="7C1C1FA3"/>
    <w:rsid w:val="7D3B23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2023-05-15T14:25:43Z</dcterms:created>
  <dcterms:modified xsi:type="dcterms:W3CDTF">2023-05-15T06:25:43Z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2023-05-15T14:25:41Z</dcterms:created>
  <dcterms:modified xsi:type="dcterms:W3CDTF">2023-05-15T06:25:40Z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2023-05-15T14:25:43Z</dcterms:created>
  <dcterms:modified xsi:type="dcterms:W3CDTF">2023-05-15T06:25:43Z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2023-05-15T14:25:35Z</dcterms:created>
  <dcterms:modified xsi:type="dcterms:W3CDTF">2023-05-15T06:25:35Z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0E539B5-0631-4ABF-B28E-5220395F364E}">
  <ds:schemaRefs/>
</ds:datastoreItem>
</file>

<file path=customXml/itemProps10.xml><?xml version="1.0" encoding="utf-8"?>
<ds:datastoreItem xmlns:ds="http://schemas.openxmlformats.org/officeDocument/2006/customXml" ds:itemID="{9B8D8F3E-6D8E-4FD2-94D3-FC45D954B2C8}">
  <ds:schemaRefs/>
</ds:datastoreItem>
</file>

<file path=customXml/itemProps11.xml><?xml version="1.0" encoding="utf-8"?>
<ds:datastoreItem xmlns:ds="http://schemas.openxmlformats.org/officeDocument/2006/customXml" ds:itemID="{BE69F38C-D77D-4F51-8FE1-7E023989B150}">
  <ds:schemaRefs/>
</ds:datastoreItem>
</file>

<file path=customXml/itemProps12.xml><?xml version="1.0" encoding="utf-8"?>
<ds:datastoreItem xmlns:ds="http://schemas.openxmlformats.org/officeDocument/2006/customXml" ds:itemID="{A9CD4D86-9701-4504-95C7-3C0E0FE0C75F}">
  <ds:schemaRefs/>
</ds:datastoreItem>
</file>

<file path=customXml/itemProps13.xml><?xml version="1.0" encoding="utf-8"?>
<ds:datastoreItem xmlns:ds="http://schemas.openxmlformats.org/officeDocument/2006/customXml" ds:itemID="{1C41B4F3-7E22-4741-B575-887176BF9177}">
  <ds:schemaRefs/>
</ds:datastoreItem>
</file>

<file path=customXml/itemProps14.xml><?xml version="1.0" encoding="utf-8"?>
<ds:datastoreItem xmlns:ds="http://schemas.openxmlformats.org/officeDocument/2006/customXml" ds:itemID="{421B364B-A600-4AD1-A620-5E567B4BA5D5}">
  <ds:schemaRefs/>
</ds:datastoreItem>
</file>

<file path=customXml/itemProps15.xml><?xml version="1.0" encoding="utf-8"?>
<ds:datastoreItem xmlns:ds="http://schemas.openxmlformats.org/officeDocument/2006/customXml" ds:itemID="{321DB73E-B319-4767-8853-D4F2E98C272D}">
  <ds:schemaRefs/>
</ds:datastoreItem>
</file>

<file path=customXml/itemProps16.xml><?xml version="1.0" encoding="utf-8"?>
<ds:datastoreItem xmlns:ds="http://schemas.openxmlformats.org/officeDocument/2006/customXml" ds:itemID="{1AC2B96B-EB9F-4935-851F-3B35660AF479}">
  <ds:schemaRefs/>
</ds:datastoreItem>
</file>

<file path=customXml/itemProps17.xml><?xml version="1.0" encoding="utf-8"?>
<ds:datastoreItem xmlns:ds="http://schemas.openxmlformats.org/officeDocument/2006/customXml" ds:itemID="{04C4336F-3C49-41D3-B850-92A4A55DB907}">
  <ds:schemaRefs/>
</ds:datastoreItem>
</file>

<file path=customXml/itemProps18.xml><?xml version="1.0" encoding="utf-8"?>
<ds:datastoreItem xmlns:ds="http://schemas.openxmlformats.org/officeDocument/2006/customXml" ds:itemID="{E83FCCB1-E167-4A79-B86D-A776640C80A7}">
  <ds:schemaRefs/>
</ds:datastoreItem>
</file>

<file path=customXml/itemProps19.xml><?xml version="1.0" encoding="utf-8"?>
<ds:datastoreItem xmlns:ds="http://schemas.openxmlformats.org/officeDocument/2006/customXml" ds:itemID="{B20AD4BE-5C13-498B-A6F8-99DE025B5047}">
  <ds:schemaRefs/>
</ds:datastoreItem>
</file>

<file path=customXml/itemProps2.xml><?xml version="1.0" encoding="utf-8"?>
<ds:datastoreItem xmlns:ds="http://schemas.openxmlformats.org/officeDocument/2006/customXml" ds:itemID="{4231D990-7C62-4C79-8F18-BAB806A42150}">
  <ds:schemaRefs/>
</ds:datastoreItem>
</file>

<file path=customXml/itemProps20.xml><?xml version="1.0" encoding="utf-8"?>
<ds:datastoreItem xmlns:ds="http://schemas.openxmlformats.org/officeDocument/2006/customXml" ds:itemID="{9CD4C7BD-27DC-44B8-ABF8-EFBE0FB4EC9E}">
  <ds:schemaRefs/>
</ds:datastoreItem>
</file>

<file path=customXml/itemProps21.xml><?xml version="1.0" encoding="utf-8"?>
<ds:datastoreItem xmlns:ds="http://schemas.openxmlformats.org/officeDocument/2006/customXml" ds:itemID="{5D71BAC5-F147-4D11-8CA3-24053385BD89}">
  <ds:schemaRefs/>
</ds:datastoreItem>
</file>

<file path=customXml/itemProps22.xml><?xml version="1.0" encoding="utf-8"?>
<ds:datastoreItem xmlns:ds="http://schemas.openxmlformats.org/officeDocument/2006/customXml" ds:itemID="{BFAB708C-A29D-4168-B4B1-ED139A7A6531}">
  <ds:schemaRefs/>
</ds:datastoreItem>
</file>

<file path=customXml/itemProps23.xml><?xml version="1.0" encoding="utf-8"?>
<ds:datastoreItem xmlns:ds="http://schemas.openxmlformats.org/officeDocument/2006/customXml" ds:itemID="{02A0813F-8BEB-438A-8840-33F20DD5DB3D}">
  <ds:schemaRefs/>
</ds:datastoreItem>
</file>

<file path=customXml/itemProps24.xml><?xml version="1.0" encoding="utf-8"?>
<ds:datastoreItem xmlns:ds="http://schemas.openxmlformats.org/officeDocument/2006/customXml" ds:itemID="{7AFE196A-FAF6-4DFD-A143-E4F75E4137A3}">
  <ds:schemaRefs/>
</ds:datastoreItem>
</file>

<file path=customXml/itemProps25.xml><?xml version="1.0" encoding="utf-8"?>
<ds:datastoreItem xmlns:ds="http://schemas.openxmlformats.org/officeDocument/2006/customXml" ds:itemID="{04BFC4F7-AF19-4F6B-812E-44E5BE9536FB}">
  <ds:schemaRefs/>
</ds:datastoreItem>
</file>

<file path=customXml/itemProps26.xml><?xml version="1.0" encoding="utf-8"?>
<ds:datastoreItem xmlns:ds="http://schemas.openxmlformats.org/officeDocument/2006/customXml" ds:itemID="{160C470C-66FB-4838-8A4A-70677FAF490D}">
  <ds:schemaRefs/>
</ds:datastoreItem>
</file>

<file path=customXml/itemProps27.xml><?xml version="1.0" encoding="utf-8"?>
<ds:datastoreItem xmlns:ds="http://schemas.openxmlformats.org/officeDocument/2006/customXml" ds:itemID="{0423C1A4-81BF-4960-9D1F-03E19EB0FA05}">
  <ds:schemaRefs/>
</ds:datastoreItem>
</file>

<file path=customXml/itemProps28.xml><?xml version="1.0" encoding="utf-8"?>
<ds:datastoreItem xmlns:ds="http://schemas.openxmlformats.org/officeDocument/2006/customXml" ds:itemID="{93BA53CC-FD0A-4D3B-A8F3-CEA0A01565CA}">
  <ds:schemaRefs/>
</ds:datastoreItem>
</file>

<file path=customXml/itemProps29.xml><?xml version="1.0" encoding="utf-8"?>
<ds:datastoreItem xmlns:ds="http://schemas.openxmlformats.org/officeDocument/2006/customXml" ds:itemID="{16928928-13B7-4C9D-B0EE-D43ADAD243F7}">
  <ds:schemaRefs/>
</ds:datastoreItem>
</file>

<file path=customXml/itemProps3.xml><?xml version="1.0" encoding="utf-8"?>
<ds:datastoreItem xmlns:ds="http://schemas.openxmlformats.org/officeDocument/2006/customXml" ds:itemID="{A3D69311-5BBE-48F2-9348-F0BF219FA586}">
  <ds:schemaRefs/>
</ds:datastoreItem>
</file>

<file path=customXml/itemProps30.xml><?xml version="1.0" encoding="utf-8"?>
<ds:datastoreItem xmlns:ds="http://schemas.openxmlformats.org/officeDocument/2006/customXml" ds:itemID="{15BF154C-6089-47A9-BAEB-289C65AE67ED}">
  <ds:schemaRefs/>
</ds:datastoreItem>
</file>

<file path=customXml/itemProps31.xml><?xml version="1.0" encoding="utf-8"?>
<ds:datastoreItem xmlns:ds="http://schemas.openxmlformats.org/officeDocument/2006/customXml" ds:itemID="{B0E8B3B0-BFA7-4505-A845-FD0937E87BCD}">
  <ds:schemaRefs/>
</ds:datastoreItem>
</file>

<file path=customXml/itemProps32.xml><?xml version="1.0" encoding="utf-8"?>
<ds:datastoreItem xmlns:ds="http://schemas.openxmlformats.org/officeDocument/2006/customXml" ds:itemID="{64F056A2-8FDA-47C1-BAB8-4856DFD27875}">
  <ds:schemaRefs/>
</ds:datastoreItem>
</file>

<file path=customXml/itemProps33.xml><?xml version="1.0" encoding="utf-8"?>
<ds:datastoreItem xmlns:ds="http://schemas.openxmlformats.org/officeDocument/2006/customXml" ds:itemID="{FE3A241C-71D1-44E8-8661-257276FEB7ED}">
  <ds:schemaRefs/>
</ds:datastoreItem>
</file>

<file path=customXml/itemProps34.xml><?xml version="1.0" encoding="utf-8"?>
<ds:datastoreItem xmlns:ds="http://schemas.openxmlformats.org/officeDocument/2006/customXml" ds:itemID="{A45758B1-DE3F-4CE9-952D-A28BDE0D2133}">
  <ds:schemaRefs/>
</ds:datastoreItem>
</file>

<file path=customXml/itemProps35.xml><?xml version="1.0" encoding="utf-8"?>
<ds:datastoreItem xmlns:ds="http://schemas.openxmlformats.org/officeDocument/2006/customXml" ds:itemID="{0EA4FE3E-1E65-41B7-9B94-272657CA33F9}">
  <ds:schemaRefs/>
</ds:datastoreItem>
</file>

<file path=customXml/itemProps36.xml><?xml version="1.0" encoding="utf-8"?>
<ds:datastoreItem xmlns:ds="http://schemas.openxmlformats.org/officeDocument/2006/customXml" ds:itemID="{D3984FC9-5EBA-44D3-A949-558FC1DBCF24}">
  <ds:schemaRefs/>
</ds:datastoreItem>
</file>

<file path=customXml/itemProps37.xml><?xml version="1.0" encoding="utf-8"?>
<ds:datastoreItem xmlns:ds="http://schemas.openxmlformats.org/officeDocument/2006/customXml" ds:itemID="{A47FFBE2-0D7B-44E3-A9B0-8F2A9F343CBA}">
  <ds:schemaRefs/>
</ds:datastoreItem>
</file>

<file path=customXml/itemProps38.xml><?xml version="1.0" encoding="utf-8"?>
<ds:datastoreItem xmlns:ds="http://schemas.openxmlformats.org/officeDocument/2006/customXml" ds:itemID="{7BCBFD29-D0BE-4DD8-9DBB-5754F222D9F9}">
  <ds:schemaRefs/>
</ds:datastoreItem>
</file>

<file path=customXml/itemProps4.xml><?xml version="1.0" encoding="utf-8"?>
<ds:datastoreItem xmlns:ds="http://schemas.openxmlformats.org/officeDocument/2006/customXml" ds:itemID="{39899DB2-67E3-4907-A0A7-4280DCEB4D4F}">
  <ds:schemaRefs/>
</ds:datastoreItem>
</file>

<file path=customXml/itemProps5.xml><?xml version="1.0" encoding="utf-8"?>
<ds:datastoreItem xmlns:ds="http://schemas.openxmlformats.org/officeDocument/2006/customXml" ds:itemID="{BB7804DE-D9B3-4707-AD2D-2EADF3B868FB}">
  <ds:schemaRefs/>
</ds:datastoreItem>
</file>

<file path=customXml/itemProps6.xml><?xml version="1.0" encoding="utf-8"?>
<ds:datastoreItem xmlns:ds="http://schemas.openxmlformats.org/officeDocument/2006/customXml" ds:itemID="{22F69AC2-837A-45DB-8C0A-13FC49E90CBD}">
  <ds:schemaRefs/>
</ds:datastoreItem>
</file>

<file path=customXml/itemProps7.xml><?xml version="1.0" encoding="utf-8"?>
<ds:datastoreItem xmlns:ds="http://schemas.openxmlformats.org/officeDocument/2006/customXml" ds:itemID="{5D767B2C-BE11-497E-B756-147A067B6486}">
  <ds:schemaRefs/>
</ds:datastoreItem>
</file>

<file path=customXml/itemProps8.xml><?xml version="1.0" encoding="utf-8"?>
<ds:datastoreItem xmlns:ds="http://schemas.openxmlformats.org/officeDocument/2006/customXml" ds:itemID="{8436D6AD-359E-40F2-929C-5CAC2CAE8C0B}">
  <ds:schemaRefs/>
</ds:datastoreItem>
</file>

<file path=customXml/itemProps9.xml><?xml version="1.0" encoding="utf-8"?>
<ds:datastoreItem xmlns:ds="http://schemas.openxmlformats.org/officeDocument/2006/customXml" ds:itemID="{15BEDFC9-CCFA-45F8-9564-DF16A79B81D2}">
  <ds:schemaRefs/>
</ds:datastoreItem>
</file>

<file path=docProps/app.xml><?xml version="1.0" encoding="utf-8"?>
<Properties xmlns="http://schemas.openxmlformats.org/officeDocument/2006/extended-properties" xmlns:vt="http://schemas.openxmlformats.org/officeDocument/2006/docPropsVTypes">
  <Template>Normal.dotm</Template>
  <Pages>33</Pages>
  <Words>9970</Words>
  <Characters>11078</Characters>
  <Lines>101</Lines>
  <Paragraphs>28</Paragraphs>
  <TotalTime>10</TotalTime>
  <ScaleCrop>false</ScaleCrop>
  <LinksUpToDate>false</LinksUpToDate>
  <CharactersWithSpaces>11247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2023-08-01T03:24:00Z</dcterms:created>
  <dc:creator>Administrator</dc:creator>
  <cp:lastModifiedBy>浮生</cp:lastModifiedBy>
  <cp:lastPrinted>2023-07-24T01:52:00Z</cp:lastPrinted>
  <dcterms:modified xsi:type="dcterms:W3CDTF">2024-09-06T06:27:21Z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D812E32807624F20B99185A1C191F976</vt:lpwstr>
  </property>
</Properties>
</file>