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一、无极县工商业联合会本级收支预算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一、无极县工商业联合会本级收支预算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714001无极县工商业联合会本级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76.19</w:t>
            </w:r>
          </w:p>
        </w:tc>
        <w:tc>
          <w:tcPr>
            <w:tcW w:w="4535" w:type="dxa"/>
            <w:vAlign w:val="center"/>
          </w:tcPr>
          <w:p>
            <w:pPr>
              <w:pStyle w:val="12"/>
            </w:pPr>
            <w:r>
              <w:t>一、一般公共服务支出</w:t>
            </w:r>
          </w:p>
        </w:tc>
        <w:tc>
          <w:tcPr>
            <w:tcW w:w="2126" w:type="dxa"/>
            <w:vAlign w:val="center"/>
          </w:tcPr>
          <w:p>
            <w:pPr>
              <w:pStyle w:val="11"/>
            </w:pPr>
            <w:r>
              <w:t>68.19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76.19</w:t>
            </w:r>
          </w:p>
        </w:tc>
        <w:tc>
          <w:tcPr>
            <w:tcW w:w="4535" w:type="dxa"/>
            <w:vAlign w:val="center"/>
          </w:tcPr>
          <w:p>
            <w:pPr>
              <w:pStyle w:val="14"/>
            </w:pPr>
            <w:r>
              <w:t>本年支出合计</w:t>
            </w:r>
          </w:p>
        </w:tc>
        <w:tc>
          <w:tcPr>
            <w:tcW w:w="2126" w:type="dxa"/>
            <w:vAlign w:val="center"/>
          </w:tcPr>
          <w:p>
            <w:pPr>
              <w:pStyle w:val="15"/>
            </w:pPr>
            <w:r>
              <w:t>76.19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76.19</w:t>
            </w:r>
          </w:p>
        </w:tc>
        <w:tc>
          <w:tcPr>
            <w:tcW w:w="4535" w:type="dxa"/>
            <w:vAlign w:val="center"/>
          </w:tcPr>
          <w:p>
            <w:pPr>
              <w:pStyle w:val="14"/>
            </w:pPr>
            <w:r>
              <w:t>支出总计</w:t>
            </w:r>
          </w:p>
        </w:tc>
        <w:tc>
          <w:tcPr>
            <w:tcW w:w="2126" w:type="dxa"/>
            <w:vAlign w:val="center"/>
          </w:tcPr>
          <w:p>
            <w:pPr>
              <w:pStyle w:val="15"/>
            </w:pPr>
            <w:r>
              <w:t>76.19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714001无极县工商业联合会本级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76.19</w:t>
            </w:r>
          </w:p>
        </w:tc>
        <w:tc>
          <w:tcPr>
            <w:tcW w:w="1134" w:type="dxa"/>
            <w:vAlign w:val="center"/>
          </w:tcPr>
          <w:p>
            <w:pPr>
              <w:pStyle w:val="15"/>
            </w:pPr>
            <w:r>
              <w:t>76.19</w:t>
            </w:r>
          </w:p>
        </w:tc>
        <w:tc>
          <w:tcPr>
            <w:tcW w:w="1134" w:type="dxa"/>
            <w:vAlign w:val="center"/>
          </w:tcPr>
          <w:p>
            <w:pPr>
              <w:pStyle w:val="15"/>
            </w:pPr>
            <w:r>
              <w:t>76.19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76.19</w:t>
            </w:r>
          </w:p>
        </w:tc>
        <w:tc>
          <w:tcPr>
            <w:tcW w:w="1361" w:type="dxa"/>
            <w:vAlign w:val="center"/>
          </w:tcPr>
          <w:p>
            <w:pPr>
              <w:pStyle w:val="15"/>
            </w:pPr>
            <w:r>
              <w:t>76.19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68.19</w:t>
            </w:r>
          </w:p>
        </w:tc>
        <w:tc>
          <w:tcPr>
            <w:tcW w:w="1361" w:type="dxa"/>
            <w:vAlign w:val="center"/>
          </w:tcPr>
          <w:p>
            <w:pPr>
              <w:pStyle w:val="11"/>
            </w:pPr>
            <w:r>
              <w:t>68.19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68.19</w:t>
            </w:r>
          </w:p>
        </w:tc>
        <w:tc>
          <w:tcPr>
            <w:tcW w:w="1361" w:type="dxa"/>
            <w:vAlign w:val="center"/>
          </w:tcPr>
          <w:p>
            <w:pPr>
              <w:pStyle w:val="11"/>
            </w:pPr>
            <w:r>
              <w:t>68.19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1"/>
            </w:pPr>
            <w:r>
              <w:t>68.19</w:t>
            </w:r>
          </w:p>
        </w:tc>
        <w:tc>
          <w:tcPr>
            <w:tcW w:w="1361" w:type="dxa"/>
            <w:vAlign w:val="center"/>
          </w:tcPr>
          <w:p>
            <w:pPr>
              <w:pStyle w:val="11"/>
            </w:pPr>
            <w:r>
              <w:t>68.19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76.19</w:t>
            </w:r>
          </w:p>
        </w:tc>
        <w:tc>
          <w:tcPr>
            <w:tcW w:w="3402" w:type="dxa"/>
            <w:vAlign w:val="center"/>
          </w:tcPr>
          <w:p>
            <w:pPr>
              <w:pStyle w:val="12"/>
            </w:pPr>
            <w:r>
              <w:t>一、一般公共服务支出</w:t>
            </w:r>
          </w:p>
        </w:tc>
        <w:tc>
          <w:tcPr>
            <w:tcW w:w="1474" w:type="dxa"/>
            <w:vAlign w:val="center"/>
          </w:tcPr>
          <w:p>
            <w:pPr>
              <w:pStyle w:val="11"/>
            </w:pPr>
            <w:r>
              <w:t>68.19</w:t>
            </w:r>
          </w:p>
        </w:tc>
        <w:tc>
          <w:tcPr>
            <w:tcW w:w="1474" w:type="dxa"/>
            <w:vAlign w:val="center"/>
          </w:tcPr>
          <w:p>
            <w:pPr>
              <w:pStyle w:val="11"/>
            </w:pPr>
            <w:r>
              <w:t>68.19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5.20</w:t>
            </w:r>
          </w:p>
        </w:tc>
        <w:tc>
          <w:tcPr>
            <w:tcW w:w="1474" w:type="dxa"/>
            <w:vAlign w:val="center"/>
          </w:tcPr>
          <w:p>
            <w:pPr>
              <w:pStyle w:val="11"/>
            </w:pPr>
            <w:r>
              <w:t>5.20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w:t>
            </w:r>
          </w:p>
        </w:tc>
        <w:tc>
          <w:tcPr>
            <w:tcW w:w="1474" w:type="dxa"/>
            <w:vAlign w:val="center"/>
          </w:tcPr>
          <w:p>
            <w:pPr>
              <w:pStyle w:val="11"/>
            </w:pPr>
            <w:r>
              <w:t>2.80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76.19</w:t>
            </w:r>
          </w:p>
        </w:tc>
        <w:tc>
          <w:tcPr>
            <w:tcW w:w="3402" w:type="dxa"/>
            <w:vAlign w:val="center"/>
          </w:tcPr>
          <w:p>
            <w:pPr>
              <w:pStyle w:val="14"/>
            </w:pPr>
            <w:r>
              <w:t>本年支出合计</w:t>
            </w:r>
          </w:p>
        </w:tc>
        <w:tc>
          <w:tcPr>
            <w:tcW w:w="1474" w:type="dxa"/>
            <w:vAlign w:val="center"/>
          </w:tcPr>
          <w:p>
            <w:pPr>
              <w:pStyle w:val="15"/>
            </w:pPr>
            <w:r>
              <w:t>76.19</w:t>
            </w:r>
          </w:p>
        </w:tc>
        <w:tc>
          <w:tcPr>
            <w:tcW w:w="1474" w:type="dxa"/>
            <w:vAlign w:val="center"/>
          </w:tcPr>
          <w:p>
            <w:pPr>
              <w:pStyle w:val="15"/>
            </w:pPr>
            <w:r>
              <w:t>76.19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76.19</w:t>
            </w:r>
          </w:p>
        </w:tc>
        <w:tc>
          <w:tcPr>
            <w:tcW w:w="3402" w:type="dxa"/>
            <w:vAlign w:val="center"/>
          </w:tcPr>
          <w:p>
            <w:pPr>
              <w:pStyle w:val="14"/>
            </w:pPr>
            <w:r>
              <w:t>支出总计</w:t>
            </w:r>
          </w:p>
        </w:tc>
        <w:tc>
          <w:tcPr>
            <w:tcW w:w="1474" w:type="dxa"/>
            <w:vAlign w:val="center"/>
          </w:tcPr>
          <w:p>
            <w:pPr>
              <w:pStyle w:val="15"/>
            </w:pPr>
            <w:r>
              <w:t>76.19</w:t>
            </w:r>
          </w:p>
        </w:tc>
        <w:tc>
          <w:tcPr>
            <w:tcW w:w="1474" w:type="dxa"/>
            <w:vAlign w:val="center"/>
          </w:tcPr>
          <w:p>
            <w:pPr>
              <w:pStyle w:val="15"/>
            </w:pPr>
            <w:r>
              <w:t>76.19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76.19</w:t>
            </w:r>
          </w:p>
        </w:tc>
        <w:tc>
          <w:tcPr>
            <w:tcW w:w="2551" w:type="dxa"/>
            <w:vAlign w:val="center"/>
          </w:tcPr>
          <w:p>
            <w:pPr>
              <w:pStyle w:val="15"/>
            </w:pPr>
            <w:r>
              <w:t>76.19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68.19</w:t>
            </w:r>
          </w:p>
        </w:tc>
        <w:tc>
          <w:tcPr>
            <w:tcW w:w="2551" w:type="dxa"/>
            <w:vAlign w:val="center"/>
          </w:tcPr>
          <w:p>
            <w:pPr>
              <w:pStyle w:val="11"/>
            </w:pPr>
            <w:r>
              <w:t>68.19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68.19</w:t>
            </w:r>
          </w:p>
        </w:tc>
        <w:tc>
          <w:tcPr>
            <w:tcW w:w="2551" w:type="dxa"/>
            <w:vAlign w:val="center"/>
          </w:tcPr>
          <w:p>
            <w:pPr>
              <w:pStyle w:val="11"/>
            </w:pPr>
            <w:r>
              <w:t>68.19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68.19</w:t>
            </w:r>
          </w:p>
        </w:tc>
        <w:tc>
          <w:tcPr>
            <w:tcW w:w="2551" w:type="dxa"/>
            <w:vAlign w:val="center"/>
          </w:tcPr>
          <w:p>
            <w:pPr>
              <w:pStyle w:val="11"/>
            </w:pPr>
            <w:r>
              <w:t>68.19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76.19</w:t>
            </w:r>
          </w:p>
        </w:tc>
        <w:tc>
          <w:tcPr>
            <w:tcW w:w="2551" w:type="dxa"/>
            <w:vAlign w:val="center"/>
          </w:tcPr>
          <w:p>
            <w:pPr>
              <w:pStyle w:val="15"/>
            </w:pPr>
            <w:r>
              <w:t>67.25</w:t>
            </w:r>
          </w:p>
        </w:tc>
        <w:tc>
          <w:tcPr>
            <w:tcW w:w="2551" w:type="dxa"/>
            <w:vAlign w:val="center"/>
          </w:tcPr>
          <w:p>
            <w:pPr>
              <w:pStyle w:val="15"/>
            </w:pPr>
            <w: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62.75</w:t>
            </w:r>
          </w:p>
        </w:tc>
        <w:tc>
          <w:tcPr>
            <w:tcW w:w="2551" w:type="dxa"/>
            <w:vAlign w:val="center"/>
          </w:tcPr>
          <w:p>
            <w:pPr>
              <w:pStyle w:val="11"/>
            </w:pPr>
            <w:r>
              <w:t>62.75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16.05</w:t>
            </w:r>
          </w:p>
        </w:tc>
        <w:tc>
          <w:tcPr>
            <w:tcW w:w="2551" w:type="dxa"/>
            <w:vAlign w:val="center"/>
          </w:tcPr>
          <w:p>
            <w:pPr>
              <w:pStyle w:val="11"/>
            </w:pPr>
            <w:r>
              <w:t>16.05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8.94</w:t>
            </w:r>
          </w:p>
        </w:tc>
        <w:tc>
          <w:tcPr>
            <w:tcW w:w="2551" w:type="dxa"/>
            <w:vAlign w:val="center"/>
          </w:tcPr>
          <w:p>
            <w:pPr>
              <w:pStyle w:val="11"/>
            </w:pPr>
          </w:p>
        </w:tc>
        <w:tc>
          <w:tcPr>
            <w:tcW w:w="2551" w:type="dxa"/>
            <w:vAlign w:val="center"/>
          </w:tcPr>
          <w:p>
            <w:pPr>
              <w:pStyle w:val="11"/>
            </w:pPr>
            <w: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3.54</w:t>
            </w:r>
          </w:p>
        </w:tc>
        <w:tc>
          <w:tcPr>
            <w:tcW w:w="2551" w:type="dxa"/>
            <w:vAlign w:val="center"/>
          </w:tcPr>
          <w:p>
            <w:pPr>
              <w:pStyle w:val="11"/>
            </w:pPr>
          </w:p>
        </w:tc>
        <w:tc>
          <w:tcPr>
            <w:tcW w:w="2551" w:type="dxa"/>
            <w:vAlign w:val="center"/>
          </w:tcPr>
          <w:p>
            <w:pPr>
              <w:pStyle w:val="11"/>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无极县工商业联合会本级2022年单位预算信息公开情况说明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按照《预算法》、《地方预决算公开操作规程》和《关于进一步推进预算公开工作的实施意见》规定，现将无极县工商业联合会本级2022年单位预算公开如下：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rPr>
          <w:rFonts w:hint="eastAsia"/>
          <w:lang w:eastAsia="zh-CN"/>
        </w:rPr>
        <w:t>（</w:t>
      </w:r>
      <w:r>
        <w:t>一</w:t>
      </w:r>
      <w:r>
        <w:rPr>
          <w:rFonts w:hint="eastAsia"/>
          <w:lang w:eastAsia="zh-CN"/>
        </w:rPr>
        <w:t>）</w:t>
      </w:r>
      <w:r>
        <w:t>对会员进行团结、帮助、引导、教育，提高会员素质；</w:t>
      </w:r>
    </w:p>
    <w:p>
      <w:pPr>
        <w:pStyle w:val="17"/>
      </w:pPr>
      <w:r>
        <w:rPr>
          <w:rFonts w:hint="eastAsia"/>
          <w:lang w:eastAsia="zh-CN"/>
        </w:rPr>
        <w:t>（</w:t>
      </w:r>
      <w:r>
        <w:t>二</w:t>
      </w:r>
      <w:r>
        <w:rPr>
          <w:rFonts w:hint="eastAsia"/>
          <w:lang w:eastAsia="zh-CN"/>
        </w:rPr>
        <w:t>）</w:t>
      </w:r>
      <w:r>
        <w:t>维护会员合法权益，反映会员意见、要求和建议，在会员政府之间发挥桥梁作用，当好政府管理非公有制的助手；</w:t>
      </w:r>
    </w:p>
    <w:p>
      <w:pPr>
        <w:pStyle w:val="17"/>
      </w:pPr>
      <w:r>
        <w:rPr>
          <w:rFonts w:hint="eastAsia"/>
          <w:lang w:eastAsia="zh-CN"/>
        </w:rPr>
        <w:t>（</w:t>
      </w:r>
      <w:r>
        <w:t>三</w:t>
      </w:r>
      <w:r>
        <w:rPr>
          <w:rFonts w:hint="eastAsia"/>
          <w:lang w:eastAsia="zh-CN"/>
        </w:rPr>
        <w:t>）</w:t>
      </w:r>
      <w:r>
        <w:t>开展工商专业培训，提供信息、科技、法律咨询等服务；</w:t>
      </w:r>
    </w:p>
    <w:p>
      <w:pPr>
        <w:pStyle w:val="17"/>
      </w:pPr>
      <w:r>
        <w:rPr>
          <w:rFonts w:hint="eastAsia"/>
          <w:lang w:eastAsia="zh-CN"/>
        </w:rPr>
        <w:t>（</w:t>
      </w:r>
      <w:r>
        <w:t>四</w:t>
      </w:r>
      <w:r>
        <w:rPr>
          <w:rFonts w:hint="eastAsia"/>
          <w:lang w:eastAsia="zh-CN"/>
        </w:rPr>
        <w:t>）</w:t>
      </w:r>
      <w:r>
        <w:t>组织会员举办和参加各种展销会、交易会，开拓国内、国际市场，加强与国外工商社团的联系，引进人才、资金、技术；</w:t>
      </w:r>
    </w:p>
    <w:p>
      <w:pPr>
        <w:pStyle w:val="17"/>
      </w:pPr>
      <w:r>
        <w:rPr>
          <w:rFonts w:hint="eastAsia"/>
          <w:lang w:eastAsia="zh-CN"/>
        </w:rPr>
        <w:t>（</w:t>
      </w:r>
      <w:r>
        <w:t>五</w:t>
      </w:r>
      <w:r>
        <w:rPr>
          <w:rFonts w:hint="eastAsia"/>
          <w:lang w:eastAsia="zh-CN"/>
        </w:rPr>
        <w:t>）</w:t>
      </w:r>
      <w:r>
        <w:t>做好非公经济代表人士整治安排的推荐工作；</w:t>
      </w:r>
    </w:p>
    <w:p>
      <w:pPr>
        <w:pStyle w:val="17"/>
      </w:pPr>
      <w:r>
        <w:rPr>
          <w:rFonts w:hint="eastAsia"/>
          <w:lang w:eastAsia="zh-CN"/>
        </w:rPr>
        <w:t>（</w:t>
      </w:r>
      <w:r>
        <w:t>六</w:t>
      </w:r>
      <w:r>
        <w:rPr>
          <w:rFonts w:hint="eastAsia"/>
          <w:lang w:eastAsia="zh-CN"/>
        </w:rPr>
        <w:t>）</w:t>
      </w:r>
      <w:r>
        <w:t>为会员提供有关证明，协调关系，调节纠纷；</w:t>
      </w:r>
    </w:p>
    <w:p>
      <w:pPr>
        <w:pStyle w:val="17"/>
      </w:pPr>
      <w:r>
        <w:rPr>
          <w:rFonts w:hint="eastAsia"/>
          <w:lang w:eastAsia="zh-CN"/>
        </w:rPr>
        <w:t>（</w:t>
      </w:r>
      <w:r>
        <w:t>七</w:t>
      </w:r>
      <w:r>
        <w:rPr>
          <w:rFonts w:hint="eastAsia"/>
          <w:lang w:eastAsia="zh-CN"/>
        </w:rPr>
        <w:t>）</w:t>
      </w:r>
      <w:r>
        <w:t>承办政府和有关部门委托事项。</w:t>
      </w:r>
    </w:p>
    <w:p>
      <w:pPr>
        <w:pStyle w:val="17"/>
      </w:pPr>
    </w:p>
    <w:p>
      <w:pPr>
        <w:pStyle w:val="17"/>
      </w:pPr>
    </w:p>
    <w:p>
      <w:pPr>
        <w:pStyle w:val="17"/>
      </w:pP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无极县工商业联合会本级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w:t>
      </w:r>
      <w:r>
        <w:rPr>
          <w:rFonts w:hint="eastAsia"/>
          <w:lang w:eastAsia="zh-CN"/>
        </w:rPr>
        <w:t>单位</w:t>
      </w:r>
      <w:r>
        <w:t>预算的编制实行综合预算管理，即全部收入和支出都反映在预算中。无极县</w:t>
      </w:r>
      <w:r>
        <w:rPr>
          <w:rFonts w:hint="eastAsia"/>
          <w:lang w:eastAsia="zh-CN"/>
        </w:rPr>
        <w:t>工商业联合会</w:t>
      </w:r>
      <w:r>
        <w:t>本级机关的收支包含在</w:t>
      </w:r>
      <w:r>
        <w:rPr>
          <w:rFonts w:hint="eastAsia"/>
          <w:lang w:val="en-US" w:eastAsia="zh-CN"/>
        </w:rPr>
        <w:t>单位</w:t>
      </w:r>
      <w:r>
        <w:t>预算中。</w:t>
      </w:r>
    </w:p>
    <w:p>
      <w:pPr>
        <w:pStyle w:val="18"/>
      </w:pPr>
      <w:r>
        <w:t>1、收入说明</w:t>
      </w:r>
    </w:p>
    <w:p>
      <w:pPr>
        <w:pStyle w:val="18"/>
      </w:pPr>
      <w:r>
        <w:t>反映本</w:t>
      </w:r>
      <w:r>
        <w:rPr>
          <w:rFonts w:hint="eastAsia"/>
          <w:lang w:eastAsia="zh-CN"/>
        </w:rPr>
        <w:t>单位</w:t>
      </w:r>
      <w:r>
        <w:t>当年全部收入，2022年预算收入</w:t>
      </w:r>
      <w:r>
        <w:rPr>
          <w:rFonts w:hint="eastAsia"/>
          <w:lang w:val="en-US" w:eastAsia="zh-CN"/>
        </w:rPr>
        <w:t>76.19</w:t>
      </w:r>
      <w:r>
        <w:t>万元，其中：一般公共预算拨款</w:t>
      </w:r>
      <w:r>
        <w:rPr>
          <w:rFonts w:hint="eastAsia"/>
          <w:lang w:val="en-US" w:eastAsia="zh-CN"/>
        </w:rPr>
        <w:t>76.19</w:t>
      </w:r>
      <w:r>
        <w:t>万元，基金预算拨款0万元，财政专户核拨0万元，其他来源收入0万元。</w:t>
      </w:r>
    </w:p>
    <w:p>
      <w:pPr>
        <w:pStyle w:val="18"/>
      </w:pPr>
      <w:r>
        <w:t>2、支出说明</w:t>
      </w:r>
    </w:p>
    <w:p>
      <w:pPr>
        <w:pStyle w:val="18"/>
      </w:pPr>
      <w:r>
        <w:t>收支预算总表支出栏、基本支出表、项目支出表按经济分类和支出功能分类科目编制，反映</w:t>
      </w:r>
      <w:r>
        <w:rPr>
          <w:rFonts w:hint="eastAsia"/>
          <w:lang w:eastAsia="zh-CN"/>
        </w:rPr>
        <w:t>工商联</w:t>
      </w:r>
      <w:r>
        <w:t>年度</w:t>
      </w:r>
      <w:r>
        <w:rPr>
          <w:rFonts w:hint="eastAsia"/>
          <w:lang w:eastAsia="zh-CN"/>
        </w:rPr>
        <w:t>单位</w:t>
      </w:r>
      <w:r>
        <w:t>预算中支出预算的总体情况。2022年</w:t>
      </w:r>
      <w:r>
        <w:rPr>
          <w:rFonts w:hint="eastAsia"/>
          <w:lang w:eastAsia="zh-CN"/>
        </w:rPr>
        <w:t>单位</w:t>
      </w:r>
      <w:r>
        <w:t>支出预算为</w:t>
      </w:r>
      <w:r>
        <w:rPr>
          <w:rFonts w:hint="eastAsia"/>
          <w:lang w:val="en-US" w:eastAsia="zh-CN"/>
        </w:rPr>
        <w:t>76.19</w:t>
      </w:r>
      <w:r>
        <w:t>万元，其中基本支出</w:t>
      </w:r>
      <w:r>
        <w:rPr>
          <w:rFonts w:hint="eastAsia"/>
          <w:lang w:val="en-US" w:eastAsia="zh-CN"/>
        </w:rPr>
        <w:t>76.19</w:t>
      </w:r>
      <w:r>
        <w:t>元，包括人员经费6</w:t>
      </w:r>
      <w:r>
        <w:rPr>
          <w:rFonts w:hint="eastAsia"/>
          <w:lang w:val="en-US" w:eastAsia="zh-CN"/>
        </w:rPr>
        <w:t>7.25</w:t>
      </w:r>
      <w:r>
        <w:t>万元和日常公用经费8.9</w:t>
      </w:r>
      <w:r>
        <w:rPr>
          <w:rFonts w:hint="eastAsia"/>
          <w:lang w:val="en-US" w:eastAsia="zh-CN"/>
        </w:rPr>
        <w:t>4</w:t>
      </w:r>
      <w:r>
        <w:t>万元。主要为</w:t>
      </w:r>
      <w:r>
        <w:rPr>
          <w:rFonts w:hint="eastAsia"/>
          <w:lang w:eastAsia="zh-CN"/>
        </w:rPr>
        <w:t>工商联</w:t>
      </w:r>
      <w:r>
        <w:t>人员开支和日常公用。</w:t>
      </w:r>
    </w:p>
    <w:p>
      <w:pPr>
        <w:pStyle w:val="18"/>
      </w:pPr>
      <w:r>
        <w:t>3、比上年增减情况</w:t>
      </w:r>
    </w:p>
    <w:p>
      <w:pPr>
        <w:pStyle w:val="18"/>
      </w:pPr>
      <w:r>
        <w:t>2022年</w:t>
      </w:r>
      <w:r>
        <w:rPr>
          <w:rFonts w:hint="eastAsia"/>
          <w:lang w:eastAsia="zh-CN"/>
        </w:rPr>
        <w:t>单位</w:t>
      </w:r>
      <w:r>
        <w:t>预算支出较2021年增加</w:t>
      </w:r>
      <w:r>
        <w:rPr>
          <w:rFonts w:hint="eastAsia"/>
          <w:lang w:val="en-US" w:eastAsia="zh-CN"/>
        </w:rPr>
        <w:t>14.66</w:t>
      </w:r>
      <w:r>
        <w:t>万元，其中：基本支出增加</w:t>
      </w:r>
      <w:r>
        <w:rPr>
          <w:rFonts w:hint="eastAsia"/>
          <w:lang w:val="en-US" w:eastAsia="zh-CN"/>
        </w:rPr>
        <w:t>14.66</w:t>
      </w:r>
      <w:r>
        <w:t>万元，主要是增加人员经费支出</w:t>
      </w:r>
      <w:r>
        <w:rPr>
          <w:rFonts w:hint="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27"/>
      </w:pPr>
      <w:r>
        <w:t>2022年，我</w:t>
      </w:r>
      <w:r>
        <w:rPr>
          <w:rFonts w:hint="eastAsia"/>
          <w:lang w:eastAsia="zh-CN"/>
        </w:rPr>
        <w:t>单位</w:t>
      </w:r>
      <w:r>
        <w:t>机关运行经费8.94万元，主要用于保证机关正常运转的办公及印刷费、邮电费、差旅费、会议费、福利费、专用材料及一般设备购置费、办公用房水电费、办公用房取暖费、日常维修费、办公楼物业管理费、公务车运行维护费等支出。</w:t>
      </w:r>
    </w:p>
    <w:p>
      <w:pPr>
        <w:pStyle w:val="27"/>
      </w:pPr>
    </w:p>
    <w:p>
      <w:pPr>
        <w:spacing w:before="10" w:after="10"/>
        <w:ind w:firstLine="640"/>
        <w:outlineLvl w:val="5"/>
      </w:pPr>
      <w:r>
        <w:rPr>
          <w:rFonts w:ascii="黑体" w:hAnsi="黑体" w:eastAsia="黑体" w:cs="黑体"/>
          <w:color w:val="000000"/>
          <w:sz w:val="32"/>
        </w:rPr>
        <w:t>四、财政拨款“三公”经费预算情况及增减变化原因</w:t>
      </w:r>
    </w:p>
    <w:p>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财政拨款“三公”经费预算安排0万元，其中：因公出国（境）费0万元；公务用车购置及运维费0万元（其中：公务用车购置费0万元，公务用车运行维护费0万元)。其中公务接待费0万元。</w:t>
      </w:r>
      <w:r>
        <w:rPr>
          <w:rFonts w:hint="eastAsia" w:ascii="Times New Roman" w:hAnsi="Times New Roman" w:eastAsia="方正仿宋_GBK" w:cs="Times New Roman"/>
          <w:sz w:val="28"/>
          <w:szCs w:val="24"/>
          <w:lang w:val="en-US" w:eastAsia="uk-UA" w:bidi="ar-SA"/>
        </w:rPr>
        <w:t>本单位因今年没有安排因公出国（境），本单位没有公车，今年也没有产生接待费，所以与2021年相比持平无增减变化。</w:t>
      </w:r>
      <w:r>
        <w:rPr>
          <w:rFonts w:ascii="Times New Roman" w:hAnsi="Times New Roman" w:eastAsia="方正仿宋_GBK" w:cs="Times New Roman"/>
          <w:sz w:val="28"/>
          <w:szCs w:val="24"/>
          <w:lang w:val="en-US" w:eastAsia="uk-UA" w:bidi="ar-SA"/>
        </w:rPr>
        <w:t xml:space="preserve"> </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rPr>
          <w:rFonts w:hint="eastAsia" w:ascii="方正楷体_GBK" w:hAnsi="方正楷体_GBK" w:eastAsia="方正楷体_GBK" w:cs="方正楷体_GBK"/>
          <w:b/>
          <w:color w:val="000000"/>
          <w:sz w:val="32"/>
          <w:lang w:eastAsia="zh-CN"/>
        </w:rPr>
      </w:pPr>
    </w:p>
    <w:p>
      <w:pPr>
        <w:numPr>
          <w:ilvl w:val="0"/>
          <w:numId w:val="0"/>
        </w:numPr>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p>
    <w:p>
      <w:pPr>
        <w:spacing w:before="10" w:after="10"/>
        <w:ind w:firstLine="640" w:firstLineChars="20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2022年，无极县工商业联合会本级安排政府采购预算0.00万元。具体内容见下表。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714001无极县工商业联合会本级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无极县工商业联合会本级上年末固定资产金额为2.61万元（详见下表）。本年度拟购置固定资产总额为0.00万元</w:t>
      </w:r>
      <w:bookmarkStart w:id="1" w:name="_GoBack"/>
      <w:bookmarkEnd w:id="1"/>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714001无极县工商业联合会本级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2.61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04EDBD"/>
    <w:multiLevelType w:val="singleLevel"/>
    <w:tmpl w:val="E104EDB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MmM1MzBlYTg4MzA5YmYxMjkxYmMwNjk4MmZkODYifQ=="/>
  </w:docVars>
  <w:rsids>
    <w:rsidRoot w:val="00F14243"/>
    <w:rsid w:val="006E6810"/>
    <w:rsid w:val="00AD558A"/>
    <w:rsid w:val="00EA7032"/>
    <w:rsid w:val="00F14243"/>
    <w:rsid w:val="04021022"/>
    <w:rsid w:val="0A39126B"/>
    <w:rsid w:val="0EB71003"/>
    <w:rsid w:val="11915E3C"/>
    <w:rsid w:val="15B33E8E"/>
    <w:rsid w:val="15D55C6E"/>
    <w:rsid w:val="15ED3D61"/>
    <w:rsid w:val="1E856C23"/>
    <w:rsid w:val="1F7E14B5"/>
    <w:rsid w:val="23633C22"/>
    <w:rsid w:val="2723638D"/>
    <w:rsid w:val="290741B4"/>
    <w:rsid w:val="308C66BA"/>
    <w:rsid w:val="31A31778"/>
    <w:rsid w:val="31CE102F"/>
    <w:rsid w:val="362C2255"/>
    <w:rsid w:val="364D1B20"/>
    <w:rsid w:val="372604E8"/>
    <w:rsid w:val="37A87C35"/>
    <w:rsid w:val="38B22A36"/>
    <w:rsid w:val="39581BE4"/>
    <w:rsid w:val="3C650E53"/>
    <w:rsid w:val="3E4C0B48"/>
    <w:rsid w:val="3F0C779A"/>
    <w:rsid w:val="43BD1AAE"/>
    <w:rsid w:val="45594D90"/>
    <w:rsid w:val="478F7A73"/>
    <w:rsid w:val="4AD1021A"/>
    <w:rsid w:val="51BC4D14"/>
    <w:rsid w:val="55CB2709"/>
    <w:rsid w:val="56BA5480"/>
    <w:rsid w:val="5CCE0B3B"/>
    <w:rsid w:val="5E6F7086"/>
    <w:rsid w:val="605469EC"/>
    <w:rsid w:val="640C434D"/>
    <w:rsid w:val="684B6375"/>
    <w:rsid w:val="6DEA2CFB"/>
    <w:rsid w:val="76B61E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2022-06-23T11:05:04Z</dcterms:created>
  <dcterms:modified xsi:type="dcterms:W3CDTF">2022-06-23T03:05:04Z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2022-06-23T11:05:03Z</dcterms:created>
  <dcterms:modified xsi:type="dcterms:W3CDTF">2022-06-23T03:05:03Z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2022-06-23T11:05:07Z</dcterms:created>
  <dcterms:modified xsi:type="dcterms:W3CDTF">2022-06-23T03:05:07Z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2022-06-23T11:05:04Z</dcterms:created>
  <dcterms:modified xsi:type="dcterms:W3CDTF">2022-06-23T03:05:04Z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2022-06-23T11:05:08Z</dcterms:created>
  <dcterms:modified xsi:type="dcterms:W3CDTF">2022-06-23T03:05:08Z</dcterms:modified>
</cp:coreProperties>
</file>

<file path=customXml/itemProps1.xml><?xml version="1.0" encoding="utf-8"?>
<ds:datastoreItem xmlns:ds="http://schemas.openxmlformats.org/officeDocument/2006/customXml" ds:itemID="{FA0AC966-6B9B-4B5D-A433-F188556D9D28}">
  <ds:schemaRefs/>
</ds:datastoreItem>
</file>

<file path=customXml/itemProps10.xml><?xml version="1.0" encoding="utf-8"?>
<ds:datastoreItem xmlns:ds="http://schemas.openxmlformats.org/officeDocument/2006/customXml" ds:itemID="{7E1B8EE8-4D24-475A-BE16-F521B30DBAFE}">
  <ds:schemaRefs/>
</ds:datastoreItem>
</file>

<file path=customXml/itemProps2.xml><?xml version="1.0" encoding="utf-8"?>
<ds:datastoreItem xmlns:ds="http://schemas.openxmlformats.org/officeDocument/2006/customXml" ds:itemID="{987339DA-8F41-4B9D-A0CA-5EF671B96870}">
  <ds:schemaRefs/>
</ds:datastoreItem>
</file>

<file path=customXml/itemProps3.xml><?xml version="1.0" encoding="utf-8"?>
<ds:datastoreItem xmlns:ds="http://schemas.openxmlformats.org/officeDocument/2006/customXml" ds:itemID="{36D1897C-03C6-4E53-A2E4-E1E6A9EFF02C}">
  <ds:schemaRefs/>
</ds:datastoreItem>
</file>

<file path=customXml/itemProps4.xml><?xml version="1.0" encoding="utf-8"?>
<ds:datastoreItem xmlns:ds="http://schemas.openxmlformats.org/officeDocument/2006/customXml" ds:itemID="{925608A3-C95E-476C-9946-D6E692FDB3D8}">
  <ds:schemaRefs/>
</ds:datastoreItem>
</file>

<file path=customXml/itemProps5.xml><?xml version="1.0" encoding="utf-8"?>
<ds:datastoreItem xmlns:ds="http://schemas.openxmlformats.org/officeDocument/2006/customXml" ds:itemID="{75784D4E-33D2-49B9-BC2B-8961C072C5D9}">
  <ds:schemaRefs/>
</ds:datastoreItem>
</file>

<file path=customXml/itemProps6.xml><?xml version="1.0" encoding="utf-8"?>
<ds:datastoreItem xmlns:ds="http://schemas.openxmlformats.org/officeDocument/2006/customXml" ds:itemID="{636FF778-CF6F-4CC7-8F41-62BCCE1E70DE}">
  <ds:schemaRefs/>
</ds:datastoreItem>
</file>

<file path=customXml/itemProps7.xml><?xml version="1.0" encoding="utf-8"?>
<ds:datastoreItem xmlns:ds="http://schemas.openxmlformats.org/officeDocument/2006/customXml" ds:itemID="{B56AD0E6-BC6B-41B0-8E9B-3983450F18D7}">
  <ds:schemaRefs/>
</ds:datastoreItem>
</file>

<file path=customXml/itemProps8.xml><?xml version="1.0" encoding="utf-8"?>
<ds:datastoreItem xmlns:ds="http://schemas.openxmlformats.org/officeDocument/2006/customXml" ds:itemID="{6AAF1329-11DC-40AD-AE68-8DCEB53F892A}">
  <ds:schemaRefs/>
</ds:datastoreItem>
</file>

<file path=customXml/itemProps9.xml><?xml version="1.0" encoding="utf-8"?>
<ds:datastoreItem xmlns:ds="http://schemas.openxmlformats.org/officeDocument/2006/customXml" ds:itemID="{D230C29E-4C22-4EE6-96C4-0DB9FAB12087}">
  <ds:schemaRefs/>
</ds:datastoreItem>
</file>

<file path=docProps/app.xml><?xml version="1.0" encoding="utf-8"?>
<Properties xmlns="http://schemas.openxmlformats.org/officeDocument/2006/extended-properties" xmlns:vt="http://schemas.openxmlformats.org/officeDocument/2006/docPropsVTypes">
  <Template>Normal</Template>
  <Pages>37</Pages>
  <Words>9322</Words>
  <Characters>10931</Characters>
  <Lines>106</Lines>
  <Paragraphs>29</Paragraphs>
  <TotalTime>2</TotalTime>
  <ScaleCrop>false</ScaleCrop>
  <LinksUpToDate>false</LinksUpToDate>
  <CharactersWithSpaces>11212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2022-06-23T03:23:00Z</dcterms:created>
  <dc:creator>Administrator</dc:creator>
  <cp:lastModifiedBy>Administrator</cp:lastModifiedBy>
  <dcterms:modified xsi:type="dcterms:W3CDTF">2023-08-31T07:24:08Z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FEE67D5998474D79828CDD4702B22A69</vt:lpwstr>
  </property>
</Properties>
</file>