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18</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19</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714无极县工商业联合会</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76.19</w:t>
            </w:r>
          </w:p>
        </w:tc>
        <w:tc>
          <w:tcPr>
            <w:tcW w:w="4535" w:type="dxa"/>
            <w:vAlign w:val="center"/>
          </w:tcPr>
          <w:p>
            <w:pPr>
              <w:pStyle w:val="12"/>
            </w:pPr>
            <w:r>
              <w:t>一、一般公共服务支出</w:t>
            </w:r>
          </w:p>
        </w:tc>
        <w:tc>
          <w:tcPr>
            <w:tcW w:w="2126" w:type="dxa"/>
            <w:vAlign w:val="center"/>
          </w:tcPr>
          <w:p>
            <w:pPr>
              <w:pStyle w:val="11"/>
            </w:pPr>
            <w:r>
              <w:t>68.19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76.19</w:t>
            </w:r>
          </w:p>
        </w:tc>
        <w:tc>
          <w:tcPr>
            <w:tcW w:w="4535" w:type="dxa"/>
            <w:vAlign w:val="center"/>
          </w:tcPr>
          <w:p>
            <w:pPr>
              <w:pStyle w:val="14"/>
            </w:pPr>
            <w:r>
              <w:t>本年支出合计</w:t>
            </w:r>
          </w:p>
        </w:tc>
        <w:tc>
          <w:tcPr>
            <w:tcW w:w="2126" w:type="dxa"/>
            <w:vAlign w:val="center"/>
          </w:tcPr>
          <w:p>
            <w:pPr>
              <w:pStyle w:val="15"/>
            </w:pPr>
            <w:r>
              <w:t>76.19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76.19</w:t>
            </w:r>
          </w:p>
        </w:tc>
        <w:tc>
          <w:tcPr>
            <w:tcW w:w="4535" w:type="dxa"/>
            <w:vAlign w:val="center"/>
          </w:tcPr>
          <w:p>
            <w:pPr>
              <w:pStyle w:val="14"/>
            </w:pPr>
            <w:r>
              <w:t>支出总计</w:t>
            </w:r>
          </w:p>
        </w:tc>
        <w:tc>
          <w:tcPr>
            <w:tcW w:w="2126" w:type="dxa"/>
            <w:vAlign w:val="center"/>
          </w:tcPr>
          <w:p>
            <w:pPr>
              <w:pStyle w:val="15"/>
            </w:pPr>
            <w:r>
              <w:t>76.19</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714无极县工商业联合会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76.19</w:t>
            </w:r>
          </w:p>
        </w:tc>
        <w:tc>
          <w:tcPr>
            <w:tcW w:w="1134" w:type="dxa"/>
            <w:vAlign w:val="center"/>
          </w:tcPr>
          <w:p>
            <w:pPr>
              <w:pStyle w:val="15"/>
            </w:pPr>
            <w:r>
              <w:t>76.19</w:t>
            </w:r>
          </w:p>
        </w:tc>
        <w:tc>
          <w:tcPr>
            <w:tcW w:w="1134" w:type="dxa"/>
            <w:vAlign w:val="center"/>
          </w:tcPr>
          <w:p>
            <w:pPr>
              <w:pStyle w:val="15"/>
            </w:pPr>
            <w:r>
              <w:t>76.19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20128</w:t>
            </w:r>
          </w:p>
        </w:tc>
        <w:tc>
          <w:tcPr>
            <w:tcW w:w="1559" w:type="dxa"/>
            <w:vAlign w:val="center"/>
          </w:tcPr>
          <w:p>
            <w:pPr>
              <w:pStyle w:val="12"/>
            </w:pPr>
            <w:r>
              <w:t>民主党派及工商联事务</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2012801</w:t>
            </w:r>
          </w:p>
        </w:tc>
        <w:tc>
          <w:tcPr>
            <w:tcW w:w="1559" w:type="dxa"/>
            <w:vAlign w:val="center"/>
          </w:tcPr>
          <w:p>
            <w:pPr>
              <w:pStyle w:val="12"/>
            </w:pPr>
            <w:r>
              <w:t>行政运行</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r>
              <w:t>68.19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r>
              <w:t>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76.19</w:t>
            </w:r>
          </w:p>
        </w:tc>
        <w:tc>
          <w:tcPr>
            <w:tcW w:w="1361" w:type="dxa"/>
            <w:vAlign w:val="center"/>
          </w:tcPr>
          <w:p>
            <w:pPr>
              <w:pStyle w:val="15"/>
            </w:pPr>
            <w:r>
              <w:t>76.19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20128</w:t>
            </w:r>
          </w:p>
        </w:tc>
        <w:tc>
          <w:tcPr>
            <w:tcW w:w="4535" w:type="dxa"/>
            <w:vAlign w:val="center"/>
          </w:tcPr>
          <w:p>
            <w:pPr>
              <w:pStyle w:val="12"/>
            </w:pPr>
            <w:r>
              <w:t>民主党派及工商联事务</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2012801</w:t>
            </w:r>
          </w:p>
        </w:tc>
        <w:tc>
          <w:tcPr>
            <w:tcW w:w="4535" w:type="dxa"/>
            <w:vAlign w:val="center"/>
          </w:tcPr>
          <w:p>
            <w:pPr>
              <w:pStyle w:val="12"/>
            </w:pPr>
            <w:r>
              <w:t>行政运行</w:t>
            </w:r>
          </w:p>
        </w:tc>
        <w:tc>
          <w:tcPr>
            <w:tcW w:w="1361" w:type="dxa"/>
            <w:vAlign w:val="center"/>
          </w:tcPr>
          <w:p>
            <w:pPr>
              <w:pStyle w:val="11"/>
            </w:pPr>
            <w:r>
              <w:t>68.19</w:t>
            </w:r>
          </w:p>
        </w:tc>
        <w:tc>
          <w:tcPr>
            <w:tcW w:w="1361" w:type="dxa"/>
            <w:vAlign w:val="center"/>
          </w:tcPr>
          <w:p>
            <w:pPr>
              <w:pStyle w:val="11"/>
            </w:pPr>
            <w:r>
              <w:t>68.19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5.20</w:t>
            </w:r>
          </w:p>
        </w:tc>
        <w:tc>
          <w:tcPr>
            <w:tcW w:w="1361" w:type="dxa"/>
            <w:vAlign w:val="center"/>
          </w:tcPr>
          <w:p>
            <w:pPr>
              <w:pStyle w:val="11"/>
            </w:pPr>
            <w:r>
              <w:t>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76.19</w:t>
            </w:r>
          </w:p>
        </w:tc>
        <w:tc>
          <w:tcPr>
            <w:tcW w:w="3402" w:type="dxa"/>
            <w:vAlign w:val="center"/>
          </w:tcPr>
          <w:p>
            <w:pPr>
              <w:pStyle w:val="12"/>
            </w:pPr>
            <w:r>
              <w:t>一、一般公共服务支出</w:t>
            </w:r>
          </w:p>
        </w:tc>
        <w:tc>
          <w:tcPr>
            <w:tcW w:w="1474" w:type="dxa"/>
            <w:vAlign w:val="center"/>
          </w:tcPr>
          <w:p>
            <w:pPr>
              <w:pStyle w:val="11"/>
            </w:pPr>
            <w:r>
              <w:t>68.19</w:t>
            </w:r>
          </w:p>
        </w:tc>
        <w:tc>
          <w:tcPr>
            <w:tcW w:w="1474" w:type="dxa"/>
            <w:vAlign w:val="center"/>
          </w:tcPr>
          <w:p>
            <w:pPr>
              <w:pStyle w:val="11"/>
            </w:pPr>
            <w:r>
              <w:t>68.19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5.20</w:t>
            </w:r>
          </w:p>
        </w:tc>
        <w:tc>
          <w:tcPr>
            <w:tcW w:w="1474" w:type="dxa"/>
            <w:vAlign w:val="center"/>
          </w:tcPr>
          <w:p>
            <w:pPr>
              <w:pStyle w:val="11"/>
            </w:pPr>
            <w:r>
              <w:t>5.20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w:t>
            </w:r>
          </w:p>
        </w:tc>
        <w:tc>
          <w:tcPr>
            <w:tcW w:w="1474" w:type="dxa"/>
            <w:vAlign w:val="center"/>
          </w:tcPr>
          <w:p>
            <w:pPr>
              <w:pStyle w:val="11"/>
            </w:pPr>
            <w:r>
              <w:t>2.80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76.19</w:t>
            </w:r>
          </w:p>
        </w:tc>
        <w:tc>
          <w:tcPr>
            <w:tcW w:w="3402" w:type="dxa"/>
            <w:vAlign w:val="center"/>
          </w:tcPr>
          <w:p>
            <w:pPr>
              <w:pStyle w:val="14"/>
            </w:pPr>
            <w:r>
              <w:t>本年支出合计</w:t>
            </w:r>
          </w:p>
        </w:tc>
        <w:tc>
          <w:tcPr>
            <w:tcW w:w="1474" w:type="dxa"/>
            <w:vAlign w:val="center"/>
          </w:tcPr>
          <w:p>
            <w:pPr>
              <w:pStyle w:val="15"/>
            </w:pPr>
            <w:r>
              <w:t>76.19</w:t>
            </w:r>
          </w:p>
        </w:tc>
        <w:tc>
          <w:tcPr>
            <w:tcW w:w="1474" w:type="dxa"/>
            <w:vAlign w:val="center"/>
          </w:tcPr>
          <w:p>
            <w:pPr>
              <w:pStyle w:val="15"/>
            </w:pPr>
            <w:r>
              <w:t>76.19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76.19</w:t>
            </w:r>
          </w:p>
        </w:tc>
        <w:tc>
          <w:tcPr>
            <w:tcW w:w="3402" w:type="dxa"/>
            <w:vAlign w:val="center"/>
          </w:tcPr>
          <w:p>
            <w:pPr>
              <w:pStyle w:val="14"/>
            </w:pPr>
            <w:r>
              <w:t>支出总计</w:t>
            </w:r>
          </w:p>
        </w:tc>
        <w:tc>
          <w:tcPr>
            <w:tcW w:w="1474" w:type="dxa"/>
            <w:vAlign w:val="center"/>
          </w:tcPr>
          <w:p>
            <w:pPr>
              <w:pStyle w:val="15"/>
            </w:pPr>
            <w:r>
              <w:t>76.19</w:t>
            </w:r>
          </w:p>
        </w:tc>
        <w:tc>
          <w:tcPr>
            <w:tcW w:w="1474" w:type="dxa"/>
            <w:vAlign w:val="center"/>
          </w:tcPr>
          <w:p>
            <w:pPr>
              <w:pStyle w:val="15"/>
            </w:pPr>
            <w:r>
              <w:t>76.19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76.19</w:t>
            </w:r>
          </w:p>
        </w:tc>
        <w:tc>
          <w:tcPr>
            <w:tcW w:w="2551" w:type="dxa"/>
            <w:vAlign w:val="center"/>
          </w:tcPr>
          <w:p>
            <w:pPr>
              <w:pStyle w:val="15"/>
            </w:pPr>
            <w:r>
              <w:t>76.19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20128</w:t>
            </w:r>
          </w:p>
        </w:tc>
        <w:tc>
          <w:tcPr>
            <w:tcW w:w="4535" w:type="dxa"/>
            <w:vAlign w:val="center"/>
          </w:tcPr>
          <w:p>
            <w:pPr>
              <w:pStyle w:val="12"/>
            </w:pPr>
            <w:r>
              <w:t>民主党派及工商联事务</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2012801</w:t>
            </w:r>
          </w:p>
        </w:tc>
        <w:tc>
          <w:tcPr>
            <w:tcW w:w="4535" w:type="dxa"/>
            <w:vAlign w:val="center"/>
          </w:tcPr>
          <w:p>
            <w:pPr>
              <w:pStyle w:val="12"/>
            </w:pPr>
            <w:r>
              <w:t>行政运行</w:t>
            </w:r>
          </w:p>
        </w:tc>
        <w:tc>
          <w:tcPr>
            <w:tcW w:w="2551" w:type="dxa"/>
            <w:vAlign w:val="center"/>
          </w:tcPr>
          <w:p>
            <w:pPr>
              <w:pStyle w:val="11"/>
            </w:pPr>
            <w:r>
              <w:t>68.19</w:t>
            </w:r>
          </w:p>
        </w:tc>
        <w:tc>
          <w:tcPr>
            <w:tcW w:w="2551" w:type="dxa"/>
            <w:vAlign w:val="center"/>
          </w:tcPr>
          <w:p>
            <w:pPr>
              <w:pStyle w:val="11"/>
            </w:pPr>
            <w:r>
              <w:t>68.19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76.19</w:t>
            </w:r>
          </w:p>
        </w:tc>
        <w:tc>
          <w:tcPr>
            <w:tcW w:w="2551" w:type="dxa"/>
            <w:vAlign w:val="center"/>
          </w:tcPr>
          <w:p>
            <w:pPr>
              <w:pStyle w:val="15"/>
            </w:pPr>
            <w:r>
              <w:t>67.25</w:t>
            </w:r>
          </w:p>
        </w:tc>
        <w:tc>
          <w:tcPr>
            <w:tcW w:w="2551" w:type="dxa"/>
            <w:vAlign w:val="center"/>
          </w:tcPr>
          <w:p>
            <w:pPr>
              <w:pStyle w:val="15"/>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62.75</w:t>
            </w:r>
          </w:p>
        </w:tc>
        <w:tc>
          <w:tcPr>
            <w:tcW w:w="2551" w:type="dxa"/>
            <w:vAlign w:val="center"/>
          </w:tcPr>
          <w:p>
            <w:pPr>
              <w:pStyle w:val="11"/>
            </w:pPr>
            <w:r>
              <w:t>62.75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16.05</w:t>
            </w:r>
          </w:p>
        </w:tc>
        <w:tc>
          <w:tcPr>
            <w:tcW w:w="2551" w:type="dxa"/>
            <w:vAlign w:val="center"/>
          </w:tcPr>
          <w:p>
            <w:pPr>
              <w:pStyle w:val="11"/>
            </w:pPr>
            <w:r>
              <w:t>16.05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8.94</w:t>
            </w:r>
          </w:p>
        </w:tc>
        <w:tc>
          <w:tcPr>
            <w:tcW w:w="2551" w:type="dxa"/>
            <w:vAlign w:val="center"/>
          </w:tcPr>
          <w:p>
            <w:pPr>
              <w:pStyle w:val="11"/>
            </w:pPr>
          </w:p>
        </w:tc>
        <w:tc>
          <w:tcPr>
            <w:tcW w:w="2551" w:type="dxa"/>
            <w:vAlign w:val="center"/>
          </w:tcPr>
          <w:p>
            <w:pPr>
              <w:pStyle w:val="11"/>
            </w:pPr>
            <w:r>
              <w:t>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3.54</w:t>
            </w:r>
          </w:p>
        </w:tc>
        <w:tc>
          <w:tcPr>
            <w:tcW w:w="2551" w:type="dxa"/>
            <w:vAlign w:val="center"/>
          </w:tcPr>
          <w:p>
            <w:pPr>
              <w:pStyle w:val="11"/>
            </w:pPr>
          </w:p>
        </w:tc>
        <w:tc>
          <w:tcPr>
            <w:tcW w:w="2551" w:type="dxa"/>
            <w:vAlign w:val="center"/>
          </w:tcPr>
          <w:p>
            <w:pPr>
              <w:pStyle w:val="11"/>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714无极县工商业联合会</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无极县工商业联合会2022年部门预算信息公开情况说明</w:t>
      </w:r>
    </w:p>
    <w:p>
      <w:pPr>
        <w:jc w:val="center"/>
      </w:pPr>
      <w:r>
        <w:rPr>
          <w:rFonts w:ascii="方正小标宋_GBK" w:hAnsi="方正小标宋_GBK" w:eastAsia="方正小标宋_GBK" w:cs="方正小标宋_GBK"/>
          <w:color w:val="000000"/>
          <w:sz w:val="44"/>
        </w:rPr>
        <w:t>无极县工商业联合会2022年部门预算信息公开情况说明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按照《预算法》、《地方预决算公开操作规程》和《关于进一步推进预算公开工作的实施意见》规定，现将无极县工商业联合会2022年部门预算公开如下：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rPr>
          <w:rFonts w:hint="eastAsia"/>
          <w:lang w:eastAsia="zh-CN"/>
        </w:rPr>
        <w:t>（</w:t>
      </w:r>
      <w:r>
        <w:t>一</w:t>
      </w:r>
      <w:r>
        <w:rPr>
          <w:rFonts w:hint="eastAsia"/>
          <w:lang w:eastAsia="zh-CN"/>
        </w:rPr>
        <w:t>）</w:t>
      </w:r>
      <w:r>
        <w:t>对会员进行团结、帮助、引导、教育，提高会员素质；</w:t>
      </w:r>
    </w:p>
    <w:p>
      <w:pPr>
        <w:pStyle w:val="17"/>
      </w:pPr>
      <w:r>
        <w:rPr>
          <w:rFonts w:hint="eastAsia"/>
          <w:lang w:eastAsia="zh-CN"/>
        </w:rPr>
        <w:t>（</w:t>
      </w:r>
      <w:r>
        <w:t>二</w:t>
      </w:r>
      <w:r>
        <w:rPr>
          <w:rFonts w:hint="eastAsia"/>
          <w:lang w:eastAsia="zh-CN"/>
        </w:rPr>
        <w:t>）</w:t>
      </w:r>
      <w:r>
        <w:t>维护会员合法权益，反映会员意见、要求和建议，在会员政府之间发挥桥梁作用，当好政府管理非公有制的助手；</w:t>
      </w:r>
    </w:p>
    <w:p>
      <w:pPr>
        <w:pStyle w:val="17"/>
      </w:pPr>
      <w:r>
        <w:rPr>
          <w:rFonts w:hint="eastAsia"/>
          <w:lang w:eastAsia="zh-CN"/>
        </w:rPr>
        <w:t>（</w:t>
      </w:r>
      <w:r>
        <w:t>三</w:t>
      </w:r>
      <w:r>
        <w:rPr>
          <w:rFonts w:hint="eastAsia"/>
          <w:lang w:eastAsia="zh-CN"/>
        </w:rPr>
        <w:t>）</w:t>
      </w:r>
      <w:r>
        <w:t>开展工商专业培训，提供信息、科技、法律咨询等服务；</w:t>
      </w:r>
    </w:p>
    <w:p>
      <w:pPr>
        <w:pStyle w:val="17"/>
      </w:pPr>
      <w:r>
        <w:rPr>
          <w:rFonts w:hint="eastAsia"/>
          <w:lang w:eastAsia="zh-CN"/>
        </w:rPr>
        <w:t>（</w:t>
      </w:r>
      <w:r>
        <w:t>四</w:t>
      </w:r>
      <w:r>
        <w:rPr>
          <w:rFonts w:hint="eastAsia"/>
          <w:lang w:eastAsia="zh-CN"/>
        </w:rPr>
        <w:t>）</w:t>
      </w:r>
      <w:r>
        <w:t>组织会员举办和参加各种展销会、交易会，开拓国内、国际市场，加强与国外工商社团的联系，引进人才、资金、技术；</w:t>
      </w:r>
    </w:p>
    <w:p>
      <w:pPr>
        <w:pStyle w:val="17"/>
      </w:pPr>
      <w:r>
        <w:rPr>
          <w:rFonts w:hint="eastAsia"/>
          <w:lang w:eastAsia="zh-CN"/>
        </w:rPr>
        <w:t>（</w:t>
      </w:r>
      <w:r>
        <w:t>五</w:t>
      </w:r>
      <w:r>
        <w:rPr>
          <w:rFonts w:hint="eastAsia"/>
          <w:lang w:eastAsia="zh-CN"/>
        </w:rPr>
        <w:t>）</w:t>
      </w:r>
      <w:r>
        <w:t>做好非公经济代表人士整治安排的推荐工作；</w:t>
      </w:r>
    </w:p>
    <w:p>
      <w:pPr>
        <w:pStyle w:val="17"/>
      </w:pPr>
      <w:r>
        <w:rPr>
          <w:rFonts w:hint="eastAsia"/>
          <w:lang w:eastAsia="zh-CN"/>
        </w:rPr>
        <w:t>（</w:t>
      </w:r>
      <w:r>
        <w:t>六</w:t>
      </w:r>
      <w:r>
        <w:rPr>
          <w:rFonts w:hint="eastAsia"/>
          <w:lang w:eastAsia="zh-CN"/>
        </w:rPr>
        <w:t>）</w:t>
      </w:r>
      <w:r>
        <w:t>为会员提供有关证明，协调关系，调节纠纷；</w:t>
      </w:r>
    </w:p>
    <w:p>
      <w:pPr>
        <w:pStyle w:val="17"/>
      </w:pPr>
      <w:r>
        <w:rPr>
          <w:rFonts w:hint="eastAsia"/>
          <w:lang w:eastAsia="zh-CN"/>
        </w:rPr>
        <w:t>（</w:t>
      </w:r>
      <w:r>
        <w:t>七</w:t>
      </w:r>
      <w:r>
        <w:rPr>
          <w:rFonts w:hint="eastAsia"/>
          <w:lang w:eastAsia="zh-CN"/>
        </w:rPr>
        <w:t>）</w:t>
      </w:r>
      <w:r>
        <w:t>承办政府和有关部门委托事项。</w:t>
      </w:r>
    </w:p>
    <w:p>
      <w:pPr>
        <w:pStyle w:val="17"/>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无极县工商业联合会本级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按照预算管理有关规定，目前我县部门预算的编制实行综合预算管理，即全部收入和支出都反映在预算中。无极县</w:t>
      </w:r>
      <w:r>
        <w:rPr>
          <w:rFonts w:hint="eastAsia"/>
          <w:lang w:eastAsia="zh-CN"/>
        </w:rPr>
        <w:t>工商业联合会</w:t>
      </w:r>
      <w:r>
        <w:t>的收支包含在部门预算中。</w:t>
      </w:r>
    </w:p>
    <w:p>
      <w:pPr>
        <w:pStyle w:val="18"/>
      </w:pPr>
      <w:r>
        <w:t>1、收入说明</w:t>
      </w:r>
    </w:p>
    <w:p>
      <w:pPr>
        <w:pStyle w:val="18"/>
      </w:pPr>
      <w:r>
        <w:t>反映本部门当年全部收入，2022年预算收入</w:t>
      </w:r>
      <w:r>
        <w:rPr>
          <w:rFonts w:hint="eastAsia"/>
          <w:lang w:val="en-US" w:eastAsia="zh-CN"/>
        </w:rPr>
        <w:t>76.19</w:t>
      </w:r>
      <w:r>
        <w:t>万元，其中：一般公共预算拨款</w:t>
      </w:r>
      <w:r>
        <w:rPr>
          <w:rFonts w:hint="eastAsia"/>
          <w:lang w:val="en-US" w:eastAsia="zh-CN"/>
        </w:rPr>
        <w:t>76.19</w:t>
      </w:r>
      <w:r>
        <w:t>万元，基金预算拨款0万元，财政专户核拨0万元，其他来源收入0万元。</w:t>
      </w:r>
    </w:p>
    <w:p>
      <w:pPr>
        <w:pStyle w:val="18"/>
      </w:pPr>
      <w:r>
        <w:t>2、支出说明</w:t>
      </w:r>
    </w:p>
    <w:p>
      <w:pPr>
        <w:pStyle w:val="18"/>
      </w:pPr>
      <w:r>
        <w:t>收支预算总表支出栏、基本支出表、项目支出表按经济分类和支出功能分类科目编制，反映</w:t>
      </w:r>
      <w:r>
        <w:rPr>
          <w:rFonts w:hint="eastAsia"/>
          <w:lang w:eastAsia="zh-CN"/>
        </w:rPr>
        <w:t>工商联</w:t>
      </w:r>
      <w:r>
        <w:t>年度部门预算中支出预算的总体情况。2022年部门支出预算为</w:t>
      </w:r>
      <w:r>
        <w:rPr>
          <w:rFonts w:hint="eastAsia"/>
          <w:lang w:val="en-US" w:eastAsia="zh-CN"/>
        </w:rPr>
        <w:t>76.19</w:t>
      </w:r>
      <w:r>
        <w:t>万元，其中基本支出</w:t>
      </w:r>
      <w:r>
        <w:rPr>
          <w:rFonts w:hint="eastAsia"/>
          <w:lang w:val="en-US" w:eastAsia="zh-CN"/>
        </w:rPr>
        <w:t>76.19</w:t>
      </w:r>
      <w:r>
        <w:t>元，包括人员经费6</w:t>
      </w:r>
      <w:r>
        <w:rPr>
          <w:rFonts w:hint="eastAsia"/>
          <w:lang w:val="en-US" w:eastAsia="zh-CN"/>
        </w:rPr>
        <w:t>7.25</w:t>
      </w:r>
      <w:r>
        <w:t>万元和日常公用经费8.9</w:t>
      </w:r>
      <w:r>
        <w:rPr>
          <w:rFonts w:hint="eastAsia"/>
          <w:lang w:val="en-US" w:eastAsia="zh-CN"/>
        </w:rPr>
        <w:t>4</w:t>
      </w:r>
      <w:r>
        <w:t>万元。主要为</w:t>
      </w:r>
      <w:r>
        <w:rPr>
          <w:rFonts w:hint="eastAsia"/>
          <w:lang w:eastAsia="zh-CN"/>
        </w:rPr>
        <w:t>工商联</w:t>
      </w:r>
      <w:r>
        <w:t>人员开支和日常公用。</w:t>
      </w:r>
    </w:p>
    <w:p>
      <w:pPr>
        <w:pStyle w:val="18"/>
      </w:pPr>
      <w:r>
        <w:t>3、比上年增减情况</w:t>
      </w:r>
    </w:p>
    <w:p>
      <w:pPr>
        <w:pStyle w:val="18"/>
        <w:rPr>
          <w:rFonts w:hint="eastAsia" w:eastAsia="方正仿宋_GBK"/>
          <w:lang w:eastAsia="zh-CN"/>
        </w:rPr>
      </w:pPr>
      <w:r>
        <w:t>2022年部门预算支出较2021年增加</w:t>
      </w:r>
      <w:r>
        <w:rPr>
          <w:rFonts w:hint="eastAsia"/>
          <w:lang w:val="en-US" w:eastAsia="zh-CN"/>
        </w:rPr>
        <w:t>14.66</w:t>
      </w:r>
      <w:r>
        <w:t>万元，其中：基本支出增加</w:t>
      </w:r>
      <w:r>
        <w:rPr>
          <w:rFonts w:hint="eastAsia"/>
          <w:lang w:val="en-US" w:eastAsia="zh-CN"/>
        </w:rPr>
        <w:t>14.66</w:t>
      </w:r>
      <w:r>
        <w:t>万元，主要是增加人员经费支出</w:t>
      </w:r>
      <w:r>
        <w:rPr>
          <w:rFonts w:hint="eastAsia"/>
          <w:lang w:eastAsia="zh-CN"/>
        </w:rPr>
        <w:t>。</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我部门机关运行经费8.94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pPr>
      <w:bookmarkStart w:id="13" w:name="_Toc_3_3_0000000014"/>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年，我部门财政拨款“三公”经费预算安排0万元，其中：因公出国（境）费0万元；公务用车购置及运维费0万元（其中：公务用车购置费0万元，公务用车运行维护费0万元)。其中公务接待费0万元。</w:t>
      </w:r>
      <w:r>
        <w:rPr>
          <w:rFonts w:hint="eastAsia" w:ascii="Times New Roman" w:hAnsi="Times New Roman" w:eastAsia="方正仿宋_GBK" w:cs="Times New Roman"/>
          <w:sz w:val="28"/>
          <w:szCs w:val="24"/>
          <w:lang w:val="en-US" w:eastAsia="uk-UA" w:bidi="ar-SA"/>
        </w:rPr>
        <w:t>本</w:t>
      </w:r>
      <w:r>
        <w:rPr>
          <w:rFonts w:hint="eastAsia"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uk-UA" w:bidi="ar-SA"/>
        </w:rPr>
        <w:t>因今年没有安排因公出国（境），本</w:t>
      </w:r>
      <w:r>
        <w:rPr>
          <w:rFonts w:hint="eastAsia" w:eastAsia="方正仿宋_GBK" w:cs="Times New Roman"/>
          <w:sz w:val="28"/>
          <w:szCs w:val="24"/>
          <w:lang w:val="en-US" w:eastAsia="zh-CN" w:bidi="ar-SA"/>
        </w:rPr>
        <w:t>部门</w:t>
      </w:r>
      <w:r>
        <w:rPr>
          <w:rFonts w:hint="eastAsia" w:ascii="Times New Roman" w:hAnsi="Times New Roman" w:eastAsia="方正仿宋_GBK" w:cs="Times New Roman"/>
          <w:sz w:val="28"/>
          <w:szCs w:val="24"/>
          <w:lang w:val="en-US" w:eastAsia="uk-UA" w:bidi="ar-SA"/>
        </w:rPr>
        <w:t>没有公车，今年也没有产生接待费，所以与2021年相比持平无增减变化。</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1"/>
      </w:pPr>
      <w:r>
        <w:rPr>
          <w:rFonts w:hint="eastAsia"/>
          <w:lang w:val="en-US" w:eastAsia="zh-CN"/>
        </w:rPr>
        <w:t>一、</w:t>
      </w:r>
      <w:r>
        <w:t>总体绩效目标</w:t>
      </w:r>
    </w:p>
    <w:p>
      <w:pPr>
        <w:pStyle w:val="21"/>
      </w:pPr>
      <w:r>
        <w:t>全面贯彻党的十九大精神，坚持以习近平新时代中国特色社会主义思想为统领，扎实推进县委县政府工作部署落地落实。认真履行工商联章程，努力做好会员各项服务工作。推进学习培训、商会交流和异地商会建设，积极参政议政和搭建企业融资平台，努力做好非公有制经济人士思想政治工作，全面促进我县非公有制经济健康发展。</w:t>
      </w:r>
    </w:p>
    <w:p>
      <w:pPr>
        <w:pStyle w:val="22"/>
        <w:ind w:left="0" w:leftChars="0" w:firstLine="560" w:firstLineChars="200"/>
      </w:pPr>
      <w:r>
        <w:rPr>
          <w:rFonts w:hint="eastAsia"/>
          <w:lang w:val="en-US" w:eastAsia="zh-CN"/>
        </w:rPr>
        <w:t>二、</w:t>
      </w:r>
      <w:r>
        <w:t>分项绩效目标</w:t>
      </w:r>
    </w:p>
    <w:p>
      <w:pPr>
        <w:pStyle w:val="22"/>
      </w:pPr>
      <w:r>
        <w:t>（</w:t>
      </w:r>
      <w:r>
        <w:rPr>
          <w:rFonts w:hint="eastAsia"/>
          <w:lang w:val="en-US" w:eastAsia="zh-CN"/>
        </w:rPr>
        <w:t>1</w:t>
      </w:r>
      <w:r>
        <w:t>）履行工商联章程，做好各项服务工作，搞好交流培训。</w:t>
      </w:r>
    </w:p>
    <w:p>
      <w:pPr>
        <w:pStyle w:val="22"/>
      </w:pPr>
      <w:r>
        <w:t>绩效目标：做好企业家教育学习培训会议工作，促进我县非公有制经济快速健康发展。</w:t>
      </w:r>
    </w:p>
    <w:p>
      <w:pPr>
        <w:pStyle w:val="22"/>
      </w:pPr>
      <w:r>
        <w:t>绩效指标：推进学习培训、商会交流和异地商会建设，组织企业家培训3次，参训企业家≥90%。外出学习考察1次。</w:t>
      </w:r>
    </w:p>
    <w:p>
      <w:pPr>
        <w:pStyle w:val="22"/>
      </w:pPr>
      <w:r>
        <w:t>（</w:t>
      </w:r>
      <w:r>
        <w:rPr>
          <w:rFonts w:hint="eastAsia"/>
          <w:lang w:val="en-US" w:eastAsia="zh-CN"/>
        </w:rPr>
        <w:t>2</w:t>
      </w:r>
      <w:r>
        <w:t>）按照工商联章程做好常委会、执委会的召开，完成会议各项议程。</w:t>
      </w:r>
    </w:p>
    <w:p>
      <w:pPr>
        <w:pStyle w:val="22"/>
      </w:pPr>
      <w:r>
        <w:t>绩效目标：搞好工商联班子建设，提升工商联影响力</w:t>
      </w:r>
    </w:p>
    <w:p>
      <w:pPr>
        <w:pStyle w:val="22"/>
        <w:rPr>
          <w:rFonts w:hint="eastAsia" w:eastAsia="方正仿宋_GBK"/>
          <w:lang w:eastAsia="zh-CN"/>
        </w:rPr>
      </w:pPr>
      <w:r>
        <w:t>绩效指标：组织召开常委会两次、执委会一次，常委会参会人数≥90%，执委会参会人数≥95%，做到工商联班子健全，凝聚力和战斗力强，圆满完成上级工商联和县委下达的各项工作任务。</w:t>
      </w:r>
    </w:p>
    <w:p>
      <w:pPr>
        <w:spacing w:line="500" w:lineRule="exact"/>
        <w:ind w:firstLine="560"/>
      </w:pPr>
      <w:r>
        <w:rPr>
          <w:rFonts w:hint="eastAsia" w:eastAsia="方正仿宋_GBK"/>
          <w:color w:val="000000"/>
          <w:sz w:val="28"/>
          <w:lang w:val="en-US" w:eastAsia="zh-CN"/>
        </w:rPr>
        <w:t>三、</w:t>
      </w:r>
      <w:r>
        <w:rPr>
          <w:rFonts w:eastAsia="方正仿宋_GBK"/>
          <w:color w:val="000000"/>
          <w:sz w:val="28"/>
        </w:rPr>
        <w:t>工作保障措施</w:t>
      </w:r>
    </w:p>
    <w:p>
      <w:pPr>
        <w:pStyle w:val="23"/>
      </w:pPr>
      <w:r>
        <w:t>1、积极引导，认真做好非公有制经济人士思想政治工作，参与新农村建设和社会公益事业。</w:t>
      </w:r>
    </w:p>
    <w:p>
      <w:pPr>
        <w:pStyle w:val="23"/>
      </w:pPr>
      <w:r>
        <w:t>2、开拓思想，拓展商会组织网络，建立异地商会。</w:t>
      </w:r>
    </w:p>
    <w:p>
      <w:pPr>
        <w:pStyle w:val="23"/>
      </w:pPr>
      <w:r>
        <w:t>3、多措并举，通过理想信念主题教育、创建诚信企业、教育培训等活动，提高非公经济人士素质。</w:t>
      </w:r>
    </w:p>
    <w:p>
      <w:pPr>
        <w:pStyle w:val="23"/>
      </w:pPr>
      <w:r>
        <w:t>4、严格按照工商联章程开展工作，按时召开执委会、党委会。</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640" w:firstLineChars="200"/>
        <w:jc w:val="left"/>
        <w:outlineLvl w:val="1"/>
        <w:rPr>
          <w:rFonts w:hint="eastAsia" w:ascii="Times New Roman" w:hAnsi="Times New Roman" w:eastAsia="仿宋" w:cs="Times New Roman"/>
          <w:sz w:val="32"/>
          <w:szCs w:val="32"/>
          <w:lang w:eastAsia="zh-CN"/>
        </w:rPr>
      </w:pPr>
      <w:r>
        <w:rPr>
          <w:rFonts w:hint="eastAsia" w:eastAsia="仿宋" w:cs="Times New Roman"/>
          <w:sz w:val="32"/>
          <w:szCs w:val="32"/>
          <w:lang w:val="en-US" w:eastAsia="zh-CN"/>
        </w:rPr>
        <w:t>无</w:t>
      </w:r>
    </w:p>
    <w:p>
      <w:pPr>
        <w:numPr>
          <w:ilvl w:val="0"/>
          <w:numId w:val="1"/>
        </w:num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 预算项目绩效目标</w:t>
      </w:r>
    </w:p>
    <w:p>
      <w:pPr>
        <w:numPr>
          <w:ilvl w:val="0"/>
          <w:numId w:val="0"/>
        </w:numPr>
        <w:rPr>
          <w:rFonts w:hint="eastAsia" w:ascii="方正楷体_GBK" w:hAnsi="方正楷体_GBK" w:eastAsia="方正楷体_GBK" w:cs="方正楷体_GBK"/>
          <w:b/>
          <w:color w:val="000000"/>
          <w:sz w:val="32"/>
          <w:lang w:val="en-US" w:eastAsia="zh-CN"/>
        </w:rPr>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eastAsia="仿宋" w:cs="Times New Roman"/>
          <w:sz w:val="32"/>
          <w:szCs w:val="32"/>
          <w:lang w:val="en-US" w:eastAsia="zh-CN"/>
        </w:rPr>
        <w:t>无</w:t>
      </w:r>
    </w:p>
    <w:p>
      <w:pPr>
        <w:spacing w:before="10" w:after="1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2022年，无极县工商业联合会安排政府采购预算0.00万元。具体内容见下表。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714无极县工商业联合会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无极县工商业联合会（含所属单位）上年末固定资产金额为2.61万元（详见下表）。本年度拟购置固定资产总额为0.00万元</w:t>
      </w:r>
      <w:bookmarkStart w:id="18" w:name="_GoBack"/>
      <w:bookmarkEnd w:id="18"/>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714无极县工商业联合会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2.61</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E442983"/>
    <w:multiLevelType w:val="singleLevel"/>
    <w:tmpl w:val="9E442983"/>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00F14243"/>
    <w:rsid w:val="006E6810"/>
    <w:rsid w:val="00AD558A"/>
    <w:rsid w:val="00EA7032"/>
    <w:rsid w:val="00F14243"/>
    <w:rsid w:val="04021022"/>
    <w:rsid w:val="0A39126B"/>
    <w:rsid w:val="0B97040B"/>
    <w:rsid w:val="0EB71003"/>
    <w:rsid w:val="11915E3C"/>
    <w:rsid w:val="15B33E8E"/>
    <w:rsid w:val="15D55C6E"/>
    <w:rsid w:val="15ED3D61"/>
    <w:rsid w:val="1E856C23"/>
    <w:rsid w:val="23633C22"/>
    <w:rsid w:val="2723638D"/>
    <w:rsid w:val="290741B4"/>
    <w:rsid w:val="308C66BA"/>
    <w:rsid w:val="31A31778"/>
    <w:rsid w:val="31CE102F"/>
    <w:rsid w:val="362C2255"/>
    <w:rsid w:val="364D1B20"/>
    <w:rsid w:val="372604E8"/>
    <w:rsid w:val="38B22A36"/>
    <w:rsid w:val="39581BE4"/>
    <w:rsid w:val="3C650E53"/>
    <w:rsid w:val="3E4C0B48"/>
    <w:rsid w:val="3F0C779A"/>
    <w:rsid w:val="43136CCD"/>
    <w:rsid w:val="43BD1AAE"/>
    <w:rsid w:val="45594D90"/>
    <w:rsid w:val="478F7A73"/>
    <w:rsid w:val="4AD1021A"/>
    <w:rsid w:val="55CB2709"/>
    <w:rsid w:val="56BA5480"/>
    <w:rsid w:val="59891E8E"/>
    <w:rsid w:val="5CCE0B3B"/>
    <w:rsid w:val="5E6F7086"/>
    <w:rsid w:val="605469EC"/>
    <w:rsid w:val="640C434D"/>
    <w:rsid w:val="684B6375"/>
    <w:rsid w:val="6AB3478F"/>
    <w:rsid w:val="76B61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2022-06-23T11:05:04Z</dcterms:created>
  <dcterms:modified xsi:type="dcterms:W3CDTF">2022-06-23T03:05:04Z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2022-06-23T11:05:08Z</dcterms:created>
  <dcterms:modified xsi:type="dcterms:W3CDTF">2022-06-23T03:05:08Z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2022-06-23T11:05:04Z</dcterms:created>
  <dcterms:modified xsi:type="dcterms:W3CDTF">2022-06-23T03:05:04Z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2022-06-23T11:05:07Z</dcterms:created>
  <dcterms:modified xsi:type="dcterms:W3CDTF">2022-06-23T03:05:07Z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2022-06-23T11:05:03Z</dcterms:created>
  <dcterms:modified xsi:type="dcterms:W3CDTF">2022-06-23T03:05:03Z</dcterms:modified>
</cp:coreProperties>
</file>

<file path=customXml/itemProps1.xml><?xml version="1.0" encoding="utf-8"?>
<ds:datastoreItem xmlns:ds="http://schemas.openxmlformats.org/officeDocument/2006/customXml" ds:itemID="{36D1897C-03C6-4E53-A2E4-E1E6A9EFF02C}">
  <ds:schemaRefs/>
</ds:datastoreItem>
</file>

<file path=customXml/itemProps10.xml><?xml version="1.0" encoding="utf-8"?>
<ds:datastoreItem xmlns:ds="http://schemas.openxmlformats.org/officeDocument/2006/customXml" ds:itemID="{925608A3-C95E-476C-9946-D6E692FDB3D8}">
  <ds:schemaRefs/>
</ds:datastoreItem>
</file>

<file path=customXml/itemProps2.xml><?xml version="1.0" encoding="utf-8"?>
<ds:datastoreItem xmlns:ds="http://schemas.openxmlformats.org/officeDocument/2006/customXml" ds:itemID="{987339DA-8F41-4B9D-A0CA-5EF671B96870}">
  <ds:schemaRefs/>
</ds:datastoreItem>
</file>

<file path=customXml/itemProps3.xml><?xml version="1.0" encoding="utf-8"?>
<ds:datastoreItem xmlns:ds="http://schemas.openxmlformats.org/officeDocument/2006/customXml" ds:itemID="{FA0AC966-6B9B-4B5D-A433-F188556D9D28}">
  <ds:schemaRefs/>
</ds:datastoreItem>
</file>

<file path=customXml/itemProps4.xml><?xml version="1.0" encoding="utf-8"?>
<ds:datastoreItem xmlns:ds="http://schemas.openxmlformats.org/officeDocument/2006/customXml" ds:itemID="{7E1B8EE8-4D24-475A-BE16-F521B30DBAFE}">
  <ds:schemaRefs/>
</ds:datastoreItem>
</file>

<file path=customXml/itemProps5.xml><?xml version="1.0" encoding="utf-8"?>
<ds:datastoreItem xmlns:ds="http://schemas.openxmlformats.org/officeDocument/2006/customXml" ds:itemID="{D230C29E-4C22-4EE6-96C4-0DB9FAB12087}">
  <ds:schemaRefs/>
</ds:datastoreItem>
</file>

<file path=customXml/itemProps6.xml><?xml version="1.0" encoding="utf-8"?>
<ds:datastoreItem xmlns:ds="http://schemas.openxmlformats.org/officeDocument/2006/customXml" ds:itemID="{6AAF1329-11DC-40AD-AE68-8DCEB53F892A}">
  <ds:schemaRefs/>
</ds:datastoreItem>
</file>

<file path=customXml/itemProps7.xml><?xml version="1.0" encoding="utf-8"?>
<ds:datastoreItem xmlns:ds="http://schemas.openxmlformats.org/officeDocument/2006/customXml" ds:itemID="{B56AD0E6-BC6B-41B0-8E9B-3983450F18D7}">
  <ds:schemaRefs/>
</ds:datastoreItem>
</file>

<file path=customXml/itemProps8.xml><?xml version="1.0" encoding="utf-8"?>
<ds:datastoreItem xmlns:ds="http://schemas.openxmlformats.org/officeDocument/2006/customXml" ds:itemID="{636FF778-CF6F-4CC7-8F41-62BCCE1E70DE}">
  <ds:schemaRefs/>
</ds:datastoreItem>
</file>

<file path=customXml/itemProps9.xml><?xml version="1.0" encoding="utf-8"?>
<ds:datastoreItem xmlns:ds="http://schemas.openxmlformats.org/officeDocument/2006/customXml" ds:itemID="{75784D4E-33D2-49B9-BC2B-8961C072C5D9}">
  <ds:schemaRefs/>
</ds:datastoreItem>
</file>

<file path=docProps/app.xml><?xml version="1.0" encoding="utf-8"?>
<Properties xmlns="http://schemas.openxmlformats.org/officeDocument/2006/extended-properties" xmlns:vt="http://schemas.openxmlformats.org/officeDocument/2006/docPropsVTypes">
  <Template>Normal</Template>
  <Pages>37</Pages>
  <Words>9322</Words>
  <Characters>10931</Characters>
  <Lines>106</Lines>
  <Paragraphs>29</Paragraphs>
  <TotalTime>2</TotalTime>
  <ScaleCrop>false</ScaleCrop>
  <LinksUpToDate>false</LinksUpToDate>
  <CharactersWithSpaces>11212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2022-06-23T03:23:00Z</dcterms:created>
  <dc:creator>Administrator</dc:creator>
  <cp:lastModifiedBy>Administrator</cp:lastModifiedBy>
  <dcterms:modified xsi:type="dcterms:W3CDTF">2023-08-31T07:25:32Z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FEE67D5998474D79828CDD4702B22A69</vt:lpwstr>
  </property>
</Properties>
</file>