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部门所属单位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bookmarkStart w:id="0" w:name="_Toc_2_2_0000000001"/>
      <w:r>
        <w:fldChar w:fldCharType="begin"/>
      </w:r>
      <w:r>
        <w:instrText xml:space="preserve"> HYPERLINK \l "_Toc_4_4_0000000019" </w:instrText>
      </w:r>
      <w:r>
        <w:fldChar w:fldCharType="separate"/>
      </w:r>
      <w:r>
        <w:t>一、无极县</w:t>
      </w:r>
      <w:r>
        <w:rPr>
          <w:rFonts w:hint="eastAsia"/>
          <w:lang w:val="en-US" w:eastAsia="zh-CN"/>
        </w:rPr>
        <w:t>检察院</w:t>
      </w:r>
      <w:r>
        <w:t>本极收支预算</w:t>
      </w:r>
      <w:r>
        <w:tab/>
      </w:r>
      <w:r>
        <w:rPr>
          <w:rFonts w:hint="eastAsia"/>
          <w:lang w:val="en-US" w:eastAsia="zh-CN"/>
        </w:rPr>
        <w:t>2</w:t>
      </w:r>
      <w:r>
        <w:fldChar w:fldCharType="end"/>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1"/>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1"/>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1"/>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1"/>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1"/>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1"/>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1"/>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1"/>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1"/>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1"/>
        <w:rPr>
          <w:rFonts w:ascii="方正小标宋_GBK" w:hAnsi="方正小标宋_GBK" w:eastAsia="方正小标宋_GBK" w:cs="方正小标宋_GBK"/>
          <w:color w:val="000000"/>
          <w:sz w:val="36"/>
        </w:rPr>
      </w:pPr>
    </w:p>
    <w:p>
      <w:pPr>
        <w:spacing w:before="0" w:after="0"/>
        <w:ind w:firstLine="0"/>
        <w:jc w:val="center"/>
        <w:outlineLvl w:val="3"/>
      </w:pPr>
      <w:bookmarkStart w:id="1" w:name="_Toc_4_4_0000000019"/>
      <w:r>
        <w:rPr>
          <w:rFonts w:ascii="方正小标宋_GBK" w:hAnsi="方正小标宋_GBK" w:eastAsia="方正小标宋_GBK" w:cs="方正小标宋_GBK"/>
          <w:b w:val="0"/>
          <w:color w:val="000000"/>
          <w:sz w:val="44"/>
        </w:rPr>
        <w:t>一、无极县</w:t>
      </w:r>
      <w:r>
        <w:rPr>
          <w:rFonts w:hint="eastAsia" w:ascii="方正小标宋_GBK" w:hAnsi="方正小标宋_GBK" w:eastAsia="方正小标宋_GBK" w:cs="方正小标宋_GBK"/>
          <w:b w:val="0"/>
          <w:color w:val="000000"/>
          <w:sz w:val="44"/>
          <w:lang w:val="en-US" w:eastAsia="zh-CN"/>
        </w:rPr>
        <w:t>检察院</w:t>
      </w:r>
      <w:bookmarkStart w:id="19" w:name="_GoBack"/>
      <w:bookmarkEnd w:id="19"/>
      <w:r>
        <w:rPr>
          <w:rFonts w:ascii="方正小标宋_GBK" w:hAnsi="方正小标宋_GBK" w:eastAsia="方正小标宋_GBK" w:cs="方正小标宋_GBK"/>
          <w:b w:val="0"/>
          <w:color w:val="000000"/>
          <w:sz w:val="44"/>
        </w:rPr>
        <w:t>本极收支预算</w:t>
      </w:r>
      <w:bookmarkEnd w:id="1"/>
    </w:p>
    <w:p>
      <w:pPr>
        <w:spacing w:before="0" w:after="0" w:line="240" w:lineRule="auto"/>
        <w:ind w:firstLine="6120" w:firstLineChars="1700"/>
        <w:jc w:val="both"/>
        <w:outlineLvl w:val="1"/>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151无极县人民检察院</w:t>
            </w:r>
          </w:p>
        </w:tc>
        <w:tc>
          <w:tcPr>
            <w:tcW w:w="2126" w:type="dxa"/>
            <w:tcBorders>
              <w:top w:val="single" w:color="FFFFFF" w:sz="6" w:space="0"/>
              <w:left w:val="single" w:color="FFFFFF" w:sz="6" w:space="0"/>
              <w:right w:val="single" w:color="FFFFFF" w:sz="6" w:space="0"/>
            </w:tcBorders>
            <w:vAlign w:val="center"/>
          </w:tcPr>
          <w:p>
            <w:pPr>
              <w:pStyle w:val="11"/>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1200.98</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r>
              <w:t>1138.73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40.82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21.43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1200.98</w:t>
            </w:r>
          </w:p>
        </w:tc>
        <w:tc>
          <w:tcPr>
            <w:tcW w:w="4535" w:type="dxa"/>
            <w:vAlign w:val="center"/>
          </w:tcPr>
          <w:p>
            <w:pPr>
              <w:pStyle w:val="17"/>
            </w:pPr>
            <w:r>
              <w:t>本年支出合计</w:t>
            </w:r>
          </w:p>
        </w:tc>
        <w:tc>
          <w:tcPr>
            <w:tcW w:w="2126" w:type="dxa"/>
            <w:vAlign w:val="center"/>
          </w:tcPr>
          <w:p>
            <w:pPr>
              <w:pStyle w:val="18"/>
            </w:pPr>
            <w:r>
              <w:t>1200.98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1200.98</w:t>
            </w:r>
          </w:p>
        </w:tc>
        <w:tc>
          <w:tcPr>
            <w:tcW w:w="4535" w:type="dxa"/>
            <w:vAlign w:val="center"/>
          </w:tcPr>
          <w:p>
            <w:pPr>
              <w:pStyle w:val="17"/>
            </w:pPr>
            <w:r>
              <w:t>支出总计</w:t>
            </w:r>
          </w:p>
        </w:tc>
        <w:tc>
          <w:tcPr>
            <w:tcW w:w="2126" w:type="dxa"/>
            <w:vAlign w:val="center"/>
          </w:tcPr>
          <w:p>
            <w:pPr>
              <w:pStyle w:val="18"/>
            </w:pPr>
            <w:r>
              <w:t>1200.98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151无极县人民检察院</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1200.98</w:t>
            </w:r>
          </w:p>
        </w:tc>
        <w:tc>
          <w:tcPr>
            <w:tcW w:w="1134" w:type="dxa"/>
            <w:vAlign w:val="center"/>
          </w:tcPr>
          <w:p>
            <w:pPr>
              <w:pStyle w:val="18"/>
            </w:pPr>
            <w:r>
              <w:t>1200.98</w:t>
            </w:r>
          </w:p>
        </w:tc>
        <w:tc>
          <w:tcPr>
            <w:tcW w:w="1134" w:type="dxa"/>
            <w:vAlign w:val="center"/>
          </w:tcPr>
          <w:p>
            <w:pPr>
              <w:pStyle w:val="18"/>
            </w:pPr>
            <w:r>
              <w:t>1200.98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204</w:t>
            </w:r>
          </w:p>
        </w:tc>
        <w:tc>
          <w:tcPr>
            <w:tcW w:w="1559" w:type="dxa"/>
            <w:vAlign w:val="center"/>
          </w:tcPr>
          <w:p>
            <w:pPr>
              <w:pStyle w:val="15"/>
            </w:pPr>
            <w:r>
              <w:t>公共安全支出</w:t>
            </w:r>
          </w:p>
        </w:tc>
        <w:tc>
          <w:tcPr>
            <w:tcW w:w="1134" w:type="dxa"/>
            <w:vAlign w:val="center"/>
          </w:tcPr>
          <w:p>
            <w:pPr>
              <w:pStyle w:val="14"/>
            </w:pPr>
            <w:r>
              <w:t>1138.73</w:t>
            </w:r>
          </w:p>
        </w:tc>
        <w:tc>
          <w:tcPr>
            <w:tcW w:w="1134" w:type="dxa"/>
            <w:vAlign w:val="center"/>
          </w:tcPr>
          <w:p>
            <w:pPr>
              <w:pStyle w:val="14"/>
            </w:pPr>
            <w:r>
              <w:t>1138.73</w:t>
            </w:r>
          </w:p>
        </w:tc>
        <w:tc>
          <w:tcPr>
            <w:tcW w:w="1134" w:type="dxa"/>
            <w:vAlign w:val="center"/>
          </w:tcPr>
          <w:p>
            <w:pPr>
              <w:pStyle w:val="14"/>
            </w:pPr>
            <w:r>
              <w:t>1138.73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20404</w:t>
            </w:r>
          </w:p>
        </w:tc>
        <w:tc>
          <w:tcPr>
            <w:tcW w:w="1559" w:type="dxa"/>
            <w:vAlign w:val="center"/>
          </w:tcPr>
          <w:p>
            <w:pPr>
              <w:pStyle w:val="15"/>
            </w:pPr>
            <w:r>
              <w:t>检察</w:t>
            </w:r>
          </w:p>
        </w:tc>
        <w:tc>
          <w:tcPr>
            <w:tcW w:w="1134" w:type="dxa"/>
            <w:vAlign w:val="center"/>
          </w:tcPr>
          <w:p>
            <w:pPr>
              <w:pStyle w:val="14"/>
            </w:pPr>
            <w:r>
              <w:t>1138.73</w:t>
            </w:r>
          </w:p>
        </w:tc>
        <w:tc>
          <w:tcPr>
            <w:tcW w:w="1134" w:type="dxa"/>
            <w:vAlign w:val="center"/>
          </w:tcPr>
          <w:p>
            <w:pPr>
              <w:pStyle w:val="14"/>
            </w:pPr>
            <w:r>
              <w:t>1138.73</w:t>
            </w:r>
          </w:p>
        </w:tc>
        <w:tc>
          <w:tcPr>
            <w:tcW w:w="1134" w:type="dxa"/>
            <w:vAlign w:val="center"/>
          </w:tcPr>
          <w:p>
            <w:pPr>
              <w:pStyle w:val="14"/>
            </w:pPr>
            <w:r>
              <w:t>1138.73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2040401</w:t>
            </w:r>
          </w:p>
        </w:tc>
        <w:tc>
          <w:tcPr>
            <w:tcW w:w="1559" w:type="dxa"/>
            <w:vAlign w:val="center"/>
          </w:tcPr>
          <w:p>
            <w:pPr>
              <w:pStyle w:val="15"/>
            </w:pPr>
            <w:r>
              <w:t>行政运行</w:t>
            </w:r>
          </w:p>
        </w:tc>
        <w:tc>
          <w:tcPr>
            <w:tcW w:w="1134" w:type="dxa"/>
            <w:vAlign w:val="center"/>
          </w:tcPr>
          <w:p>
            <w:pPr>
              <w:pStyle w:val="14"/>
            </w:pPr>
            <w:r>
              <w:t>974.67</w:t>
            </w:r>
          </w:p>
        </w:tc>
        <w:tc>
          <w:tcPr>
            <w:tcW w:w="1134" w:type="dxa"/>
            <w:vAlign w:val="center"/>
          </w:tcPr>
          <w:p>
            <w:pPr>
              <w:pStyle w:val="14"/>
            </w:pPr>
            <w:r>
              <w:t>974.67</w:t>
            </w:r>
          </w:p>
        </w:tc>
        <w:tc>
          <w:tcPr>
            <w:tcW w:w="1134" w:type="dxa"/>
            <w:vAlign w:val="center"/>
          </w:tcPr>
          <w:p>
            <w:pPr>
              <w:pStyle w:val="14"/>
            </w:pPr>
            <w:r>
              <w:t>974.67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2040499</w:t>
            </w:r>
          </w:p>
        </w:tc>
        <w:tc>
          <w:tcPr>
            <w:tcW w:w="1559" w:type="dxa"/>
            <w:vAlign w:val="center"/>
          </w:tcPr>
          <w:p>
            <w:pPr>
              <w:pStyle w:val="15"/>
            </w:pPr>
            <w:r>
              <w:t>其他检察支出</w:t>
            </w:r>
          </w:p>
        </w:tc>
        <w:tc>
          <w:tcPr>
            <w:tcW w:w="1134" w:type="dxa"/>
            <w:vAlign w:val="center"/>
          </w:tcPr>
          <w:p>
            <w:pPr>
              <w:pStyle w:val="14"/>
            </w:pPr>
            <w:r>
              <w:t>164.06</w:t>
            </w:r>
          </w:p>
        </w:tc>
        <w:tc>
          <w:tcPr>
            <w:tcW w:w="1134" w:type="dxa"/>
            <w:vAlign w:val="center"/>
          </w:tcPr>
          <w:p>
            <w:pPr>
              <w:pStyle w:val="14"/>
            </w:pPr>
            <w:r>
              <w:t>164.06</w:t>
            </w:r>
          </w:p>
        </w:tc>
        <w:tc>
          <w:tcPr>
            <w:tcW w:w="1134" w:type="dxa"/>
            <w:vAlign w:val="center"/>
          </w:tcPr>
          <w:p>
            <w:pPr>
              <w:pStyle w:val="14"/>
            </w:pPr>
            <w:r>
              <w:t>164.06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1200.98</w:t>
            </w:r>
          </w:p>
        </w:tc>
        <w:tc>
          <w:tcPr>
            <w:tcW w:w="1361" w:type="dxa"/>
            <w:vAlign w:val="center"/>
          </w:tcPr>
          <w:p>
            <w:pPr>
              <w:pStyle w:val="18"/>
            </w:pPr>
            <w:r>
              <w:t>1036.92</w:t>
            </w:r>
          </w:p>
        </w:tc>
        <w:tc>
          <w:tcPr>
            <w:tcW w:w="1361" w:type="dxa"/>
            <w:vAlign w:val="center"/>
          </w:tcPr>
          <w:p>
            <w:pPr>
              <w:pStyle w:val="18"/>
            </w:pPr>
            <w:r>
              <w:t>164.06</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204</w:t>
            </w:r>
          </w:p>
        </w:tc>
        <w:tc>
          <w:tcPr>
            <w:tcW w:w="4535" w:type="dxa"/>
            <w:vAlign w:val="center"/>
          </w:tcPr>
          <w:p>
            <w:pPr>
              <w:pStyle w:val="15"/>
            </w:pPr>
            <w:r>
              <w:t>公共安全支出</w:t>
            </w:r>
          </w:p>
        </w:tc>
        <w:tc>
          <w:tcPr>
            <w:tcW w:w="1361" w:type="dxa"/>
            <w:vAlign w:val="center"/>
          </w:tcPr>
          <w:p>
            <w:pPr>
              <w:pStyle w:val="14"/>
            </w:pPr>
            <w:r>
              <w:t>1138.73</w:t>
            </w:r>
          </w:p>
        </w:tc>
        <w:tc>
          <w:tcPr>
            <w:tcW w:w="1361" w:type="dxa"/>
            <w:vAlign w:val="center"/>
          </w:tcPr>
          <w:p>
            <w:pPr>
              <w:pStyle w:val="14"/>
            </w:pPr>
            <w:r>
              <w:t>974.67</w:t>
            </w:r>
          </w:p>
        </w:tc>
        <w:tc>
          <w:tcPr>
            <w:tcW w:w="1361" w:type="dxa"/>
            <w:vAlign w:val="center"/>
          </w:tcPr>
          <w:p>
            <w:pPr>
              <w:pStyle w:val="14"/>
            </w:pPr>
            <w:r>
              <w:t>164.06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20404</w:t>
            </w:r>
          </w:p>
        </w:tc>
        <w:tc>
          <w:tcPr>
            <w:tcW w:w="4535" w:type="dxa"/>
            <w:vAlign w:val="center"/>
          </w:tcPr>
          <w:p>
            <w:pPr>
              <w:pStyle w:val="15"/>
            </w:pPr>
            <w:r>
              <w:t>检察</w:t>
            </w:r>
          </w:p>
        </w:tc>
        <w:tc>
          <w:tcPr>
            <w:tcW w:w="1361" w:type="dxa"/>
            <w:vAlign w:val="center"/>
          </w:tcPr>
          <w:p>
            <w:pPr>
              <w:pStyle w:val="14"/>
            </w:pPr>
            <w:r>
              <w:t>1138.73</w:t>
            </w:r>
          </w:p>
        </w:tc>
        <w:tc>
          <w:tcPr>
            <w:tcW w:w="1361" w:type="dxa"/>
            <w:vAlign w:val="center"/>
          </w:tcPr>
          <w:p>
            <w:pPr>
              <w:pStyle w:val="14"/>
            </w:pPr>
            <w:r>
              <w:t>974.67</w:t>
            </w:r>
          </w:p>
        </w:tc>
        <w:tc>
          <w:tcPr>
            <w:tcW w:w="1361" w:type="dxa"/>
            <w:vAlign w:val="center"/>
          </w:tcPr>
          <w:p>
            <w:pPr>
              <w:pStyle w:val="14"/>
            </w:pPr>
            <w:r>
              <w:t>164.06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2040401</w:t>
            </w:r>
          </w:p>
        </w:tc>
        <w:tc>
          <w:tcPr>
            <w:tcW w:w="4535" w:type="dxa"/>
            <w:vAlign w:val="center"/>
          </w:tcPr>
          <w:p>
            <w:pPr>
              <w:pStyle w:val="15"/>
            </w:pPr>
            <w:r>
              <w:t>行政运行</w:t>
            </w:r>
          </w:p>
        </w:tc>
        <w:tc>
          <w:tcPr>
            <w:tcW w:w="1361" w:type="dxa"/>
            <w:vAlign w:val="center"/>
          </w:tcPr>
          <w:p>
            <w:pPr>
              <w:pStyle w:val="14"/>
            </w:pPr>
            <w:r>
              <w:t>974.67</w:t>
            </w:r>
          </w:p>
        </w:tc>
        <w:tc>
          <w:tcPr>
            <w:tcW w:w="1361" w:type="dxa"/>
            <w:vAlign w:val="center"/>
          </w:tcPr>
          <w:p>
            <w:pPr>
              <w:pStyle w:val="14"/>
            </w:pPr>
            <w:r>
              <w:t>974.67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2040499</w:t>
            </w:r>
          </w:p>
        </w:tc>
        <w:tc>
          <w:tcPr>
            <w:tcW w:w="4535" w:type="dxa"/>
            <w:vAlign w:val="center"/>
          </w:tcPr>
          <w:p>
            <w:pPr>
              <w:pStyle w:val="15"/>
            </w:pPr>
            <w:r>
              <w:t>其他检察支出</w:t>
            </w:r>
          </w:p>
        </w:tc>
        <w:tc>
          <w:tcPr>
            <w:tcW w:w="1361" w:type="dxa"/>
            <w:vAlign w:val="center"/>
          </w:tcPr>
          <w:p>
            <w:pPr>
              <w:pStyle w:val="14"/>
            </w:pPr>
            <w:r>
              <w:t>164.06</w:t>
            </w:r>
          </w:p>
        </w:tc>
        <w:tc>
          <w:tcPr>
            <w:tcW w:w="1361" w:type="dxa"/>
            <w:vAlign w:val="center"/>
          </w:tcPr>
          <w:p>
            <w:pPr>
              <w:pStyle w:val="14"/>
            </w:pPr>
          </w:p>
        </w:tc>
        <w:tc>
          <w:tcPr>
            <w:tcW w:w="1361" w:type="dxa"/>
            <w:vAlign w:val="center"/>
          </w:tcPr>
          <w:p>
            <w:pPr>
              <w:pStyle w:val="14"/>
            </w:pPr>
            <w:r>
              <w:t>164.06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40.82</w:t>
            </w:r>
          </w:p>
        </w:tc>
        <w:tc>
          <w:tcPr>
            <w:tcW w:w="1361" w:type="dxa"/>
            <w:vAlign w:val="center"/>
          </w:tcPr>
          <w:p>
            <w:pPr>
              <w:pStyle w:val="14"/>
            </w:pPr>
            <w:r>
              <w:t>40.82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40.82</w:t>
            </w:r>
          </w:p>
        </w:tc>
        <w:tc>
          <w:tcPr>
            <w:tcW w:w="1361" w:type="dxa"/>
            <w:vAlign w:val="center"/>
          </w:tcPr>
          <w:p>
            <w:pPr>
              <w:pStyle w:val="14"/>
            </w:pPr>
            <w:r>
              <w:t>40.82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40.82</w:t>
            </w:r>
          </w:p>
        </w:tc>
        <w:tc>
          <w:tcPr>
            <w:tcW w:w="1361" w:type="dxa"/>
            <w:vAlign w:val="center"/>
          </w:tcPr>
          <w:p>
            <w:pPr>
              <w:pStyle w:val="14"/>
            </w:pPr>
            <w:r>
              <w:t>40.82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21.43</w:t>
            </w:r>
          </w:p>
        </w:tc>
        <w:tc>
          <w:tcPr>
            <w:tcW w:w="1361" w:type="dxa"/>
            <w:vAlign w:val="center"/>
          </w:tcPr>
          <w:p>
            <w:pPr>
              <w:pStyle w:val="14"/>
            </w:pPr>
            <w:r>
              <w:t>21.43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21.43</w:t>
            </w:r>
          </w:p>
        </w:tc>
        <w:tc>
          <w:tcPr>
            <w:tcW w:w="1361" w:type="dxa"/>
            <w:vAlign w:val="center"/>
          </w:tcPr>
          <w:p>
            <w:pPr>
              <w:pStyle w:val="14"/>
            </w:pPr>
            <w:r>
              <w:t>21.43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21.43</w:t>
            </w:r>
          </w:p>
        </w:tc>
        <w:tc>
          <w:tcPr>
            <w:tcW w:w="1361" w:type="dxa"/>
            <w:vAlign w:val="center"/>
          </w:tcPr>
          <w:p>
            <w:pPr>
              <w:pStyle w:val="14"/>
            </w:pPr>
            <w:r>
              <w:t>21.43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3402" w:type="dxa"/>
            <w:tcBorders>
              <w:top w:val="single" w:color="FFFFFF" w:sz="6" w:space="0"/>
              <w:left w:val="single" w:color="FFFFFF" w:sz="6" w:space="0"/>
              <w:right w:val="single" w:color="FFFFFF" w:sz="6" w:space="0"/>
            </w:tcBorders>
            <w:vAlign w:val="center"/>
          </w:tcPr>
          <w:p>
            <w:pPr>
              <w:pStyle w:val="11"/>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1200.98</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r>
              <w:t>1138.73</w:t>
            </w:r>
          </w:p>
        </w:tc>
        <w:tc>
          <w:tcPr>
            <w:tcW w:w="1474" w:type="dxa"/>
            <w:vAlign w:val="center"/>
          </w:tcPr>
          <w:p>
            <w:pPr>
              <w:pStyle w:val="14"/>
            </w:pPr>
            <w:r>
              <w:t>1138.73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40.82</w:t>
            </w:r>
          </w:p>
        </w:tc>
        <w:tc>
          <w:tcPr>
            <w:tcW w:w="1474" w:type="dxa"/>
            <w:vAlign w:val="center"/>
          </w:tcPr>
          <w:p>
            <w:pPr>
              <w:pStyle w:val="14"/>
            </w:pPr>
            <w:r>
              <w:t>40.82</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21.43</w:t>
            </w:r>
          </w:p>
        </w:tc>
        <w:tc>
          <w:tcPr>
            <w:tcW w:w="1474" w:type="dxa"/>
            <w:vAlign w:val="center"/>
          </w:tcPr>
          <w:p>
            <w:pPr>
              <w:pStyle w:val="14"/>
            </w:pPr>
            <w:r>
              <w:t>21.43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7"/>
            </w:pPr>
            <w:r>
              <w:t>本年收入合计</w:t>
            </w:r>
          </w:p>
        </w:tc>
        <w:tc>
          <w:tcPr>
            <w:tcW w:w="1474" w:type="dxa"/>
            <w:vAlign w:val="center"/>
          </w:tcPr>
          <w:p>
            <w:pPr>
              <w:pStyle w:val="18"/>
            </w:pPr>
            <w:r>
              <w:t>1200.98</w:t>
            </w:r>
          </w:p>
        </w:tc>
        <w:tc>
          <w:tcPr>
            <w:tcW w:w="3402" w:type="dxa"/>
            <w:vAlign w:val="center"/>
          </w:tcPr>
          <w:p>
            <w:pPr>
              <w:pStyle w:val="17"/>
            </w:pPr>
            <w:r>
              <w:t>本年支出合计</w:t>
            </w:r>
          </w:p>
        </w:tc>
        <w:tc>
          <w:tcPr>
            <w:tcW w:w="1474" w:type="dxa"/>
            <w:vAlign w:val="center"/>
          </w:tcPr>
          <w:p>
            <w:pPr>
              <w:pStyle w:val="18"/>
            </w:pPr>
            <w:r>
              <w:t>1200.98</w:t>
            </w:r>
          </w:p>
        </w:tc>
        <w:tc>
          <w:tcPr>
            <w:tcW w:w="1474" w:type="dxa"/>
            <w:vAlign w:val="center"/>
          </w:tcPr>
          <w:p>
            <w:pPr>
              <w:pStyle w:val="18"/>
            </w:pPr>
            <w:r>
              <w:t>1200.98</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7"/>
            </w:pPr>
            <w:r>
              <w:t>收入总计</w:t>
            </w:r>
          </w:p>
        </w:tc>
        <w:tc>
          <w:tcPr>
            <w:tcW w:w="1474" w:type="dxa"/>
            <w:vAlign w:val="center"/>
          </w:tcPr>
          <w:p>
            <w:pPr>
              <w:pStyle w:val="18"/>
            </w:pPr>
            <w:r>
              <w:t>1200.98</w:t>
            </w:r>
          </w:p>
        </w:tc>
        <w:tc>
          <w:tcPr>
            <w:tcW w:w="3402" w:type="dxa"/>
            <w:vAlign w:val="center"/>
          </w:tcPr>
          <w:p>
            <w:pPr>
              <w:pStyle w:val="17"/>
            </w:pPr>
            <w:r>
              <w:t>支出总计</w:t>
            </w:r>
          </w:p>
        </w:tc>
        <w:tc>
          <w:tcPr>
            <w:tcW w:w="1474" w:type="dxa"/>
            <w:vAlign w:val="center"/>
          </w:tcPr>
          <w:p>
            <w:pPr>
              <w:pStyle w:val="18"/>
            </w:pPr>
            <w:r>
              <w:t>1200.98</w:t>
            </w:r>
          </w:p>
        </w:tc>
        <w:tc>
          <w:tcPr>
            <w:tcW w:w="1474" w:type="dxa"/>
            <w:vAlign w:val="center"/>
          </w:tcPr>
          <w:p>
            <w:pPr>
              <w:pStyle w:val="18"/>
            </w:pPr>
            <w:r>
              <w:t>1200.98</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1200.98</w:t>
            </w:r>
          </w:p>
        </w:tc>
        <w:tc>
          <w:tcPr>
            <w:tcW w:w="2551" w:type="dxa"/>
            <w:vAlign w:val="center"/>
          </w:tcPr>
          <w:p>
            <w:pPr>
              <w:pStyle w:val="18"/>
            </w:pPr>
            <w:r>
              <w:t>1036.92</w:t>
            </w:r>
          </w:p>
        </w:tc>
        <w:tc>
          <w:tcPr>
            <w:tcW w:w="2551" w:type="dxa"/>
            <w:vAlign w:val="center"/>
          </w:tcPr>
          <w:p>
            <w:pPr>
              <w:pStyle w:val="18"/>
            </w:pPr>
            <w:r>
              <w:t>164.06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204</w:t>
            </w:r>
          </w:p>
        </w:tc>
        <w:tc>
          <w:tcPr>
            <w:tcW w:w="4535" w:type="dxa"/>
            <w:vAlign w:val="center"/>
          </w:tcPr>
          <w:p>
            <w:pPr>
              <w:pStyle w:val="15"/>
            </w:pPr>
            <w:r>
              <w:t>公共安全支出</w:t>
            </w:r>
          </w:p>
        </w:tc>
        <w:tc>
          <w:tcPr>
            <w:tcW w:w="2551" w:type="dxa"/>
            <w:vAlign w:val="center"/>
          </w:tcPr>
          <w:p>
            <w:pPr>
              <w:pStyle w:val="14"/>
            </w:pPr>
            <w:r>
              <w:t>1138.73</w:t>
            </w:r>
          </w:p>
        </w:tc>
        <w:tc>
          <w:tcPr>
            <w:tcW w:w="2551" w:type="dxa"/>
            <w:vAlign w:val="center"/>
          </w:tcPr>
          <w:p>
            <w:pPr>
              <w:pStyle w:val="14"/>
            </w:pPr>
            <w:r>
              <w:t>974.67</w:t>
            </w:r>
          </w:p>
        </w:tc>
        <w:tc>
          <w:tcPr>
            <w:tcW w:w="2551" w:type="dxa"/>
            <w:vAlign w:val="center"/>
          </w:tcPr>
          <w:p>
            <w:pPr>
              <w:pStyle w:val="14"/>
            </w:pPr>
            <w:r>
              <w:t>164.06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20404</w:t>
            </w:r>
          </w:p>
        </w:tc>
        <w:tc>
          <w:tcPr>
            <w:tcW w:w="4535" w:type="dxa"/>
            <w:vAlign w:val="center"/>
          </w:tcPr>
          <w:p>
            <w:pPr>
              <w:pStyle w:val="15"/>
            </w:pPr>
            <w:r>
              <w:t>检察</w:t>
            </w:r>
          </w:p>
        </w:tc>
        <w:tc>
          <w:tcPr>
            <w:tcW w:w="2551" w:type="dxa"/>
            <w:vAlign w:val="center"/>
          </w:tcPr>
          <w:p>
            <w:pPr>
              <w:pStyle w:val="14"/>
            </w:pPr>
            <w:r>
              <w:t>1138.73</w:t>
            </w:r>
          </w:p>
        </w:tc>
        <w:tc>
          <w:tcPr>
            <w:tcW w:w="2551" w:type="dxa"/>
            <w:vAlign w:val="center"/>
          </w:tcPr>
          <w:p>
            <w:pPr>
              <w:pStyle w:val="14"/>
            </w:pPr>
            <w:r>
              <w:t>974.67</w:t>
            </w:r>
          </w:p>
        </w:tc>
        <w:tc>
          <w:tcPr>
            <w:tcW w:w="2551" w:type="dxa"/>
            <w:vAlign w:val="center"/>
          </w:tcPr>
          <w:p>
            <w:pPr>
              <w:pStyle w:val="14"/>
            </w:pPr>
            <w:r>
              <w:t>164.06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2040401</w:t>
            </w:r>
          </w:p>
        </w:tc>
        <w:tc>
          <w:tcPr>
            <w:tcW w:w="4535" w:type="dxa"/>
            <w:vAlign w:val="center"/>
          </w:tcPr>
          <w:p>
            <w:pPr>
              <w:pStyle w:val="15"/>
            </w:pPr>
            <w:r>
              <w:t>行政运行</w:t>
            </w:r>
          </w:p>
        </w:tc>
        <w:tc>
          <w:tcPr>
            <w:tcW w:w="2551" w:type="dxa"/>
            <w:vAlign w:val="center"/>
          </w:tcPr>
          <w:p>
            <w:pPr>
              <w:pStyle w:val="14"/>
            </w:pPr>
            <w:r>
              <w:t>974.67</w:t>
            </w:r>
          </w:p>
        </w:tc>
        <w:tc>
          <w:tcPr>
            <w:tcW w:w="2551" w:type="dxa"/>
            <w:vAlign w:val="center"/>
          </w:tcPr>
          <w:p>
            <w:pPr>
              <w:pStyle w:val="14"/>
            </w:pPr>
            <w:r>
              <w:t>974.67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2040499</w:t>
            </w:r>
          </w:p>
        </w:tc>
        <w:tc>
          <w:tcPr>
            <w:tcW w:w="4535" w:type="dxa"/>
            <w:vAlign w:val="center"/>
          </w:tcPr>
          <w:p>
            <w:pPr>
              <w:pStyle w:val="15"/>
            </w:pPr>
            <w:r>
              <w:t>其他检察支出</w:t>
            </w:r>
          </w:p>
        </w:tc>
        <w:tc>
          <w:tcPr>
            <w:tcW w:w="2551" w:type="dxa"/>
            <w:vAlign w:val="center"/>
          </w:tcPr>
          <w:p>
            <w:pPr>
              <w:pStyle w:val="14"/>
            </w:pPr>
            <w:r>
              <w:t>164.06</w:t>
            </w:r>
          </w:p>
        </w:tc>
        <w:tc>
          <w:tcPr>
            <w:tcW w:w="2551" w:type="dxa"/>
            <w:vAlign w:val="center"/>
          </w:tcPr>
          <w:p>
            <w:pPr>
              <w:pStyle w:val="14"/>
            </w:pPr>
          </w:p>
        </w:tc>
        <w:tc>
          <w:tcPr>
            <w:tcW w:w="2551" w:type="dxa"/>
            <w:vAlign w:val="center"/>
          </w:tcPr>
          <w:p>
            <w:pPr>
              <w:pStyle w:val="14"/>
            </w:pPr>
            <w:r>
              <w:t>164.06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40.82</w:t>
            </w:r>
          </w:p>
        </w:tc>
        <w:tc>
          <w:tcPr>
            <w:tcW w:w="2551" w:type="dxa"/>
            <w:vAlign w:val="center"/>
          </w:tcPr>
          <w:p>
            <w:pPr>
              <w:pStyle w:val="14"/>
            </w:pPr>
            <w:r>
              <w:t>40.82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40.82</w:t>
            </w:r>
          </w:p>
        </w:tc>
        <w:tc>
          <w:tcPr>
            <w:tcW w:w="2551" w:type="dxa"/>
            <w:vAlign w:val="center"/>
          </w:tcPr>
          <w:p>
            <w:pPr>
              <w:pStyle w:val="14"/>
            </w:pPr>
            <w:r>
              <w:t>40.82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40.82</w:t>
            </w:r>
          </w:p>
        </w:tc>
        <w:tc>
          <w:tcPr>
            <w:tcW w:w="2551" w:type="dxa"/>
            <w:vAlign w:val="center"/>
          </w:tcPr>
          <w:p>
            <w:pPr>
              <w:pStyle w:val="14"/>
            </w:pPr>
            <w:r>
              <w:t>40.82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21.43</w:t>
            </w:r>
          </w:p>
        </w:tc>
        <w:tc>
          <w:tcPr>
            <w:tcW w:w="2551" w:type="dxa"/>
            <w:vAlign w:val="center"/>
          </w:tcPr>
          <w:p>
            <w:pPr>
              <w:pStyle w:val="14"/>
            </w:pPr>
            <w:r>
              <w:t>21.43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21.43</w:t>
            </w:r>
          </w:p>
        </w:tc>
        <w:tc>
          <w:tcPr>
            <w:tcW w:w="2551" w:type="dxa"/>
            <w:vAlign w:val="center"/>
          </w:tcPr>
          <w:p>
            <w:pPr>
              <w:pStyle w:val="14"/>
            </w:pPr>
            <w:r>
              <w:t>21.43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21.43</w:t>
            </w:r>
          </w:p>
        </w:tc>
        <w:tc>
          <w:tcPr>
            <w:tcW w:w="2551" w:type="dxa"/>
            <w:vAlign w:val="center"/>
          </w:tcPr>
          <w:p>
            <w:pPr>
              <w:pStyle w:val="14"/>
            </w:pPr>
            <w:r>
              <w:t>21.43</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6"/>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1036.92</w:t>
            </w:r>
          </w:p>
        </w:tc>
        <w:tc>
          <w:tcPr>
            <w:tcW w:w="2551" w:type="dxa"/>
            <w:vAlign w:val="center"/>
          </w:tcPr>
          <w:p>
            <w:pPr>
              <w:pStyle w:val="18"/>
            </w:pPr>
            <w:r>
              <w:t>631.82</w:t>
            </w:r>
          </w:p>
        </w:tc>
        <w:tc>
          <w:tcPr>
            <w:tcW w:w="2551" w:type="dxa"/>
            <w:vAlign w:val="center"/>
          </w:tcPr>
          <w:p>
            <w:pPr>
              <w:pStyle w:val="18"/>
            </w:pPr>
            <w:r>
              <w:t>405.10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601.79</w:t>
            </w:r>
          </w:p>
        </w:tc>
        <w:tc>
          <w:tcPr>
            <w:tcW w:w="2551" w:type="dxa"/>
            <w:vAlign w:val="center"/>
          </w:tcPr>
          <w:p>
            <w:pPr>
              <w:pStyle w:val="14"/>
            </w:pPr>
            <w:r>
              <w:t>601.79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250.00</w:t>
            </w:r>
          </w:p>
        </w:tc>
        <w:tc>
          <w:tcPr>
            <w:tcW w:w="2551" w:type="dxa"/>
            <w:vAlign w:val="center"/>
          </w:tcPr>
          <w:p>
            <w:pPr>
              <w:pStyle w:val="14"/>
            </w:pPr>
            <w:r>
              <w:t>250.00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110.92</w:t>
            </w:r>
          </w:p>
        </w:tc>
        <w:tc>
          <w:tcPr>
            <w:tcW w:w="2551" w:type="dxa"/>
            <w:vAlign w:val="center"/>
          </w:tcPr>
          <w:p>
            <w:pPr>
              <w:pStyle w:val="14"/>
            </w:pPr>
            <w:r>
              <w:t>110.92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117.48</w:t>
            </w:r>
          </w:p>
        </w:tc>
        <w:tc>
          <w:tcPr>
            <w:tcW w:w="2551" w:type="dxa"/>
            <w:vAlign w:val="center"/>
          </w:tcPr>
          <w:p>
            <w:pPr>
              <w:pStyle w:val="14"/>
            </w:pPr>
            <w:r>
              <w:t>117.48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59.80</w:t>
            </w:r>
          </w:p>
        </w:tc>
        <w:tc>
          <w:tcPr>
            <w:tcW w:w="2551" w:type="dxa"/>
            <w:vAlign w:val="center"/>
          </w:tcPr>
          <w:p>
            <w:pPr>
              <w:pStyle w:val="14"/>
            </w:pPr>
            <w:r>
              <w:t>59.80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40.82</w:t>
            </w:r>
          </w:p>
        </w:tc>
        <w:tc>
          <w:tcPr>
            <w:tcW w:w="2551" w:type="dxa"/>
            <w:vAlign w:val="center"/>
          </w:tcPr>
          <w:p>
            <w:pPr>
              <w:pStyle w:val="14"/>
            </w:pPr>
            <w:r>
              <w:t>40.82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城镇职工基本医疗保险缴费</w:t>
            </w:r>
          </w:p>
        </w:tc>
        <w:tc>
          <w:tcPr>
            <w:tcW w:w="2551" w:type="dxa"/>
            <w:vAlign w:val="center"/>
          </w:tcPr>
          <w:p>
            <w:pPr>
              <w:pStyle w:val="14"/>
            </w:pPr>
            <w:r>
              <w:t>21.43</w:t>
            </w:r>
          </w:p>
        </w:tc>
        <w:tc>
          <w:tcPr>
            <w:tcW w:w="2551" w:type="dxa"/>
            <w:vAlign w:val="center"/>
          </w:tcPr>
          <w:p>
            <w:pPr>
              <w:pStyle w:val="14"/>
            </w:pPr>
            <w:r>
              <w:t>21.43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1.34</w:t>
            </w:r>
          </w:p>
        </w:tc>
        <w:tc>
          <w:tcPr>
            <w:tcW w:w="2551" w:type="dxa"/>
            <w:vAlign w:val="center"/>
          </w:tcPr>
          <w:p>
            <w:pPr>
              <w:pStyle w:val="14"/>
            </w:pPr>
            <w:r>
              <w:t>1.34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390.10</w:t>
            </w:r>
          </w:p>
        </w:tc>
        <w:tc>
          <w:tcPr>
            <w:tcW w:w="2551" w:type="dxa"/>
            <w:vAlign w:val="center"/>
          </w:tcPr>
          <w:p>
            <w:pPr>
              <w:pStyle w:val="14"/>
            </w:pPr>
          </w:p>
        </w:tc>
        <w:tc>
          <w:tcPr>
            <w:tcW w:w="2551" w:type="dxa"/>
            <w:vAlign w:val="center"/>
          </w:tcPr>
          <w:p>
            <w:pPr>
              <w:pStyle w:val="14"/>
            </w:pPr>
            <w:r>
              <w:t>390.10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96.00</w:t>
            </w:r>
          </w:p>
        </w:tc>
        <w:tc>
          <w:tcPr>
            <w:tcW w:w="2551" w:type="dxa"/>
            <w:vAlign w:val="center"/>
          </w:tcPr>
          <w:p>
            <w:pPr>
              <w:pStyle w:val="14"/>
            </w:pPr>
          </w:p>
        </w:tc>
        <w:tc>
          <w:tcPr>
            <w:tcW w:w="2551" w:type="dxa"/>
            <w:vAlign w:val="center"/>
          </w:tcPr>
          <w:p>
            <w:pPr>
              <w:pStyle w:val="14"/>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30206</w:t>
            </w:r>
          </w:p>
        </w:tc>
        <w:tc>
          <w:tcPr>
            <w:tcW w:w="4535" w:type="dxa"/>
            <w:vAlign w:val="center"/>
          </w:tcPr>
          <w:p>
            <w:pPr>
              <w:pStyle w:val="15"/>
            </w:pPr>
            <w:r>
              <w:t>电费</w:t>
            </w:r>
          </w:p>
        </w:tc>
        <w:tc>
          <w:tcPr>
            <w:tcW w:w="2551" w:type="dxa"/>
            <w:vAlign w:val="center"/>
          </w:tcPr>
          <w:p>
            <w:pPr>
              <w:pStyle w:val="14"/>
            </w:pPr>
            <w:r>
              <w:t>16.00</w:t>
            </w:r>
          </w:p>
        </w:tc>
        <w:tc>
          <w:tcPr>
            <w:tcW w:w="2551" w:type="dxa"/>
            <w:vAlign w:val="center"/>
          </w:tcPr>
          <w:p>
            <w:pPr>
              <w:pStyle w:val="14"/>
            </w:pPr>
          </w:p>
        </w:tc>
        <w:tc>
          <w:tcPr>
            <w:tcW w:w="2551" w:type="dxa"/>
            <w:vAlign w:val="center"/>
          </w:tcPr>
          <w:p>
            <w:pPr>
              <w:pStyle w:val="14"/>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18.36</w:t>
            </w:r>
          </w:p>
        </w:tc>
        <w:tc>
          <w:tcPr>
            <w:tcW w:w="2551" w:type="dxa"/>
            <w:vAlign w:val="center"/>
          </w:tcPr>
          <w:p>
            <w:pPr>
              <w:pStyle w:val="14"/>
            </w:pPr>
          </w:p>
        </w:tc>
        <w:tc>
          <w:tcPr>
            <w:tcW w:w="2551" w:type="dxa"/>
            <w:vAlign w:val="center"/>
          </w:tcPr>
          <w:p>
            <w:pPr>
              <w:pStyle w:val="14"/>
            </w:pPr>
            <w:r>
              <w:t>18.36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30208</w:t>
            </w:r>
          </w:p>
        </w:tc>
        <w:tc>
          <w:tcPr>
            <w:tcW w:w="4535" w:type="dxa"/>
            <w:vAlign w:val="center"/>
          </w:tcPr>
          <w:p>
            <w:pPr>
              <w:pStyle w:val="15"/>
            </w:pPr>
            <w:r>
              <w:t>取暖费</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30213</w:t>
            </w:r>
          </w:p>
        </w:tc>
        <w:tc>
          <w:tcPr>
            <w:tcW w:w="4535" w:type="dxa"/>
            <w:vAlign w:val="center"/>
          </w:tcPr>
          <w:p>
            <w:pPr>
              <w:pStyle w:val="15"/>
            </w:pPr>
            <w:r>
              <w:t>维修(护)费</w:t>
            </w:r>
          </w:p>
        </w:tc>
        <w:tc>
          <w:tcPr>
            <w:tcW w:w="2551" w:type="dxa"/>
            <w:vAlign w:val="center"/>
          </w:tcPr>
          <w:p>
            <w:pPr>
              <w:pStyle w:val="14"/>
            </w:pPr>
            <w:r>
              <w:t>100.00</w:t>
            </w:r>
          </w:p>
        </w:tc>
        <w:tc>
          <w:tcPr>
            <w:tcW w:w="2551" w:type="dxa"/>
            <w:vAlign w:val="center"/>
          </w:tcPr>
          <w:p>
            <w:pPr>
              <w:pStyle w:val="14"/>
            </w:pPr>
          </w:p>
        </w:tc>
        <w:tc>
          <w:tcPr>
            <w:tcW w:w="2551" w:type="dxa"/>
            <w:vAlign w:val="center"/>
          </w:tcPr>
          <w:p>
            <w:pPr>
              <w:pStyle w:val="14"/>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74.00</w:t>
            </w:r>
          </w:p>
        </w:tc>
        <w:tc>
          <w:tcPr>
            <w:tcW w:w="2551" w:type="dxa"/>
            <w:vAlign w:val="center"/>
          </w:tcPr>
          <w:p>
            <w:pPr>
              <w:pStyle w:val="14"/>
            </w:pPr>
          </w:p>
        </w:tc>
        <w:tc>
          <w:tcPr>
            <w:tcW w:w="2551" w:type="dxa"/>
            <w:vAlign w:val="center"/>
          </w:tcPr>
          <w:p>
            <w:pPr>
              <w:pStyle w:val="14"/>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29.00</w:t>
            </w:r>
          </w:p>
        </w:tc>
        <w:tc>
          <w:tcPr>
            <w:tcW w:w="2551" w:type="dxa"/>
            <w:vAlign w:val="center"/>
          </w:tcPr>
          <w:p>
            <w:pPr>
              <w:pStyle w:val="14"/>
            </w:pPr>
          </w:p>
        </w:tc>
        <w:tc>
          <w:tcPr>
            <w:tcW w:w="2551" w:type="dxa"/>
            <w:vAlign w:val="center"/>
          </w:tcPr>
          <w:p>
            <w:pPr>
              <w:pStyle w:val="14"/>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26.74</w:t>
            </w:r>
          </w:p>
        </w:tc>
        <w:tc>
          <w:tcPr>
            <w:tcW w:w="2551" w:type="dxa"/>
            <w:vAlign w:val="center"/>
          </w:tcPr>
          <w:p>
            <w:pPr>
              <w:pStyle w:val="14"/>
            </w:pPr>
          </w:p>
        </w:tc>
        <w:tc>
          <w:tcPr>
            <w:tcW w:w="2551" w:type="dxa"/>
            <w:vAlign w:val="center"/>
          </w:tcPr>
          <w:p>
            <w:pPr>
              <w:pStyle w:val="14"/>
            </w:pPr>
            <w:r>
              <w:t>26.74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30.03</w:t>
            </w:r>
          </w:p>
        </w:tc>
        <w:tc>
          <w:tcPr>
            <w:tcW w:w="2551" w:type="dxa"/>
            <w:vAlign w:val="center"/>
          </w:tcPr>
          <w:p>
            <w:pPr>
              <w:pStyle w:val="14"/>
            </w:pPr>
            <w:r>
              <w:t>30.03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30.03</w:t>
            </w:r>
          </w:p>
        </w:tc>
        <w:tc>
          <w:tcPr>
            <w:tcW w:w="2551" w:type="dxa"/>
            <w:vAlign w:val="center"/>
          </w:tcPr>
          <w:p>
            <w:pPr>
              <w:pStyle w:val="14"/>
            </w:pPr>
            <w:r>
              <w:t>30.03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310</w:t>
            </w:r>
          </w:p>
        </w:tc>
        <w:tc>
          <w:tcPr>
            <w:tcW w:w="4535" w:type="dxa"/>
            <w:vAlign w:val="center"/>
          </w:tcPr>
          <w:p>
            <w:pPr>
              <w:pStyle w:val="15"/>
            </w:pPr>
            <w:r>
              <w:t>资本性支出</w:t>
            </w:r>
          </w:p>
        </w:tc>
        <w:tc>
          <w:tcPr>
            <w:tcW w:w="2551" w:type="dxa"/>
            <w:vAlign w:val="center"/>
          </w:tcPr>
          <w:p>
            <w:pPr>
              <w:pStyle w:val="14"/>
            </w:pPr>
            <w:r>
              <w:t>15.00</w:t>
            </w:r>
          </w:p>
        </w:tc>
        <w:tc>
          <w:tcPr>
            <w:tcW w:w="2551" w:type="dxa"/>
            <w:vAlign w:val="center"/>
          </w:tcPr>
          <w:p>
            <w:pPr>
              <w:pStyle w:val="14"/>
            </w:pPr>
          </w:p>
        </w:tc>
        <w:tc>
          <w:tcPr>
            <w:tcW w:w="2551" w:type="dxa"/>
            <w:vAlign w:val="center"/>
          </w:tcPr>
          <w:p>
            <w:pPr>
              <w:pStyle w:val="14"/>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31002</w:t>
            </w:r>
          </w:p>
        </w:tc>
        <w:tc>
          <w:tcPr>
            <w:tcW w:w="4535" w:type="dxa"/>
            <w:vAlign w:val="center"/>
          </w:tcPr>
          <w:p>
            <w:pPr>
              <w:pStyle w:val="15"/>
            </w:pPr>
            <w:r>
              <w:t>办公设备购置</w:t>
            </w:r>
          </w:p>
        </w:tc>
        <w:tc>
          <w:tcPr>
            <w:tcW w:w="2551" w:type="dxa"/>
            <w:vAlign w:val="center"/>
          </w:tcPr>
          <w:p>
            <w:pPr>
              <w:pStyle w:val="14"/>
            </w:pPr>
            <w:r>
              <w:t>15.00</w:t>
            </w:r>
          </w:p>
        </w:tc>
        <w:tc>
          <w:tcPr>
            <w:tcW w:w="2551" w:type="dxa"/>
            <w:vAlign w:val="center"/>
          </w:tcPr>
          <w:p>
            <w:pPr>
              <w:pStyle w:val="14"/>
            </w:pPr>
          </w:p>
        </w:tc>
        <w:tc>
          <w:tcPr>
            <w:tcW w:w="2551" w:type="dxa"/>
            <w:vAlign w:val="center"/>
          </w:tcPr>
          <w:p>
            <w:pPr>
              <w:pStyle w:val="14"/>
            </w:pPr>
            <w:r>
              <w:t>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7"/>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预算政府基金预算财政拨款支出表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8" w:name="_Toc_2_2_0000000008"/>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9"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9"/>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381" w:type="dxa"/>
            <w:tcBorders>
              <w:top w:val="single" w:color="FFFFFF" w:sz="6" w:space="0"/>
              <w:left w:val="single" w:color="FFFFFF" w:sz="6" w:space="0"/>
              <w:right w:val="single" w:color="FFFFFF" w:sz="6" w:space="0"/>
            </w:tcBorders>
            <w:vAlign w:val="center"/>
          </w:tcPr>
          <w:p>
            <w:pPr>
              <w:pStyle w:val="11"/>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无极县人民检察院2022年部门预算信息公开情况说明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无极县人民检察院2022年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按照《预算法》、《地方预决算公开操作规程》和《关于进一步推进预算公开工作的实施意见》规定，现将无极县人民检察院2022年</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10"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10"/>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pStyle w:val="20"/>
      </w:pPr>
      <w:r>
        <w:t>人民检察院通过行使检察权，追诉犯罪，维护国家安全和社会秩序，维护个人和组织的合法权益，维护国家利益和社会公共利益，保障法律正确实施，维护社会公平正义，维护国家法制统一、尊严和权威，保障中国特色社会主义建设的顺利进行。</w:t>
      </w:r>
    </w:p>
    <w:p>
      <w:pPr>
        <w:pStyle w:val="20"/>
      </w:pPr>
      <w:r>
        <w:t>（一）依照法律规定对有关刑事案件行使侦查权；</w:t>
      </w:r>
    </w:p>
    <w:p>
      <w:pPr>
        <w:pStyle w:val="20"/>
      </w:pPr>
      <w:r>
        <w:t>（二）对刑事案件进行审查，批准或者决定是否逮捕犯罪嫌疑人</w:t>
      </w:r>
    </w:p>
    <w:p>
      <w:pPr>
        <w:pStyle w:val="20"/>
      </w:pPr>
      <w:r>
        <w:t>（三）对刑事案件进行审查，决定是否提起公诉，对决定提起公诉的案件支持公诉；</w:t>
      </w:r>
    </w:p>
    <w:p>
      <w:pPr>
        <w:pStyle w:val="20"/>
      </w:pPr>
      <w:r>
        <w:t>（四）依照法律规定提起公益诉讼；</w:t>
      </w:r>
    </w:p>
    <w:p>
      <w:pPr>
        <w:pStyle w:val="20"/>
      </w:pPr>
      <w:r>
        <w:t>（五）对诉讼活动实行法律监督；</w:t>
      </w:r>
    </w:p>
    <w:p>
      <w:pPr>
        <w:pStyle w:val="20"/>
      </w:pPr>
      <w:r>
        <w:t>（六）对判决、裁定等生效法律文书的执行工作实行法律监督；</w:t>
      </w:r>
    </w:p>
    <w:p>
      <w:pPr>
        <w:pStyle w:val="20"/>
      </w:pPr>
      <w:r>
        <w:t>（七）对监狱、看守所的执法活动实行法律监督；</w:t>
      </w:r>
    </w:p>
    <w:p>
      <w:pPr>
        <w:pStyle w:val="20"/>
      </w:pPr>
      <w:r>
        <w:t>（八）法律规定的其他职权。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无极县人民检察院本级</w:t>
            </w:r>
          </w:p>
        </w:tc>
        <w:tc>
          <w:tcPr>
            <w:tcW w:w="1843" w:type="dxa"/>
            <w:vAlign w:val="center"/>
          </w:tcPr>
          <w:p>
            <w:pPr>
              <w:pStyle w:val="16"/>
            </w:pPr>
            <w:r>
              <w:t>行政</w:t>
            </w:r>
          </w:p>
        </w:tc>
        <w:tc>
          <w:tcPr>
            <w:tcW w:w="2126" w:type="dxa"/>
            <w:vAlign w:val="center"/>
          </w:tcPr>
          <w:p>
            <w:pPr>
              <w:pStyle w:val="16"/>
            </w:pPr>
            <w:r>
              <w:t>副处（县）级</w:t>
            </w:r>
          </w:p>
        </w:tc>
        <w:tc>
          <w:tcPr>
            <w:tcW w:w="3827" w:type="dxa"/>
            <w:vAlign w:val="center"/>
          </w:tcPr>
          <w:p>
            <w:pPr>
              <w:pStyle w:val="16"/>
            </w:pPr>
            <w:r>
              <w:t>财政拨款</w:t>
            </w:r>
          </w:p>
        </w:tc>
      </w:tr>
    </w:tbl>
    <w:p>
      <w:pPr>
        <w:spacing w:before="10" w:after="10" w:line="360" w:lineRule="auto"/>
        <w:ind w:firstLine="640"/>
        <w:jc w:val="left"/>
        <w:outlineLvl w:val="2"/>
      </w:pPr>
      <w:bookmarkStart w:id="11" w:name="_Toc_3_3_0000000011"/>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1"/>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县单位</w:t>
      </w:r>
      <w:r>
        <w:rPr>
          <w:rFonts w:ascii="Times New Roman" w:hAnsi="Times New Roman" w:eastAsia="方正仿宋_GBK" w:cs="Times New Roman"/>
          <w:color w:val="000000"/>
          <w:sz w:val="28"/>
        </w:rPr>
        <w:t>预算的编制实行综合预算管理，即全部收入和支出都反映在预算中。无极县人民检察院机关及所属事业单位的收支包含在</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预算中。</w:t>
      </w:r>
    </w:p>
    <w:p>
      <w:pPr>
        <w:pStyle w:val="21"/>
      </w:pPr>
      <w:r>
        <w:t>1、收入说明</w:t>
      </w:r>
    </w:p>
    <w:p>
      <w:pPr>
        <w:pStyle w:val="21"/>
      </w:pPr>
      <w:r>
        <w:t>反映本</w:t>
      </w:r>
      <w:r>
        <w:rPr>
          <w:rFonts w:hint="eastAsia"/>
          <w:lang w:val="en-US" w:eastAsia="zh-CN"/>
        </w:rPr>
        <w:t>单位</w:t>
      </w:r>
      <w:r>
        <w:t>当年全部收入。2022年预算收入1200.98万元，其中：一般公共预算收入1200.98万元，基金预算收入0万元，财政专户核拨收入0万元，其他来源收入0万元。</w:t>
      </w:r>
    </w:p>
    <w:p>
      <w:pPr>
        <w:pStyle w:val="21"/>
      </w:pPr>
      <w:r>
        <w:t>2、支出说明</w:t>
      </w:r>
    </w:p>
    <w:p>
      <w:pPr>
        <w:pStyle w:val="21"/>
      </w:pPr>
      <w:r>
        <w:t>收支预算总表支出栏、基本支出表、项目支出表按经济分类和支出功能分类科目编制，反映无极县人民检察院年度</w:t>
      </w:r>
      <w:r>
        <w:rPr>
          <w:rFonts w:hint="eastAsia"/>
          <w:lang w:val="en-US" w:eastAsia="zh-CN"/>
        </w:rPr>
        <w:t>单位</w:t>
      </w:r>
      <w:r>
        <w:t>预算中支出预算的总体情况。2022年</w:t>
      </w:r>
      <w:r>
        <w:rPr>
          <w:rFonts w:hint="eastAsia"/>
          <w:lang w:val="en-US" w:eastAsia="zh-CN"/>
        </w:rPr>
        <w:t>单位</w:t>
      </w:r>
      <w:r>
        <w:t>支出预算为1200.98万元，其中基本支出1036.92万元，包括人员经费631.82万元和日常公用经费405.10万元；项目支出164.06万元，主要为办案业务支出110万元，业务装备支出49万元，检察人员加班费5.06万元。</w:t>
      </w:r>
    </w:p>
    <w:p>
      <w:pPr>
        <w:pStyle w:val="21"/>
      </w:pPr>
      <w:r>
        <w:t>3、比上年增减情况</w:t>
      </w:r>
    </w:p>
    <w:p>
      <w:pPr>
        <w:pStyle w:val="21"/>
      </w:pPr>
      <w:r>
        <w:t>2022年</w:t>
      </w:r>
      <w:r>
        <w:rPr>
          <w:rFonts w:hint="eastAsia"/>
          <w:lang w:val="en-US" w:eastAsia="zh-CN"/>
        </w:rPr>
        <w:t>单位</w:t>
      </w:r>
      <w:r>
        <w:t>预算收支安排1200.98万元，较2021年增加44.40万元，其中：基本支出增加129.03万元；项目支出减少84.63万元；其他支出无增减变化。</w:t>
      </w:r>
    </w:p>
    <w:p>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pPr>
        <w:pStyle w:val="22"/>
      </w:pPr>
      <w:r>
        <w:t>2022年，我</w:t>
      </w:r>
      <w:r>
        <w:rPr>
          <w:rFonts w:hint="eastAsia"/>
          <w:lang w:val="en-US" w:eastAsia="zh-CN"/>
        </w:rPr>
        <w:t>单位</w:t>
      </w:r>
      <w:r>
        <w:t>机关运行经费共计安排405.10万元，其中360万元主要用于办公费、电费、取暖费、维修(护)费、劳务费、工会经费、福利费、办公设备购置等支出；45.10万元主要用于邮电费（移动通讯补贴）和其他交通费用（公务交通补贴）。</w:t>
      </w:r>
    </w:p>
    <w:p>
      <w:pPr>
        <w:spacing w:before="10" w:after="10" w:line="360" w:lineRule="auto"/>
        <w:ind w:firstLine="640"/>
        <w:jc w:val="left"/>
        <w:outlineLvl w:val="2"/>
      </w:pPr>
      <w:bookmarkStart w:id="13" w:name="_Toc_3_3_0000000013"/>
      <w:r>
        <w:rPr>
          <w:rFonts w:ascii="黑体" w:hAnsi="黑体" w:eastAsia="黑体" w:cs="黑体"/>
          <w:color w:val="000000"/>
          <w:sz w:val="32"/>
        </w:rPr>
        <w:t>四、财政拨款“三公”经费预算情况及增减变化原因</w:t>
      </w:r>
      <w:bookmarkEnd w:id="13"/>
    </w:p>
    <w:p>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bookmarkStart w:id="14" w:name="_Toc_3_3_0000000014"/>
      <w:r>
        <w:rPr>
          <w:rFonts w:hint="default" w:ascii="Times New Roman" w:hAnsi="Times New Roman" w:eastAsia="方正仿宋_GBK" w:cs="Times New Roman"/>
          <w:sz w:val="28"/>
          <w:szCs w:val="24"/>
          <w:lang w:val="en-US" w:eastAsia="uk-UA" w:bidi="ar-SA"/>
        </w:rPr>
        <w:t>2022</w:t>
      </w:r>
      <w:r>
        <w:rPr>
          <w:rFonts w:hint="eastAsia" w:ascii="Times New Roman" w:hAnsi="Times New Roman" w:eastAsia="方正仿宋_GBK" w:cs="Times New Roman"/>
          <w:sz w:val="28"/>
          <w:szCs w:val="24"/>
          <w:lang w:val="en-US" w:eastAsia="uk-UA" w:bidi="ar-SA"/>
        </w:rPr>
        <w:t>年，我</w:t>
      </w:r>
      <w:r>
        <w:rPr>
          <w:rFonts w:hint="eastAsia" w:ascii="Times New Roman" w:hAnsi="Times New Roman"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财政拨款“三公”经费预算安排</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万元，其中：因公出国（境）费0万元</w:t>
      </w:r>
      <w:r>
        <w:rPr>
          <w:rFonts w:hint="eastAsia" w:ascii="Times New Roman" w:hAnsi="Times New Roman" w:eastAsia="方正仿宋_GBK" w:cs="Times New Roman"/>
          <w:sz w:val="28"/>
          <w:szCs w:val="24"/>
          <w:lang w:val="en-US" w:eastAsia="zh-CN" w:bidi="ar-SA"/>
        </w:rPr>
        <w:t>，与上年持平，原因为未安排因公出国（境）费</w:t>
      </w:r>
      <w:r>
        <w:rPr>
          <w:rFonts w:hint="eastAsia" w:ascii="Times New Roman" w:hAnsi="Times New Roman" w:eastAsia="方正仿宋_GBK" w:cs="Times New Roman"/>
          <w:sz w:val="28"/>
          <w:szCs w:val="24"/>
          <w:lang w:val="en-US" w:eastAsia="uk-UA" w:bidi="ar-SA"/>
        </w:rPr>
        <w:t>；公务用车购置及运维费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万元（其中：公务用车购置费0万元，公务用车运行维护费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，与上年持平，原因为未安排公务用车购置及运维费；</w:t>
      </w:r>
      <w:r>
        <w:rPr>
          <w:rFonts w:hint="eastAsia" w:ascii="Times New Roman" w:hAnsi="Times New Roman" w:eastAsia="方正仿宋_GBK" w:cs="Times New Roman"/>
          <w:sz w:val="28"/>
          <w:szCs w:val="24"/>
          <w:lang w:val="en-US" w:eastAsia="uk-UA" w:bidi="ar-SA"/>
        </w:rPr>
        <w:t>公务接待费0万元</w:t>
      </w:r>
      <w:r>
        <w:rPr>
          <w:rFonts w:hint="eastAsia" w:ascii="Times New Roman" w:hAnsi="Times New Roman" w:eastAsia="方正仿宋_GBK" w:cs="Times New Roman"/>
          <w:sz w:val="28"/>
          <w:szCs w:val="24"/>
          <w:lang w:val="en-US" w:eastAsia="zh-CN" w:bidi="ar-SA"/>
        </w:rPr>
        <w:t>，与上年持平，原因为未安排公务接待费</w:t>
      </w:r>
      <w:r>
        <w:rPr>
          <w:rFonts w:hint="eastAsia" w:ascii="Times New Roman" w:hAnsi="Times New Roman" w:eastAsia="方正仿宋_GBK" w:cs="Times New Roman"/>
          <w:sz w:val="28"/>
          <w:szCs w:val="24"/>
          <w:lang w:val="en-US" w:eastAsia="uk-UA" w:bidi="ar-SA"/>
        </w:rPr>
        <w:t>。</w:t>
      </w:r>
    </w:p>
    <w:p>
      <w:pPr>
        <w:spacing w:before="10" w:after="10" w:line="360" w:lineRule="auto"/>
        <w:ind w:firstLine="640"/>
        <w:jc w:val="left"/>
        <w:outlineLvl w:val="2"/>
      </w:pPr>
      <w:r>
        <w:rPr>
          <w:rFonts w:ascii="黑体" w:hAnsi="黑体" w:eastAsia="黑体" w:cs="黑体"/>
          <w:color w:val="000000"/>
          <w:sz w:val="32"/>
        </w:rPr>
        <w:t>五、预算绩效信息</w:t>
      </w:r>
      <w:bookmarkEnd w:id="14"/>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hint="eastAsia"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4"/>
      </w:pPr>
      <w:r>
        <w:t>通过行使检察权，对侦查机关的侦查活动、人民法院的审判活动、看守所等机关执行刑罚的活动，依法实行法律监督，维护司法公正。有效提高批捕、批准立案、批捕准确率；全面审结案件事实，核实证据，依法提起公诉、出庭提出审查意见，提高公诉案件审结率、出庭意见采纳率；对确有错误的刑事、民事判决裁定提起抗诉建议；积极开展公益诉讼；受理来信来访、举报、刑事申诉、国家赔偿、司法救助工作，受理民事监督案件，办理管辖的信访案件、举报案件、刑事申诉案件、国家赔偿、司法救助以及上级机关交办、转办、督办的案件。构建依法有序的信访秩序，依法及时解决群众诉求。提高执法水平和办案质量、提升检察机关法律监督能力。为检察机关工作的顺利开展提供检务保障，努力建设公正、高效、权威的检察权运行机制。</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5"/>
      </w:pPr>
      <w:r>
        <w:rPr>
          <w:rFonts w:hint="eastAsia"/>
          <w:lang w:eastAsia="zh-CN"/>
        </w:rPr>
        <w:t>（</w:t>
      </w:r>
      <w:r>
        <w:rPr>
          <w:rFonts w:hint="eastAsia"/>
          <w:lang w:val="en-US" w:eastAsia="zh-CN"/>
        </w:rPr>
        <w:t>一</w:t>
      </w:r>
      <w:r>
        <w:rPr>
          <w:rFonts w:hint="eastAsia"/>
          <w:lang w:eastAsia="zh-CN"/>
        </w:rPr>
        <w:t>）</w:t>
      </w:r>
      <w:r>
        <w:t>检察事务管理</w:t>
      </w:r>
    </w:p>
    <w:p>
      <w:pPr>
        <w:pStyle w:val="25"/>
      </w:pPr>
      <w:r>
        <w:t>承担系统综合业务管理和综合事务管理，确保全年各项检察工作圆满完成。</w:t>
      </w:r>
    </w:p>
    <w:p>
      <w:pPr>
        <w:pStyle w:val="25"/>
      </w:pPr>
      <w:r>
        <w:t>1、综合业务管理</w:t>
      </w:r>
    </w:p>
    <w:p>
      <w:pPr>
        <w:pStyle w:val="25"/>
      </w:pPr>
      <w:r>
        <w:t>绩效目标：提高执法水平和办案质量，提升检察机关法律监督能力</w:t>
      </w:r>
    </w:p>
    <w:p>
      <w:pPr>
        <w:pStyle w:val="25"/>
      </w:pPr>
      <w:r>
        <w:t>绩效指标：各项综合业务管理工作完成率=100%</w:t>
      </w:r>
    </w:p>
    <w:p>
      <w:pPr>
        <w:pStyle w:val="25"/>
      </w:pPr>
      <w:r>
        <w:t>2、综合事务管理</w:t>
      </w:r>
    </w:p>
    <w:p>
      <w:pPr>
        <w:pStyle w:val="25"/>
      </w:pPr>
      <w:r>
        <w:t>绩效目标：为检察工作顺利开展提供保障</w:t>
      </w:r>
    </w:p>
    <w:p>
      <w:pPr>
        <w:pStyle w:val="25"/>
      </w:pPr>
      <w:r>
        <w:t>绩效指标：各项综合事务工作完成率=100%</w:t>
      </w:r>
    </w:p>
    <w:p>
      <w:pPr>
        <w:pStyle w:val="25"/>
      </w:pPr>
      <w:r>
        <w:rPr>
          <w:rFonts w:hint="eastAsia"/>
          <w:lang w:eastAsia="zh-CN"/>
        </w:rPr>
        <w:t>（</w:t>
      </w:r>
      <w:r>
        <w:rPr>
          <w:rFonts w:hint="eastAsia"/>
          <w:lang w:val="en-US" w:eastAsia="zh-CN"/>
        </w:rPr>
        <w:t>二</w:t>
      </w:r>
      <w:r>
        <w:rPr>
          <w:rFonts w:hint="eastAsia"/>
          <w:lang w:eastAsia="zh-CN"/>
        </w:rPr>
        <w:t>）</w:t>
      </w:r>
      <w:r>
        <w:t>检察监督</w:t>
      </w:r>
    </w:p>
    <w:p>
      <w:pPr>
        <w:pStyle w:val="25"/>
      </w:pPr>
      <w:r>
        <w:t>对侦查机关的侦查活动、人民法院的审批活动、看守所等机关执行刑罚的活动，依法实行法律监督，维护司法公正。</w:t>
      </w:r>
    </w:p>
    <w:p>
      <w:pPr>
        <w:pStyle w:val="25"/>
      </w:pPr>
      <w:r>
        <w:t>1、侦查监督</w:t>
      </w:r>
    </w:p>
    <w:p>
      <w:pPr>
        <w:pStyle w:val="25"/>
      </w:pPr>
      <w:r>
        <w:t>绩效目标：打击犯罪、保障人权、维护司法公正</w:t>
      </w:r>
    </w:p>
    <w:p>
      <w:pPr>
        <w:pStyle w:val="25"/>
      </w:pPr>
      <w:r>
        <w:t>绩效指标：立案和侦查活动监督完成率≥95%</w:t>
      </w:r>
    </w:p>
    <w:p>
      <w:pPr>
        <w:pStyle w:val="25"/>
      </w:pPr>
      <w:r>
        <w:t>错捕、捕后撤案、不起诉、判无罪率≤5%</w:t>
      </w:r>
    </w:p>
    <w:p>
      <w:pPr>
        <w:pStyle w:val="25"/>
      </w:pPr>
      <w:r>
        <w:t>批延准确率≥95%</w:t>
      </w:r>
    </w:p>
    <w:p>
      <w:pPr>
        <w:pStyle w:val="25"/>
      </w:pPr>
      <w:r>
        <w:t>2、公诉和审判监督</w:t>
      </w:r>
    </w:p>
    <w:p>
      <w:pPr>
        <w:pStyle w:val="25"/>
      </w:pPr>
      <w:r>
        <w:t>绩效目标：全面审查案件事实，核实证据，依法提出审查意见，打击犯罪，保障人权，维护司法公正</w:t>
      </w:r>
    </w:p>
    <w:p>
      <w:pPr>
        <w:pStyle w:val="25"/>
      </w:pPr>
      <w:r>
        <w:t>绩效指标：诉讼期限内审结案件占全部案件比例≥95%</w:t>
      </w:r>
    </w:p>
    <w:p>
      <w:pPr>
        <w:pStyle w:val="25"/>
      </w:pPr>
      <w:r>
        <w:t>出庭意见采纳率≥95%</w:t>
      </w:r>
    </w:p>
    <w:p>
      <w:pPr>
        <w:pStyle w:val="25"/>
      </w:pPr>
      <w:r>
        <w:t>3、民事行政诉讼监督</w:t>
      </w:r>
    </w:p>
    <w:p>
      <w:pPr>
        <w:pStyle w:val="25"/>
      </w:pPr>
      <w:r>
        <w:t>绩效目标：加大办案力度，提高办案质量</w:t>
      </w:r>
    </w:p>
    <w:p>
      <w:pPr>
        <w:pStyle w:val="25"/>
      </w:pPr>
      <w:r>
        <w:t>绩效指标：案件审结率≥95%</w:t>
      </w:r>
    </w:p>
    <w:p>
      <w:pPr>
        <w:pStyle w:val="25"/>
      </w:pPr>
      <w:r>
        <w:t>抗诉案件再审改变率≥95%</w:t>
      </w:r>
    </w:p>
    <w:p>
      <w:pPr>
        <w:pStyle w:val="25"/>
      </w:pPr>
      <w:r>
        <w:t>不支持监督申请决定息讼息访率≤5%</w:t>
      </w:r>
    </w:p>
    <w:p>
      <w:pPr>
        <w:pStyle w:val="25"/>
      </w:pPr>
      <w:r>
        <w:t>检察建议采纳率≥95%</w:t>
      </w:r>
    </w:p>
    <w:p>
      <w:pPr>
        <w:pStyle w:val="25"/>
      </w:pPr>
      <w:r>
        <w:t>当事人对民事行政申请监督案件满意度≥95%</w:t>
      </w:r>
    </w:p>
    <w:p>
      <w:pPr>
        <w:pStyle w:val="25"/>
      </w:pPr>
      <w:r>
        <w:t>4、刑事执行检察</w:t>
      </w:r>
    </w:p>
    <w:p>
      <w:pPr>
        <w:pStyle w:val="25"/>
      </w:pPr>
      <w:r>
        <w:t>绩效目标：保障刑罚执行和刑事执行活动的依法有序进行</w:t>
      </w:r>
    </w:p>
    <w:p>
      <w:pPr>
        <w:pStyle w:val="25"/>
      </w:pPr>
      <w:r>
        <w:t>绩效指标：纠正意见或建议的采纳率≥95%</w:t>
      </w:r>
    </w:p>
    <w:p>
      <w:pPr>
        <w:pStyle w:val="25"/>
      </w:pPr>
      <w:r>
        <w:t>监督行为及效果满意度≥95%</w:t>
      </w:r>
    </w:p>
    <w:p>
      <w:pPr>
        <w:pStyle w:val="25"/>
      </w:pPr>
      <w:r>
        <w:t>5、未成年人刑事检察</w:t>
      </w:r>
    </w:p>
    <w:p>
      <w:pPr>
        <w:pStyle w:val="25"/>
      </w:pPr>
      <w:r>
        <w:t>绩效目标：打击犯罪、保障人权、维护司法公正</w:t>
      </w:r>
    </w:p>
    <w:p>
      <w:pPr>
        <w:pStyle w:val="25"/>
      </w:pPr>
      <w:r>
        <w:t>绩效指标：案件办理率≥95%</w:t>
      </w:r>
    </w:p>
    <w:p>
      <w:pPr>
        <w:pStyle w:val="25"/>
      </w:pPr>
      <w:r>
        <w:t>受援群众投诉率(%)≤0.1%</w:t>
      </w:r>
    </w:p>
    <w:p>
      <w:pPr>
        <w:pStyle w:val="25"/>
      </w:pPr>
      <w:r>
        <w:t>6、控告和刑事申诉检察</w:t>
      </w:r>
    </w:p>
    <w:p>
      <w:pPr>
        <w:pStyle w:val="25"/>
      </w:pPr>
      <w:r>
        <w:t>举报管理、涉检国家赔偿和司法救助</w:t>
      </w:r>
    </w:p>
    <w:p>
      <w:pPr>
        <w:pStyle w:val="25"/>
      </w:pPr>
      <w:r>
        <w:t>绩效目标：加强和举报工作，保护被赔偿人和被救助人的合法权益</w:t>
      </w:r>
    </w:p>
    <w:p>
      <w:pPr>
        <w:pStyle w:val="25"/>
      </w:pPr>
      <w:r>
        <w:t>绩效指标：举报线索处置率(%)≥95%</w:t>
      </w:r>
    </w:p>
    <w:p>
      <w:pPr>
        <w:pStyle w:val="25"/>
      </w:pPr>
      <w:r>
        <w:t>涉检国家赔偿率(%)≥95%</w:t>
      </w:r>
    </w:p>
    <w:p>
      <w:pPr>
        <w:pStyle w:val="25"/>
      </w:pPr>
      <w:r>
        <w:t>有效化解涉检信访矛盾率(%)≥95%</w:t>
      </w:r>
    </w:p>
    <w:p>
      <w:pPr>
        <w:pStyle w:val="25"/>
      </w:pPr>
      <w:r>
        <w:t>息诉罢访率(%)≥95%</w:t>
      </w:r>
    </w:p>
    <w:p>
      <w:pPr>
        <w:pStyle w:val="25"/>
      </w:pPr>
      <w:r>
        <w:t>司法救助率(%)≥95%</w:t>
      </w:r>
    </w:p>
    <w:p>
      <w:pPr>
        <w:pStyle w:val="25"/>
      </w:pPr>
      <w:r>
        <w:t>举报移送立案率(%)≥95%</w:t>
      </w:r>
    </w:p>
    <w:p>
      <w:pPr>
        <w:pStyle w:val="25"/>
      </w:pPr>
      <w:r>
        <w:t>涉检国家赔偿和刑事申诉错案率(%)≥95%</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6"/>
      </w:pPr>
      <w:r>
        <w:t>2022年，我院为实现年度绩效目标所采取的各项重要措施。根据预测可能存在的问题、环境变化的趋势，采取措施预做准备，控制偏差，保证计划目标的实现。以司法办案为中心，依法全面正确履行职责，以“四大检察”为核心，为无极县经济发展保驾护航。</w:t>
      </w:r>
    </w:p>
    <w:p>
      <w:pPr>
        <w:pStyle w:val="26"/>
      </w:pPr>
      <w:r>
        <w:rPr>
          <w:rFonts w:hint="eastAsia"/>
          <w:lang w:val="en-US" w:eastAsia="zh-CN"/>
        </w:rPr>
        <w:t>1、</w:t>
      </w:r>
      <w:r>
        <w:t>是完善制度建设。加强制度管理，不断改进司法管理和司法权力运行监督机制，健全完善各项制度，制定完善预算绩效管理制度、资金管理办法、工作保障制度等，为全年预算绩效目标的实现奠定制度基础。</w:t>
      </w:r>
    </w:p>
    <w:p>
      <w:pPr>
        <w:pStyle w:val="26"/>
      </w:pPr>
      <w:r>
        <w:rPr>
          <w:rFonts w:hint="eastAsia"/>
          <w:lang w:val="en-US" w:eastAsia="zh-CN"/>
        </w:rPr>
        <w:t>2、</w:t>
      </w:r>
      <w:r>
        <w:t>是加强支出管理，在加强制度管理的基础上，进一步扎牢制度的笼子，按照要求开展绩效运行监控，发现问题及时采取措施，确保绩效目标如期保质实现。</w:t>
      </w:r>
    </w:p>
    <w:p>
      <w:pPr>
        <w:pStyle w:val="26"/>
      </w:pPr>
      <w:r>
        <w:rPr>
          <w:rFonts w:hint="eastAsia"/>
          <w:lang w:val="en-US" w:eastAsia="zh-CN"/>
        </w:rPr>
        <w:t>3、</w:t>
      </w:r>
      <w:r>
        <w:t>是加强绩效运行监控。通过优化支出结构、编细编实预算、加快履行政府采购手续、尽快启动项目、及时支付资金等多种措施，确保支出进度达标。充分发挥信息网络绩效运行等方面的优势，促进检察工作更加规范化、制度化。</w:t>
      </w:r>
    </w:p>
    <w:p>
      <w:pPr>
        <w:pStyle w:val="26"/>
      </w:pPr>
      <w:r>
        <w:rPr>
          <w:rFonts w:hint="eastAsia"/>
          <w:lang w:val="en-US" w:eastAsia="zh-CN"/>
        </w:rPr>
        <w:t>4、</w:t>
      </w:r>
      <w:r>
        <w:t>是做好绩效自评。按要求开展上年度部门预算绩效自评和重点评价工作，对评价中发现的问题及时整改，调整优化支出结构，提高财政资金使用效益。</w:t>
      </w:r>
    </w:p>
    <w:p>
      <w:pPr>
        <w:pStyle w:val="26"/>
      </w:pPr>
      <w:r>
        <w:rPr>
          <w:rFonts w:hint="eastAsia"/>
          <w:lang w:val="en-US" w:eastAsia="zh-CN"/>
        </w:rPr>
        <w:t>5、</w:t>
      </w:r>
      <w:r>
        <w:t>是规范财务资产管理。完善财务管理制度，严格审批程序，加强固定资产登记、使用和报废处置管理，做到支出合理，物尽其用。</w:t>
      </w:r>
    </w:p>
    <w:p>
      <w:pPr>
        <w:pStyle w:val="26"/>
      </w:pPr>
      <w:r>
        <w:rPr>
          <w:rFonts w:hint="eastAsia"/>
          <w:lang w:val="en-US" w:eastAsia="zh-CN"/>
        </w:rPr>
        <w:t>6、</w:t>
      </w:r>
      <w:r>
        <w:t xml:space="preserve">是加强内部监督。加强内部监督制度建设，对绩效运行情况、重大支出决策、资产处置及其他重要经济业务事项的决策和执行进行督导，对会计资料进行内部审计，并配合做好审计、财政监督等外部监督工作，确保财政资金安全有效。   </w:t>
      </w:r>
    </w:p>
    <w:p>
      <w:pPr>
        <w:pStyle w:val="26"/>
      </w:pPr>
      <w:r>
        <w:t xml:space="preserve"> </w:t>
      </w:r>
      <w:r>
        <w:rPr>
          <w:rFonts w:hint="eastAsia"/>
          <w:lang w:val="en-US" w:eastAsia="zh-CN"/>
        </w:rPr>
        <w:t>7、</w:t>
      </w:r>
      <w:r>
        <w:t>是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640" w:firstLineChars="200"/>
        <w:jc w:val="left"/>
        <w:outlineLvl w:val="9"/>
        <w:rPr>
          <w:rFonts w:hint="eastAsia"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1、2022年检察人员加班费绩效目标表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1.严格按照文件规定范围发放加班费</w:t>
            </w:r>
          </w:p>
          <w:p>
            <w:pPr>
              <w:pStyle w:val="15"/>
            </w:pPr>
            <w:r>
              <w:t>2.按支出计划及时发放加班费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足额发放</w:t>
            </w:r>
          </w:p>
        </w:tc>
        <w:tc>
          <w:tcPr>
            <w:tcW w:w="2835" w:type="dxa"/>
            <w:vAlign w:val="center"/>
          </w:tcPr>
          <w:p>
            <w:pPr>
              <w:pStyle w:val="15"/>
            </w:pPr>
            <w:r>
              <w:t>是否能够足额发放</w:t>
            </w:r>
          </w:p>
        </w:tc>
        <w:tc>
          <w:tcPr>
            <w:tcW w:w="2551" w:type="dxa"/>
            <w:vAlign w:val="center"/>
          </w:tcPr>
          <w:p>
            <w:pPr>
              <w:pStyle w:val="15"/>
            </w:pPr>
            <w:r>
              <w:t>是</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是否能够及时发放</w:t>
            </w:r>
          </w:p>
        </w:tc>
        <w:tc>
          <w:tcPr>
            <w:tcW w:w="2551" w:type="dxa"/>
            <w:vAlign w:val="center"/>
          </w:tcPr>
          <w:p>
            <w:pPr>
              <w:pStyle w:val="15"/>
            </w:pPr>
            <w:r>
              <w:t>是</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正确发放</w:t>
            </w:r>
          </w:p>
        </w:tc>
        <w:tc>
          <w:tcPr>
            <w:tcW w:w="2835" w:type="dxa"/>
            <w:vAlign w:val="center"/>
          </w:tcPr>
          <w:p>
            <w:pPr>
              <w:pStyle w:val="15"/>
            </w:pPr>
            <w:r>
              <w:t>是否按标准及范围发放</w:t>
            </w:r>
          </w:p>
        </w:tc>
        <w:tc>
          <w:tcPr>
            <w:tcW w:w="2551" w:type="dxa"/>
            <w:vAlign w:val="center"/>
          </w:tcPr>
          <w:p>
            <w:pPr>
              <w:pStyle w:val="15"/>
            </w:pPr>
            <w:r>
              <w:t>是</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带动工作积极性</w:t>
            </w:r>
          </w:p>
        </w:tc>
        <w:tc>
          <w:tcPr>
            <w:tcW w:w="2835" w:type="dxa"/>
            <w:vAlign w:val="center"/>
          </w:tcPr>
          <w:p>
            <w:pPr>
              <w:pStyle w:val="15"/>
            </w:pPr>
            <w:r>
              <w:t>能否带动工作积极性</w:t>
            </w:r>
          </w:p>
        </w:tc>
        <w:tc>
          <w:tcPr>
            <w:tcW w:w="2551" w:type="dxa"/>
            <w:vAlign w:val="center"/>
          </w:tcPr>
          <w:p>
            <w:pPr>
              <w:pStyle w:val="15"/>
            </w:pPr>
            <w:r>
              <w:t>能</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推动检察工作发展</w:t>
            </w:r>
          </w:p>
        </w:tc>
        <w:tc>
          <w:tcPr>
            <w:tcW w:w="2835" w:type="dxa"/>
            <w:vAlign w:val="center"/>
          </w:tcPr>
          <w:p>
            <w:pPr>
              <w:pStyle w:val="15"/>
            </w:pPr>
            <w:r>
              <w:t>能否推动检察工作发展</w:t>
            </w:r>
          </w:p>
        </w:tc>
        <w:tc>
          <w:tcPr>
            <w:tcW w:w="2551" w:type="dxa"/>
            <w:vAlign w:val="center"/>
          </w:tcPr>
          <w:p>
            <w:pPr>
              <w:pStyle w:val="15"/>
            </w:pPr>
            <w:r>
              <w:t>能</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提升检察形象</w:t>
            </w:r>
          </w:p>
        </w:tc>
        <w:tc>
          <w:tcPr>
            <w:tcW w:w="2835" w:type="dxa"/>
            <w:vAlign w:val="center"/>
          </w:tcPr>
          <w:p>
            <w:pPr>
              <w:pStyle w:val="15"/>
            </w:pPr>
            <w:r>
              <w:t>能否提升检察形象</w:t>
            </w:r>
          </w:p>
        </w:tc>
        <w:tc>
          <w:tcPr>
            <w:tcW w:w="2551" w:type="dxa"/>
            <w:vAlign w:val="center"/>
          </w:tcPr>
          <w:p>
            <w:pPr>
              <w:pStyle w:val="15"/>
            </w:pPr>
            <w:r>
              <w:t>能</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检察人员对加班费发放的满意程度</w:t>
            </w:r>
          </w:p>
        </w:tc>
        <w:tc>
          <w:tcPr>
            <w:tcW w:w="2551" w:type="dxa"/>
            <w:vAlign w:val="center"/>
          </w:tcPr>
          <w:p>
            <w:pPr>
              <w:pStyle w:val="15"/>
            </w:pPr>
            <w:r>
              <w:t>基本满意</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群众对加班费发放的满意度</w:t>
            </w:r>
          </w:p>
        </w:tc>
        <w:tc>
          <w:tcPr>
            <w:tcW w:w="2551" w:type="dxa"/>
            <w:vAlign w:val="center"/>
          </w:tcPr>
          <w:p>
            <w:pPr>
              <w:pStyle w:val="15"/>
            </w:pPr>
            <w:r>
              <w:t>基本满意</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监管部门满意度</w:t>
            </w:r>
          </w:p>
        </w:tc>
        <w:tc>
          <w:tcPr>
            <w:tcW w:w="2835" w:type="dxa"/>
            <w:vAlign w:val="center"/>
          </w:tcPr>
          <w:p>
            <w:pPr>
              <w:pStyle w:val="15"/>
            </w:pPr>
            <w:r>
              <w:t>监管部门对加班费发放的满意度</w:t>
            </w:r>
          </w:p>
        </w:tc>
        <w:tc>
          <w:tcPr>
            <w:tcW w:w="2551" w:type="dxa"/>
            <w:vAlign w:val="center"/>
          </w:tcPr>
          <w:p>
            <w:pPr>
              <w:pStyle w:val="15"/>
            </w:pPr>
            <w:r>
              <w:t>基本满意</w:t>
            </w:r>
          </w:p>
        </w:tc>
        <w:tc>
          <w:tcPr>
            <w:tcW w:w="2268" w:type="dxa"/>
            <w:vAlign w:val="center"/>
          </w:tcPr>
          <w:p>
            <w:pPr>
              <w:pStyle w:val="15"/>
            </w:pPr>
            <w:r>
              <w:t>加班执勤管理规定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2、2022提前下达2022年省级基层公检法司转移支付资金（检察院业务）绩效目标表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1.通过经费的使用促进各项检察案件的顺利进行</w:t>
            </w:r>
          </w:p>
          <w:p>
            <w:pPr>
              <w:pStyle w:val="15"/>
            </w:pPr>
            <w:r>
              <w:t>2.保障公益诉讼扫黑除恶等专项活动的顺利开展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案件审结率</w:t>
            </w:r>
          </w:p>
        </w:tc>
        <w:tc>
          <w:tcPr>
            <w:tcW w:w="2835" w:type="dxa"/>
            <w:vAlign w:val="center"/>
          </w:tcPr>
          <w:p>
            <w:pPr>
              <w:pStyle w:val="15"/>
            </w:pPr>
            <w:r>
              <w:t>审结案件占受理案件的比例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2835" w:type="dxa"/>
            <w:vAlign w:val="center"/>
          </w:tcPr>
          <w:p>
            <w:pPr>
              <w:pStyle w:val="15"/>
            </w:pPr>
            <w:r>
              <w:t>项目预算控制数</w:t>
            </w:r>
          </w:p>
        </w:tc>
        <w:tc>
          <w:tcPr>
            <w:tcW w:w="2551" w:type="dxa"/>
            <w:vAlign w:val="center"/>
          </w:tcPr>
          <w:p>
            <w:pPr>
              <w:pStyle w:val="15"/>
            </w:pPr>
            <w:r>
              <w:t>≥85百分比</w:t>
            </w:r>
          </w:p>
        </w:tc>
        <w:tc>
          <w:tcPr>
            <w:tcW w:w="2268" w:type="dxa"/>
            <w:vAlign w:val="center"/>
          </w:tcPr>
          <w:p>
            <w:pPr>
              <w:pStyle w:val="15"/>
            </w:pPr>
            <w:r>
              <w:t>资金统计情况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立案和侦查情况监督完成率</w:t>
            </w:r>
          </w:p>
        </w:tc>
        <w:tc>
          <w:tcPr>
            <w:tcW w:w="2835" w:type="dxa"/>
            <w:vAlign w:val="center"/>
          </w:tcPr>
          <w:p>
            <w:pPr>
              <w:pStyle w:val="15"/>
            </w:pPr>
            <w:r>
              <w:t>立案和侦查活动完成案件占所有案件的比例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组织宣传活动次数</w:t>
            </w:r>
          </w:p>
        </w:tc>
        <w:tc>
          <w:tcPr>
            <w:tcW w:w="2835" w:type="dxa"/>
            <w:vAlign w:val="center"/>
          </w:tcPr>
          <w:p>
            <w:pPr>
              <w:pStyle w:val="15"/>
            </w:pPr>
            <w:r>
              <w:t>全年组织开展宣传活动次数</w:t>
            </w:r>
          </w:p>
        </w:tc>
        <w:tc>
          <w:tcPr>
            <w:tcW w:w="2551" w:type="dxa"/>
            <w:vAlign w:val="center"/>
          </w:tcPr>
          <w:p>
            <w:pPr>
              <w:pStyle w:val="15"/>
            </w:pPr>
            <w:r>
              <w:t>≥10次</w:t>
            </w:r>
          </w:p>
        </w:tc>
        <w:tc>
          <w:tcPr>
            <w:tcW w:w="2268" w:type="dxa"/>
            <w:vAlign w:val="center"/>
          </w:tcPr>
          <w:p>
            <w:pPr>
              <w:pStyle w:val="15"/>
            </w:pPr>
            <w:r>
              <w:t>组织次数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出庭意见采纳率</w:t>
            </w:r>
          </w:p>
        </w:tc>
        <w:tc>
          <w:tcPr>
            <w:tcW w:w="2835" w:type="dxa"/>
            <w:vAlign w:val="center"/>
          </w:tcPr>
          <w:p>
            <w:pPr>
              <w:pStyle w:val="15"/>
            </w:pPr>
            <w:r>
              <w:t>出庭意见被采纳案件占全部案件的比例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案件流程合规律</w:t>
            </w:r>
          </w:p>
        </w:tc>
        <w:tc>
          <w:tcPr>
            <w:tcW w:w="2835" w:type="dxa"/>
            <w:vAlign w:val="center"/>
          </w:tcPr>
          <w:p>
            <w:pPr>
              <w:pStyle w:val="15"/>
            </w:pPr>
            <w:r>
              <w:t>纳入审判流程管理合规案件与全部案件的比例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大众对检察工作的认知度</w:t>
            </w:r>
          </w:p>
        </w:tc>
        <w:tc>
          <w:tcPr>
            <w:tcW w:w="2835" w:type="dxa"/>
            <w:vAlign w:val="center"/>
          </w:tcPr>
          <w:p>
            <w:pPr>
              <w:pStyle w:val="15"/>
            </w:pPr>
            <w:r>
              <w:t>通过抽样调查的方式，对参加宣传活动的对象进行调查，是否对检察工作有充分人次的占比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公众满意度</w:t>
            </w:r>
          </w:p>
        </w:tc>
        <w:tc>
          <w:tcPr>
            <w:tcW w:w="2835" w:type="dxa"/>
            <w:vAlign w:val="center"/>
          </w:tcPr>
          <w:p>
            <w:pPr>
              <w:pStyle w:val="15"/>
            </w:pPr>
            <w:r>
              <w:t>社会大众对检察机关办案满意人数占比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案件当事人满意度</w:t>
            </w:r>
          </w:p>
        </w:tc>
        <w:tc>
          <w:tcPr>
            <w:tcW w:w="2835" w:type="dxa"/>
            <w:vAlign w:val="center"/>
          </w:tcPr>
          <w:p>
            <w:pPr>
              <w:pStyle w:val="15"/>
            </w:pPr>
            <w:r>
              <w:t>所办理案件涉案当事人对裁判结果满意的人数占比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信访群众满意度</w:t>
            </w:r>
          </w:p>
        </w:tc>
        <w:tc>
          <w:tcPr>
            <w:tcW w:w="2835" w:type="dxa"/>
            <w:vAlign w:val="center"/>
          </w:tcPr>
          <w:p>
            <w:pPr>
              <w:pStyle w:val="15"/>
            </w:pPr>
            <w:r>
              <w:t>信访群众满意度</w:t>
            </w:r>
          </w:p>
        </w:tc>
        <w:tc>
          <w:tcPr>
            <w:tcW w:w="2551" w:type="dxa"/>
            <w:vAlign w:val="center"/>
          </w:tcPr>
          <w:p>
            <w:pPr>
              <w:pStyle w:val="15"/>
            </w:pPr>
            <w:r>
              <w:t>≥80百分比</w:t>
            </w:r>
          </w:p>
        </w:tc>
        <w:tc>
          <w:tcPr>
            <w:tcW w:w="2268" w:type="dxa"/>
            <w:vAlign w:val="center"/>
          </w:tcPr>
          <w:p>
            <w:pPr>
              <w:pStyle w:val="15"/>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3、2022提前下达2022年省级基层公检法司转移支付资金（检察院装备）绩效目标表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1.按照年初预算进度支出</w:t>
            </w:r>
          </w:p>
          <w:p>
            <w:pPr>
              <w:pStyle w:val="15"/>
            </w:pPr>
            <w:r>
              <w:t>2.按照资金使用范围支出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政府采购率</w:t>
            </w:r>
          </w:p>
        </w:tc>
        <w:tc>
          <w:tcPr>
            <w:tcW w:w="2835" w:type="dxa"/>
            <w:vAlign w:val="center"/>
          </w:tcPr>
          <w:p>
            <w:pPr>
              <w:pStyle w:val="15"/>
            </w:pPr>
            <w:r>
              <w:t>实际政府采购数量占应实施政府采购数量总和的比例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购置验收通过率</w:t>
            </w:r>
          </w:p>
        </w:tc>
        <w:tc>
          <w:tcPr>
            <w:tcW w:w="2835" w:type="dxa"/>
            <w:vAlign w:val="center"/>
          </w:tcPr>
          <w:p>
            <w:pPr>
              <w:pStyle w:val="15"/>
            </w:pPr>
            <w:r>
              <w:t>通过验收的购置数量占购置总数的比例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购置质量合格率</w:t>
            </w:r>
          </w:p>
        </w:tc>
        <w:tc>
          <w:tcPr>
            <w:tcW w:w="2835" w:type="dxa"/>
            <w:vAlign w:val="center"/>
          </w:tcPr>
          <w:p>
            <w:pPr>
              <w:pStyle w:val="15"/>
            </w:pPr>
            <w:r>
              <w:t>购置质量合格的数量占购置的总数的比例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2835" w:type="dxa"/>
            <w:vAlign w:val="center"/>
          </w:tcPr>
          <w:p>
            <w:pPr>
              <w:pStyle w:val="15"/>
            </w:pPr>
            <w:r>
              <w:t>项目预算控制数</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保障能力提升情况</w:t>
            </w:r>
          </w:p>
        </w:tc>
        <w:tc>
          <w:tcPr>
            <w:tcW w:w="2835" w:type="dxa"/>
            <w:vAlign w:val="center"/>
          </w:tcPr>
          <w:p>
            <w:pPr>
              <w:pStyle w:val="15"/>
            </w:pPr>
            <w:r>
              <w:t>能否及时补充缺少的业务装备</w:t>
            </w:r>
          </w:p>
        </w:tc>
        <w:tc>
          <w:tcPr>
            <w:tcW w:w="2551" w:type="dxa"/>
            <w:vAlign w:val="center"/>
          </w:tcPr>
          <w:p>
            <w:pPr>
              <w:pStyle w:val="15"/>
            </w:pPr>
            <w:r>
              <w:t>优、良、中、差</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装备改善效果情况</w:t>
            </w:r>
          </w:p>
        </w:tc>
        <w:tc>
          <w:tcPr>
            <w:tcW w:w="2835" w:type="dxa"/>
            <w:vAlign w:val="center"/>
          </w:tcPr>
          <w:p>
            <w:pPr>
              <w:pStyle w:val="15"/>
            </w:pPr>
            <w:r>
              <w:t>购置对业务装备改善的提升情况</w:t>
            </w:r>
          </w:p>
        </w:tc>
        <w:tc>
          <w:tcPr>
            <w:tcW w:w="2551" w:type="dxa"/>
            <w:vAlign w:val="center"/>
          </w:tcPr>
          <w:p>
            <w:pPr>
              <w:pStyle w:val="15"/>
            </w:pPr>
            <w:r>
              <w:t>优、良、中、差</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服装配发合体率</w:t>
            </w:r>
          </w:p>
        </w:tc>
        <w:tc>
          <w:tcPr>
            <w:tcW w:w="2835" w:type="dxa"/>
            <w:vAlign w:val="center"/>
          </w:tcPr>
          <w:p>
            <w:pPr>
              <w:pStyle w:val="15"/>
            </w:pPr>
            <w:r>
              <w:t>服装配发后合体数量占总制发数的比率</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2835" w:type="dxa"/>
            <w:vAlign w:val="center"/>
          </w:tcPr>
          <w:p>
            <w:pPr>
              <w:pStyle w:val="15"/>
            </w:pPr>
            <w:r>
              <w:t>调查中使用人员满意和较满意的人数占总人数的比例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着装人员满意度</w:t>
            </w:r>
          </w:p>
        </w:tc>
        <w:tc>
          <w:tcPr>
            <w:tcW w:w="2835" w:type="dxa"/>
            <w:vAlign w:val="center"/>
          </w:tcPr>
          <w:p>
            <w:pPr>
              <w:pStyle w:val="15"/>
            </w:pPr>
            <w:r>
              <w:t>着装中满意的人数占全体着装人员的比率</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信访群众满意度</w:t>
            </w:r>
          </w:p>
        </w:tc>
        <w:tc>
          <w:tcPr>
            <w:tcW w:w="2835" w:type="dxa"/>
            <w:vAlign w:val="center"/>
          </w:tcPr>
          <w:p>
            <w:pPr>
              <w:pStyle w:val="15"/>
            </w:pPr>
            <w:r>
              <w:t>信访群众满意度</w:t>
            </w:r>
          </w:p>
        </w:tc>
        <w:tc>
          <w:tcPr>
            <w:tcW w:w="2551" w:type="dxa"/>
            <w:vAlign w:val="center"/>
          </w:tcPr>
          <w:p>
            <w:pPr>
              <w:pStyle w:val="15"/>
            </w:pPr>
            <w:r>
              <w:t>≥90百分比</w:t>
            </w:r>
          </w:p>
        </w:tc>
        <w:tc>
          <w:tcPr>
            <w:tcW w:w="2268" w:type="dxa"/>
            <w:vAlign w:val="center"/>
          </w:tcPr>
          <w:p>
            <w:pPr>
              <w:pStyle w:val="15"/>
            </w:pPr>
            <w:r>
              <w:t>实际工作情况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4、2022提前下达2022年中央政法纪检监察转移支付资金（检察院业务）绩效目标表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1.通过经费的使用促进各项检察案件的顺利进行</w:t>
            </w:r>
          </w:p>
          <w:p>
            <w:pPr>
              <w:pStyle w:val="15"/>
            </w:pPr>
            <w:r>
              <w:t>2.保障公益诉讼扫黑除恶等专项活动的顺利开展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案件审结率</w:t>
            </w:r>
          </w:p>
        </w:tc>
        <w:tc>
          <w:tcPr>
            <w:tcW w:w="2835" w:type="dxa"/>
            <w:vAlign w:val="center"/>
          </w:tcPr>
          <w:p>
            <w:pPr>
              <w:pStyle w:val="15"/>
            </w:pPr>
            <w:r>
              <w:t>审结案件占受理案件的比例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2835" w:type="dxa"/>
            <w:vAlign w:val="center"/>
          </w:tcPr>
          <w:p>
            <w:pPr>
              <w:pStyle w:val="15"/>
            </w:pPr>
            <w:r>
              <w:t>项目预算控制数</w:t>
            </w:r>
          </w:p>
        </w:tc>
        <w:tc>
          <w:tcPr>
            <w:tcW w:w="2551" w:type="dxa"/>
            <w:vAlign w:val="center"/>
          </w:tcPr>
          <w:p>
            <w:pPr>
              <w:pStyle w:val="15"/>
            </w:pPr>
            <w:r>
              <w:t>≥85百分比</w:t>
            </w:r>
          </w:p>
        </w:tc>
        <w:tc>
          <w:tcPr>
            <w:tcW w:w="2268" w:type="dxa"/>
            <w:vAlign w:val="center"/>
          </w:tcPr>
          <w:p>
            <w:pPr>
              <w:pStyle w:val="15"/>
            </w:pPr>
            <w:r>
              <w:t>资金统计情况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立案和侦查情况监督完成率</w:t>
            </w:r>
          </w:p>
        </w:tc>
        <w:tc>
          <w:tcPr>
            <w:tcW w:w="2835" w:type="dxa"/>
            <w:vAlign w:val="center"/>
          </w:tcPr>
          <w:p>
            <w:pPr>
              <w:pStyle w:val="15"/>
            </w:pPr>
            <w:r>
              <w:t>立案和侦查活动完成案件占所有案件的比例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组织宣传活动次数</w:t>
            </w:r>
          </w:p>
        </w:tc>
        <w:tc>
          <w:tcPr>
            <w:tcW w:w="2835" w:type="dxa"/>
            <w:vAlign w:val="center"/>
          </w:tcPr>
          <w:p>
            <w:pPr>
              <w:pStyle w:val="15"/>
            </w:pPr>
            <w:r>
              <w:t>全年组织开展宣传活动次数</w:t>
            </w:r>
          </w:p>
        </w:tc>
        <w:tc>
          <w:tcPr>
            <w:tcW w:w="2551" w:type="dxa"/>
            <w:vAlign w:val="center"/>
          </w:tcPr>
          <w:p>
            <w:pPr>
              <w:pStyle w:val="15"/>
            </w:pPr>
            <w:r>
              <w:t>≥10次</w:t>
            </w:r>
          </w:p>
        </w:tc>
        <w:tc>
          <w:tcPr>
            <w:tcW w:w="2268" w:type="dxa"/>
            <w:vAlign w:val="center"/>
          </w:tcPr>
          <w:p>
            <w:pPr>
              <w:pStyle w:val="15"/>
            </w:pPr>
            <w:r>
              <w:t>组织次数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出庭意见采纳率</w:t>
            </w:r>
          </w:p>
        </w:tc>
        <w:tc>
          <w:tcPr>
            <w:tcW w:w="2835" w:type="dxa"/>
            <w:vAlign w:val="center"/>
          </w:tcPr>
          <w:p>
            <w:pPr>
              <w:pStyle w:val="15"/>
            </w:pPr>
            <w:r>
              <w:t>出庭意见被采纳案件占全部案件的比例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案件流程合规律</w:t>
            </w:r>
          </w:p>
        </w:tc>
        <w:tc>
          <w:tcPr>
            <w:tcW w:w="2835" w:type="dxa"/>
            <w:vAlign w:val="center"/>
          </w:tcPr>
          <w:p>
            <w:pPr>
              <w:pStyle w:val="15"/>
            </w:pPr>
            <w:r>
              <w:t>纳入审判流程管理合规案件与全部案件的比例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大众对检察工作的认知度</w:t>
            </w:r>
          </w:p>
        </w:tc>
        <w:tc>
          <w:tcPr>
            <w:tcW w:w="2835" w:type="dxa"/>
            <w:vAlign w:val="center"/>
          </w:tcPr>
          <w:p>
            <w:pPr>
              <w:pStyle w:val="15"/>
            </w:pPr>
            <w:r>
              <w:t>通过抽样调查的方式，对参加宣传活动的对象进行调查，是否对检察工作有充分人次的占比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公众满意度</w:t>
            </w:r>
          </w:p>
        </w:tc>
        <w:tc>
          <w:tcPr>
            <w:tcW w:w="2835" w:type="dxa"/>
            <w:vAlign w:val="center"/>
          </w:tcPr>
          <w:p>
            <w:pPr>
              <w:pStyle w:val="15"/>
            </w:pPr>
            <w:r>
              <w:t>社会大众对检察机关办案满意人数占比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案件当事人满意度</w:t>
            </w:r>
          </w:p>
        </w:tc>
        <w:tc>
          <w:tcPr>
            <w:tcW w:w="2835" w:type="dxa"/>
            <w:vAlign w:val="center"/>
          </w:tcPr>
          <w:p>
            <w:pPr>
              <w:pStyle w:val="15"/>
            </w:pPr>
            <w:r>
              <w:t>所办理案件涉案当事人对裁判结果满意的人数占比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信访群众满意度</w:t>
            </w:r>
          </w:p>
        </w:tc>
        <w:tc>
          <w:tcPr>
            <w:tcW w:w="2835" w:type="dxa"/>
            <w:vAlign w:val="center"/>
          </w:tcPr>
          <w:p>
            <w:pPr>
              <w:pStyle w:val="15"/>
            </w:pPr>
            <w:r>
              <w:t>信访群众满意度</w:t>
            </w:r>
          </w:p>
        </w:tc>
        <w:tc>
          <w:tcPr>
            <w:tcW w:w="2551" w:type="dxa"/>
            <w:vAlign w:val="center"/>
          </w:tcPr>
          <w:p>
            <w:pPr>
              <w:pStyle w:val="15"/>
            </w:pPr>
            <w:r>
              <w:t>≥80百分比</w:t>
            </w:r>
          </w:p>
        </w:tc>
        <w:tc>
          <w:tcPr>
            <w:tcW w:w="2268" w:type="dxa"/>
            <w:vAlign w:val="center"/>
          </w:tcPr>
          <w:p>
            <w:pPr>
              <w:pStyle w:val="15"/>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5、2022提前下达2022年中央政法纪检监察转移支付资金（检察院装备）绩效目标表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1.按照年初预算进度支出</w:t>
            </w:r>
          </w:p>
          <w:p>
            <w:pPr>
              <w:pStyle w:val="15"/>
            </w:pPr>
            <w:r>
              <w:t>2.按照资金使用范围支出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政府采购率</w:t>
            </w:r>
          </w:p>
        </w:tc>
        <w:tc>
          <w:tcPr>
            <w:tcW w:w="2835" w:type="dxa"/>
            <w:vAlign w:val="center"/>
          </w:tcPr>
          <w:p>
            <w:pPr>
              <w:pStyle w:val="15"/>
            </w:pPr>
            <w:r>
              <w:t>实际政府采购数量占实施政府采购数量总和的比例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购置验收通过率</w:t>
            </w:r>
          </w:p>
        </w:tc>
        <w:tc>
          <w:tcPr>
            <w:tcW w:w="2835" w:type="dxa"/>
            <w:vAlign w:val="center"/>
          </w:tcPr>
          <w:p>
            <w:pPr>
              <w:pStyle w:val="15"/>
            </w:pPr>
            <w:r>
              <w:t>通过验收的购置质量占购置总数的比例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购置质量合格率</w:t>
            </w:r>
          </w:p>
        </w:tc>
        <w:tc>
          <w:tcPr>
            <w:tcW w:w="2835" w:type="dxa"/>
            <w:vAlign w:val="center"/>
          </w:tcPr>
          <w:p>
            <w:pPr>
              <w:pStyle w:val="15"/>
            </w:pPr>
            <w:r>
              <w:t>购置质量合格的数量占购置总数的比例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2835" w:type="dxa"/>
            <w:vAlign w:val="center"/>
          </w:tcPr>
          <w:p>
            <w:pPr>
              <w:pStyle w:val="15"/>
            </w:pPr>
            <w:r>
              <w:t>项目预算控制数</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保障能力提升情况</w:t>
            </w:r>
          </w:p>
        </w:tc>
        <w:tc>
          <w:tcPr>
            <w:tcW w:w="2835" w:type="dxa"/>
            <w:vAlign w:val="center"/>
          </w:tcPr>
          <w:p>
            <w:pPr>
              <w:pStyle w:val="15"/>
            </w:pPr>
            <w:r>
              <w:t>能否及时补充缺少的业务装备</w:t>
            </w:r>
          </w:p>
        </w:tc>
        <w:tc>
          <w:tcPr>
            <w:tcW w:w="2551" w:type="dxa"/>
            <w:vAlign w:val="center"/>
          </w:tcPr>
          <w:p>
            <w:pPr>
              <w:pStyle w:val="15"/>
            </w:pPr>
            <w:r>
              <w:t>优、良、中、差</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装备改善效果情况</w:t>
            </w:r>
          </w:p>
        </w:tc>
        <w:tc>
          <w:tcPr>
            <w:tcW w:w="2835" w:type="dxa"/>
            <w:vAlign w:val="center"/>
          </w:tcPr>
          <w:p>
            <w:pPr>
              <w:pStyle w:val="15"/>
            </w:pPr>
            <w:r>
              <w:t>购置对业务装备改善的提升情况</w:t>
            </w:r>
          </w:p>
        </w:tc>
        <w:tc>
          <w:tcPr>
            <w:tcW w:w="2551" w:type="dxa"/>
            <w:vAlign w:val="center"/>
          </w:tcPr>
          <w:p>
            <w:pPr>
              <w:pStyle w:val="15"/>
            </w:pPr>
            <w:r>
              <w:t>优、良、中、差</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服装配发合体率</w:t>
            </w:r>
          </w:p>
        </w:tc>
        <w:tc>
          <w:tcPr>
            <w:tcW w:w="2835" w:type="dxa"/>
            <w:vAlign w:val="center"/>
          </w:tcPr>
          <w:p>
            <w:pPr>
              <w:pStyle w:val="15"/>
            </w:pPr>
            <w:r>
              <w:t>服装配发后合体数量占总制发数的比率</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2835" w:type="dxa"/>
            <w:vAlign w:val="center"/>
          </w:tcPr>
          <w:p>
            <w:pPr>
              <w:pStyle w:val="15"/>
            </w:pPr>
            <w:r>
              <w:t>调查中使用人员满意和较满意的人数占总人数的比例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着装人员满意度</w:t>
            </w:r>
          </w:p>
        </w:tc>
        <w:tc>
          <w:tcPr>
            <w:tcW w:w="2835" w:type="dxa"/>
            <w:vAlign w:val="center"/>
          </w:tcPr>
          <w:p>
            <w:pPr>
              <w:pStyle w:val="15"/>
            </w:pPr>
            <w:r>
              <w:t>着装中满意的人数占全体着装人员的比率</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信访群众满意度</w:t>
            </w:r>
          </w:p>
        </w:tc>
        <w:tc>
          <w:tcPr>
            <w:tcW w:w="2835" w:type="dxa"/>
            <w:vAlign w:val="center"/>
          </w:tcPr>
          <w:p>
            <w:pPr>
              <w:pStyle w:val="15"/>
            </w:pPr>
            <w:r>
              <w:t>信访群众满意度</w:t>
            </w:r>
          </w:p>
        </w:tc>
        <w:tc>
          <w:tcPr>
            <w:tcW w:w="2551" w:type="dxa"/>
            <w:vAlign w:val="center"/>
          </w:tcPr>
          <w:p>
            <w:pPr>
              <w:pStyle w:val="15"/>
            </w:pPr>
            <w:r>
              <w:t>≥90百分比</w:t>
            </w:r>
          </w:p>
        </w:tc>
        <w:tc>
          <w:tcPr>
            <w:tcW w:w="2268" w:type="dxa"/>
            <w:vAlign w:val="center"/>
          </w:tcPr>
          <w:p>
            <w:pPr>
              <w:pStyle w:val="15"/>
            </w:pPr>
            <w:r>
              <w:t>实际工作情况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5"/>
      <w:r>
        <w:rPr>
          <w:rFonts w:ascii="黑体" w:hAnsi="黑体" w:eastAsia="黑体" w:cs="黑体"/>
          <w:color w:val="000000"/>
          <w:sz w:val="32"/>
        </w:rPr>
        <w:t>六、政府采购预算情况</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2022年，无极县人民检察院安排政府采购预算0.00万元。具体内容见下表。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151无极县人民检察院</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6"/>
      <w:r>
        <w:rPr>
          <w:rFonts w:ascii="黑体" w:hAnsi="黑体" w:eastAsia="黑体" w:cs="黑体"/>
          <w:color w:val="000000"/>
          <w:sz w:val="32"/>
        </w:rPr>
        <w:t>七、国有资产信息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无极县人民检察院上年末固定资产金额为2219.17万元（详见下表）。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151无极县人民检察院</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2219.17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r>
              <w:t>6170</w:t>
            </w:r>
          </w:p>
        </w:tc>
        <w:tc>
          <w:tcPr>
            <w:tcW w:w="2835" w:type="dxa"/>
            <w:vAlign w:val="center"/>
          </w:tcPr>
          <w:p>
            <w:pPr>
              <w:pStyle w:val="14"/>
            </w:pPr>
            <w:r>
              <w:t>634.38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r>
              <w:t>312</w:t>
            </w: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9</w:t>
            </w:r>
          </w:p>
        </w:tc>
        <w:tc>
          <w:tcPr>
            <w:tcW w:w="2835" w:type="dxa"/>
            <w:vAlign w:val="center"/>
          </w:tcPr>
          <w:p>
            <w:pPr>
              <w:pStyle w:val="14"/>
            </w:pPr>
            <w:r>
              <w:t>102.93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r>
              <w:t>1</w:t>
            </w:r>
          </w:p>
        </w:tc>
        <w:tc>
          <w:tcPr>
            <w:tcW w:w="2835" w:type="dxa"/>
            <w:vAlign w:val="center"/>
          </w:tcPr>
          <w:p>
            <w:pPr>
              <w:pStyle w:val="14"/>
            </w:pPr>
            <w:r>
              <w:t>28.69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r>
              <w:t>1453.17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7"/>
      <w:r>
        <w:rPr>
          <w:rFonts w:ascii="黑体" w:hAnsi="黑体" w:eastAsia="黑体" w:cs="黑体"/>
          <w:color w:val="000000"/>
          <w:sz w:val="32"/>
        </w:rPr>
        <w:t>八、名词解释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8" w:name="_Toc_3_3_0000000018"/>
      <w:r>
        <w:rPr>
          <w:rFonts w:ascii="黑体" w:hAnsi="黑体" w:eastAsia="黑体" w:cs="黑体"/>
          <w:color w:val="000000"/>
          <w:sz w:val="32"/>
        </w:rPr>
        <w:t>九、其他需要说明的事项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0B166C"/>
    <w:multiLevelType w:val="singleLevel"/>
    <w:tmpl w:val="F90B166C"/>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Y5MGY1NDc5MzI4ODg3NmNjMmM3MjJmYTg4MDRhMGUifQ=="/>
  </w:docVars>
  <w:rsids>
    <w:rsidRoot w:val="00000000"/>
    <w:rsid w:val="017D4FAD"/>
    <w:rsid w:val="08DA02D9"/>
    <w:rsid w:val="0A8A1D24"/>
    <w:rsid w:val="17252DC4"/>
    <w:rsid w:val="1909085A"/>
    <w:rsid w:val="1AF641B7"/>
    <w:rsid w:val="22F546D5"/>
    <w:rsid w:val="2E1651AC"/>
    <w:rsid w:val="3011330F"/>
    <w:rsid w:val="4BE3431A"/>
    <w:rsid w:val="53506BB1"/>
    <w:rsid w:val="5CF6146B"/>
    <w:rsid w:val="6A9604BB"/>
    <w:rsid w:val="6D4E0B44"/>
    <w:rsid w:val="77800866"/>
    <w:rsid w:val="7A31622D"/>
    <w:rsid w:val="7AC750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rPr>
      <w:rFonts w:hint="default"/>
      <w:sz w:val="21"/>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7" Type="http://schemas.openxmlformats.org/officeDocument/2006/relationships/fontTable" Target="fontTable.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2022-06-23T17:39:01Z</dcterms:created>
  <dcterms:modified xsi:type="dcterms:W3CDTF">2022-06-23T09:39:01Z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2022-06-23T17:38:57Z</dcterms:created>
  <dcterms:modified xsi:type="dcterms:W3CDTF">2022-06-23T09:38:57Z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05ed944-aedc-4280-961f-0417c09321f9}">
  <ds:schemaRefs/>
</ds:datastoreItem>
</file>

<file path=customXml/itemProps10.xml><?xml version="1.0" encoding="utf-8"?>
<ds:datastoreItem xmlns:ds="http://schemas.openxmlformats.org/officeDocument/2006/customXml" ds:itemID="{8314c978-0942-44a9-8ddd-fc38e31bedbf}">
  <ds:schemaRefs/>
</ds:datastoreItem>
</file>

<file path=customXml/itemProps11.xml><?xml version="1.0" encoding="utf-8"?>
<ds:datastoreItem xmlns:ds="http://schemas.openxmlformats.org/officeDocument/2006/customXml" ds:itemID="{07927146-f464-44ea-b6f8-76aa0ef9d976}">
  <ds:schemaRefs/>
</ds:datastoreItem>
</file>

<file path=customXml/itemProps12.xml><?xml version="1.0" encoding="utf-8"?>
<ds:datastoreItem xmlns:ds="http://schemas.openxmlformats.org/officeDocument/2006/customXml" ds:itemID="{e762870c-05fe-4ca4-bed4-85b4b9ac996d}">
  <ds:schemaRefs/>
</ds:datastoreItem>
</file>

<file path=customXml/itemProps13.xml><?xml version="1.0" encoding="utf-8"?>
<ds:datastoreItem xmlns:ds="http://schemas.openxmlformats.org/officeDocument/2006/customXml" ds:itemID="{ddeaf044-8c1c-4647-8c2c-10e76a2f74c8}">
  <ds:schemaRefs/>
</ds:datastoreItem>
</file>

<file path=customXml/itemProps14.xml><?xml version="1.0" encoding="utf-8"?>
<ds:datastoreItem xmlns:ds="http://schemas.openxmlformats.org/officeDocument/2006/customXml" ds:itemID="{7d45df8f-1fca-4462-9a85-b98364ccfccb}">
  <ds:schemaRefs/>
</ds:datastoreItem>
</file>

<file path=customXml/itemProps15.xml><?xml version="1.0" encoding="utf-8"?>
<ds:datastoreItem xmlns:ds="http://schemas.openxmlformats.org/officeDocument/2006/customXml" ds:itemID="{00767787-19f7-43ba-93e2-eef28f17b6ca}">
  <ds:schemaRefs/>
</ds:datastoreItem>
</file>

<file path=customXml/itemProps16.xml><?xml version="1.0" encoding="utf-8"?>
<ds:datastoreItem xmlns:ds="http://schemas.openxmlformats.org/officeDocument/2006/customXml" ds:itemID="{4d0cfadd-70cc-467c-b04d-8e3c06f664a6}">
  <ds:schemaRefs/>
</ds:datastoreItem>
</file>

<file path=customXml/itemProps17.xml><?xml version="1.0" encoding="utf-8"?>
<ds:datastoreItem xmlns:ds="http://schemas.openxmlformats.org/officeDocument/2006/customXml" ds:itemID="{15593e60-38f3-4f65-97c2-bdcf2232f208}">
  <ds:schemaRefs/>
</ds:datastoreItem>
</file>

<file path=customXml/itemProps18.xml><?xml version="1.0" encoding="utf-8"?>
<ds:datastoreItem xmlns:ds="http://schemas.openxmlformats.org/officeDocument/2006/customXml" ds:itemID="{26dd69b6-3c3b-41a7-a4f5-d2f092787231}">
  <ds:schemaRefs/>
</ds:datastoreItem>
</file>

<file path=customXml/itemProps19.xml><?xml version="1.0" encoding="utf-8"?>
<ds:datastoreItem xmlns:ds="http://schemas.openxmlformats.org/officeDocument/2006/customXml" ds:itemID="{8c40f160-42df-4a37-b3f6-4003e61bc7e5}">
  <ds:schemaRefs/>
</ds:datastoreItem>
</file>

<file path=customXml/itemProps2.xml><?xml version="1.0" encoding="utf-8"?>
<ds:datastoreItem xmlns:ds="http://schemas.openxmlformats.org/officeDocument/2006/customXml" ds:itemID="{fd8e669f-c77b-493c-9b18-5de5d8b4d6d3}">
  <ds:schemaRefs/>
</ds:datastoreItem>
</file>

<file path=customXml/itemProps20.xml><?xml version="1.0" encoding="utf-8"?>
<ds:datastoreItem xmlns:ds="http://schemas.openxmlformats.org/officeDocument/2006/customXml" ds:itemID="{85bfb8ae-972e-4752-9df5-5006f8e8851f}">
  <ds:schemaRefs/>
</ds:datastoreItem>
</file>

<file path=customXml/itemProps21.xml><?xml version="1.0" encoding="utf-8"?>
<ds:datastoreItem xmlns:ds="http://schemas.openxmlformats.org/officeDocument/2006/customXml" ds:itemID="{e819b566-04c9-4b8c-af0b-c043543a0ae1}">
  <ds:schemaRefs/>
</ds:datastoreItem>
</file>

<file path=customXml/itemProps22.xml><?xml version="1.0" encoding="utf-8"?>
<ds:datastoreItem xmlns:ds="http://schemas.openxmlformats.org/officeDocument/2006/customXml" ds:itemID="{a7e95168-9734-4865-ba82-34a0408f205a}">
  <ds:schemaRefs/>
</ds:datastoreItem>
</file>

<file path=customXml/itemProps23.xml><?xml version="1.0" encoding="utf-8"?>
<ds:datastoreItem xmlns:ds="http://schemas.openxmlformats.org/officeDocument/2006/customXml" ds:itemID="{4b5077bc-f925-4f38-ac2a-231a719a8616}">
  <ds:schemaRefs/>
</ds:datastoreItem>
</file>

<file path=customXml/itemProps24.xml><?xml version="1.0" encoding="utf-8"?>
<ds:datastoreItem xmlns:ds="http://schemas.openxmlformats.org/officeDocument/2006/customXml" ds:itemID="{344dab1f-a50b-4425-b25f-ee7b9f892fde}">
  <ds:schemaRefs/>
</ds:datastoreItem>
</file>

<file path=customXml/itemProps25.xml><?xml version="1.0" encoding="utf-8"?>
<ds:datastoreItem xmlns:ds="http://schemas.openxmlformats.org/officeDocument/2006/customXml" ds:itemID="{89d86173-a40d-40f0-b568-e913ed8a9b9e}">
  <ds:schemaRefs/>
</ds:datastoreItem>
</file>

<file path=customXml/itemProps26.xml><?xml version="1.0" encoding="utf-8"?>
<ds:datastoreItem xmlns:ds="http://schemas.openxmlformats.org/officeDocument/2006/customXml" ds:itemID="{88ab9cb9-e8f7-42f8-b083-5d60805584b7}">
  <ds:schemaRefs/>
</ds:datastoreItem>
</file>

<file path=customXml/itemProps27.xml><?xml version="1.0" encoding="utf-8"?>
<ds:datastoreItem xmlns:ds="http://schemas.openxmlformats.org/officeDocument/2006/customXml" ds:itemID="{d26237ba-c512-43fd-b118-d6b47d35c0d6}">
  <ds:schemaRefs/>
</ds:datastoreItem>
</file>

<file path=customXml/itemProps28.xml><?xml version="1.0" encoding="utf-8"?>
<ds:datastoreItem xmlns:ds="http://schemas.openxmlformats.org/officeDocument/2006/customXml" ds:itemID="{a340ba4a-8e2f-4ca0-9182-9850caed0c02}">
  <ds:schemaRefs/>
</ds:datastoreItem>
</file>

<file path=customXml/itemProps29.xml><?xml version="1.0" encoding="utf-8"?>
<ds:datastoreItem xmlns:ds="http://schemas.openxmlformats.org/officeDocument/2006/customXml" ds:itemID="{bff595a8-7c41-4a90-b2fe-ac6736d15dc8}">
  <ds:schemaRefs/>
</ds:datastoreItem>
</file>

<file path=customXml/itemProps3.xml><?xml version="1.0" encoding="utf-8"?>
<ds:datastoreItem xmlns:ds="http://schemas.openxmlformats.org/officeDocument/2006/customXml" ds:itemID="{fddcad09-3622-4e06-81d1-22fecb2a7a65}">
  <ds:schemaRefs/>
</ds:datastoreItem>
</file>

<file path=customXml/itemProps30.xml><?xml version="1.0" encoding="utf-8"?>
<ds:datastoreItem xmlns:ds="http://schemas.openxmlformats.org/officeDocument/2006/customXml" ds:itemID="{280a244e-9c43-4502-8b78-5ceec44cb901}">
  <ds:schemaRefs/>
</ds:datastoreItem>
</file>

<file path=customXml/itemProps4.xml><?xml version="1.0" encoding="utf-8"?>
<ds:datastoreItem xmlns:ds="http://schemas.openxmlformats.org/officeDocument/2006/customXml" ds:itemID="{2a17fb84-4b36-4d7b-b7e5-13af45773ef4}">
  <ds:schemaRefs/>
</ds:datastoreItem>
</file>

<file path=customXml/itemProps5.xml><?xml version="1.0" encoding="utf-8"?>
<ds:datastoreItem xmlns:ds="http://schemas.openxmlformats.org/officeDocument/2006/customXml" ds:itemID="{ee2bbf78-1b91-4da1-a9f8-e3d94db4f785}">
  <ds:schemaRefs/>
</ds:datastoreItem>
</file>

<file path=customXml/itemProps6.xml><?xml version="1.0" encoding="utf-8"?>
<ds:datastoreItem xmlns:ds="http://schemas.openxmlformats.org/officeDocument/2006/customXml" ds:itemID="{c40537b7-eb2f-493e-9ded-6a6ab10b51af}">
  <ds:schemaRefs/>
</ds:datastoreItem>
</file>

<file path=customXml/itemProps7.xml><?xml version="1.0" encoding="utf-8"?>
<ds:datastoreItem xmlns:ds="http://schemas.openxmlformats.org/officeDocument/2006/customXml" ds:itemID="{a3efd8b8-92d9-48b2-9d00-0a9e5b3f4a7b}">
  <ds:schemaRefs/>
</ds:datastoreItem>
</file>

<file path=customXml/itemProps8.xml><?xml version="1.0" encoding="utf-8"?>
<ds:datastoreItem xmlns:ds="http://schemas.openxmlformats.org/officeDocument/2006/customXml" ds:itemID="{f4ec9e64-c390-4fb0-a961-31ba5e306b48}">
  <ds:schemaRefs/>
</ds:datastoreItem>
</file>

<file path=customXml/itemProps9.xml><?xml version="1.0" encoding="utf-8"?>
<ds:datastoreItem xmlns:ds="http://schemas.openxmlformats.org/officeDocument/2006/customXml" ds:itemID="{f14e49a8-5cb6-4db0-8edb-8a204bb2491f}">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Office_11.8.2.12080_F1E327BC-269C-435d-A152-05C5408002CA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2022-06-23T17:39:00Z</dcterms:created>
  <dc:creator>HP</dc:creator>
  <cp:lastModifiedBy>李润泽</cp:lastModifiedBy>
  <dcterms:modified xsi:type="dcterms:W3CDTF">2023-09-08T03:07:02Z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D845275A84014D9A87CA5632E7CC829F</vt:lpwstr>
  </property>
</Properties>
</file>