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193.44</w:t>
            </w:r>
          </w:p>
        </w:tc>
        <w:tc>
          <w:tcPr>
            <w:tcW w:w="4535" w:type="dxa"/>
            <w:vAlign w:val="center"/>
          </w:tcPr>
          <w:p>
            <w:pPr>
              <w:pStyle w:val="12"/>
            </w:pPr>
            <w:r>
              <w:t>一、一般公共服务支出</w:t>
            </w:r>
          </w:p>
        </w:tc>
        <w:tc>
          <w:tcPr>
            <w:tcW w:w="2126" w:type="dxa"/>
            <w:vAlign w:val="center"/>
          </w:tcPr>
          <w:p>
            <w:pPr>
              <w:pStyle w:val="11"/>
            </w:pPr>
            <w:r>
              <w:t>177.04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193.44</w:t>
            </w:r>
          </w:p>
        </w:tc>
        <w:tc>
          <w:tcPr>
            <w:tcW w:w="4535" w:type="dxa"/>
            <w:vAlign w:val="center"/>
          </w:tcPr>
          <w:p>
            <w:pPr>
              <w:pStyle w:val="14"/>
            </w:pPr>
            <w:r>
              <w:t>本年支出合计</w:t>
            </w:r>
          </w:p>
        </w:tc>
        <w:tc>
          <w:tcPr>
            <w:tcW w:w="2126" w:type="dxa"/>
            <w:vAlign w:val="center"/>
          </w:tcPr>
          <w:p>
            <w:pPr>
              <w:pStyle w:val="15"/>
            </w:pPr>
            <w:r>
              <w:t>193.44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193.44</w:t>
            </w:r>
          </w:p>
        </w:tc>
        <w:tc>
          <w:tcPr>
            <w:tcW w:w="4535" w:type="dxa"/>
            <w:vAlign w:val="center"/>
          </w:tcPr>
          <w:p>
            <w:pPr>
              <w:pStyle w:val="14"/>
            </w:pPr>
            <w:r>
              <w:t>支出总计</w:t>
            </w:r>
          </w:p>
        </w:tc>
        <w:tc>
          <w:tcPr>
            <w:tcW w:w="2126" w:type="dxa"/>
            <w:vAlign w:val="center"/>
          </w:tcPr>
          <w:p>
            <w:pPr>
              <w:pStyle w:val="15"/>
            </w:pPr>
            <w:r>
              <w:t>193.44</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193.44</w:t>
            </w:r>
          </w:p>
        </w:tc>
        <w:tc>
          <w:tcPr>
            <w:tcW w:w="1134" w:type="dxa"/>
            <w:vAlign w:val="center"/>
          </w:tcPr>
          <w:p>
            <w:pPr>
              <w:pStyle w:val="15"/>
            </w:pPr>
            <w:r>
              <w:t>193.44</w:t>
            </w:r>
          </w:p>
        </w:tc>
        <w:tc>
          <w:tcPr>
            <w:tcW w:w="1134" w:type="dxa"/>
            <w:vAlign w:val="center"/>
          </w:tcPr>
          <w:p>
            <w:pPr>
              <w:pStyle w:val="15"/>
            </w:pPr>
            <w:r>
              <w:t>193.44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20137</w:t>
            </w:r>
          </w:p>
        </w:tc>
        <w:tc>
          <w:tcPr>
            <w:tcW w:w="1559" w:type="dxa"/>
            <w:vAlign w:val="center"/>
          </w:tcPr>
          <w:p>
            <w:pPr>
              <w:pStyle w:val="12"/>
            </w:pPr>
            <w:r>
              <w:t>网信事务</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r>
              <w:t>177.04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2013701</w:t>
            </w:r>
          </w:p>
        </w:tc>
        <w:tc>
          <w:tcPr>
            <w:tcW w:w="1559" w:type="dxa"/>
            <w:vAlign w:val="center"/>
          </w:tcPr>
          <w:p>
            <w:pPr>
              <w:pStyle w:val="12"/>
            </w:pPr>
            <w:r>
              <w:t>行政运行</w:t>
            </w:r>
          </w:p>
        </w:tc>
        <w:tc>
          <w:tcPr>
            <w:tcW w:w="1134" w:type="dxa"/>
            <w:vAlign w:val="center"/>
          </w:tcPr>
          <w:p>
            <w:pPr>
              <w:pStyle w:val="11"/>
            </w:pPr>
            <w:r>
              <w:t>117.04</w:t>
            </w:r>
          </w:p>
        </w:tc>
        <w:tc>
          <w:tcPr>
            <w:tcW w:w="1134" w:type="dxa"/>
            <w:vAlign w:val="center"/>
          </w:tcPr>
          <w:p>
            <w:pPr>
              <w:pStyle w:val="11"/>
            </w:pPr>
            <w:r>
              <w:t>117.04</w:t>
            </w:r>
          </w:p>
        </w:tc>
        <w:tc>
          <w:tcPr>
            <w:tcW w:w="1134" w:type="dxa"/>
            <w:vAlign w:val="center"/>
          </w:tcPr>
          <w:p>
            <w:pPr>
              <w:pStyle w:val="11"/>
            </w:pPr>
            <w:r>
              <w:t>117.04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2013799</w:t>
            </w:r>
          </w:p>
        </w:tc>
        <w:tc>
          <w:tcPr>
            <w:tcW w:w="1559" w:type="dxa"/>
            <w:vAlign w:val="center"/>
          </w:tcPr>
          <w:p>
            <w:pPr>
              <w:pStyle w:val="12"/>
            </w:pPr>
            <w:r>
              <w:t>其他网信事务支出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r>
              <w:t>10.60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193.44</w:t>
            </w:r>
          </w:p>
        </w:tc>
        <w:tc>
          <w:tcPr>
            <w:tcW w:w="1361" w:type="dxa"/>
            <w:vAlign w:val="center"/>
          </w:tcPr>
          <w:p>
            <w:pPr>
              <w:pStyle w:val="15"/>
            </w:pPr>
            <w:r>
              <w:t>133.44</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177.04</w:t>
            </w:r>
          </w:p>
        </w:tc>
        <w:tc>
          <w:tcPr>
            <w:tcW w:w="1361" w:type="dxa"/>
            <w:vAlign w:val="center"/>
          </w:tcPr>
          <w:p>
            <w:pPr>
              <w:pStyle w:val="11"/>
            </w:pPr>
            <w:r>
              <w:t>117.04</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20137</w:t>
            </w:r>
          </w:p>
        </w:tc>
        <w:tc>
          <w:tcPr>
            <w:tcW w:w="4535" w:type="dxa"/>
            <w:vAlign w:val="center"/>
          </w:tcPr>
          <w:p>
            <w:pPr>
              <w:pStyle w:val="12"/>
            </w:pPr>
            <w:r>
              <w:t>网信事务</w:t>
            </w:r>
          </w:p>
        </w:tc>
        <w:tc>
          <w:tcPr>
            <w:tcW w:w="1361" w:type="dxa"/>
            <w:vAlign w:val="center"/>
          </w:tcPr>
          <w:p>
            <w:pPr>
              <w:pStyle w:val="11"/>
            </w:pPr>
            <w:r>
              <w:t>177.04</w:t>
            </w:r>
          </w:p>
        </w:tc>
        <w:tc>
          <w:tcPr>
            <w:tcW w:w="1361" w:type="dxa"/>
            <w:vAlign w:val="center"/>
          </w:tcPr>
          <w:p>
            <w:pPr>
              <w:pStyle w:val="11"/>
            </w:pPr>
            <w:r>
              <w:t>117.04</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2013701</w:t>
            </w:r>
          </w:p>
        </w:tc>
        <w:tc>
          <w:tcPr>
            <w:tcW w:w="4535" w:type="dxa"/>
            <w:vAlign w:val="center"/>
          </w:tcPr>
          <w:p>
            <w:pPr>
              <w:pStyle w:val="12"/>
            </w:pPr>
            <w:r>
              <w:t>行政运行</w:t>
            </w:r>
          </w:p>
        </w:tc>
        <w:tc>
          <w:tcPr>
            <w:tcW w:w="1361" w:type="dxa"/>
            <w:vAlign w:val="center"/>
          </w:tcPr>
          <w:p>
            <w:pPr>
              <w:pStyle w:val="11"/>
            </w:pPr>
            <w:r>
              <w:t>117.04</w:t>
            </w:r>
          </w:p>
        </w:tc>
        <w:tc>
          <w:tcPr>
            <w:tcW w:w="1361" w:type="dxa"/>
            <w:vAlign w:val="center"/>
          </w:tcPr>
          <w:p>
            <w:pPr>
              <w:pStyle w:val="11"/>
            </w:pPr>
            <w:r>
              <w:t>117.04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2013799</w:t>
            </w:r>
          </w:p>
        </w:tc>
        <w:tc>
          <w:tcPr>
            <w:tcW w:w="4535" w:type="dxa"/>
            <w:vAlign w:val="center"/>
          </w:tcPr>
          <w:p>
            <w:pPr>
              <w:pStyle w:val="12"/>
            </w:pPr>
            <w:r>
              <w:t>其他网信事务支出</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10.60</w:t>
            </w:r>
          </w:p>
        </w:tc>
        <w:tc>
          <w:tcPr>
            <w:tcW w:w="1361" w:type="dxa"/>
            <w:vAlign w:val="center"/>
          </w:tcPr>
          <w:p>
            <w:pPr>
              <w:pStyle w:val="11"/>
            </w:pPr>
            <w:r>
              <w:t>10.60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193.44</w:t>
            </w:r>
          </w:p>
        </w:tc>
        <w:tc>
          <w:tcPr>
            <w:tcW w:w="3402" w:type="dxa"/>
            <w:vAlign w:val="center"/>
          </w:tcPr>
          <w:p>
            <w:pPr>
              <w:pStyle w:val="12"/>
            </w:pPr>
            <w:r>
              <w:t>一、一般公共服务支出</w:t>
            </w:r>
          </w:p>
        </w:tc>
        <w:tc>
          <w:tcPr>
            <w:tcW w:w="1474" w:type="dxa"/>
            <w:vAlign w:val="center"/>
          </w:tcPr>
          <w:p>
            <w:pPr>
              <w:pStyle w:val="11"/>
            </w:pPr>
            <w:r>
              <w:t>177.04</w:t>
            </w:r>
          </w:p>
        </w:tc>
        <w:tc>
          <w:tcPr>
            <w:tcW w:w="1474" w:type="dxa"/>
            <w:vAlign w:val="center"/>
          </w:tcPr>
          <w:p>
            <w:pPr>
              <w:pStyle w:val="11"/>
            </w:pPr>
            <w:r>
              <w:t>177.04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10.60</w:t>
            </w:r>
          </w:p>
        </w:tc>
        <w:tc>
          <w:tcPr>
            <w:tcW w:w="1474" w:type="dxa"/>
            <w:vAlign w:val="center"/>
          </w:tcPr>
          <w:p>
            <w:pPr>
              <w:pStyle w:val="11"/>
            </w:pPr>
            <w:r>
              <w:t>10.60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5.80</w:t>
            </w:r>
          </w:p>
        </w:tc>
        <w:tc>
          <w:tcPr>
            <w:tcW w:w="1474" w:type="dxa"/>
            <w:vAlign w:val="center"/>
          </w:tcPr>
          <w:p>
            <w:pPr>
              <w:pStyle w:val="11"/>
            </w:pPr>
            <w:r>
              <w:t>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193.44</w:t>
            </w:r>
          </w:p>
        </w:tc>
        <w:tc>
          <w:tcPr>
            <w:tcW w:w="3402" w:type="dxa"/>
            <w:vAlign w:val="center"/>
          </w:tcPr>
          <w:p>
            <w:pPr>
              <w:pStyle w:val="14"/>
            </w:pPr>
            <w:r>
              <w:t>本年支出合计</w:t>
            </w:r>
          </w:p>
        </w:tc>
        <w:tc>
          <w:tcPr>
            <w:tcW w:w="1474" w:type="dxa"/>
            <w:vAlign w:val="center"/>
          </w:tcPr>
          <w:p>
            <w:pPr>
              <w:pStyle w:val="15"/>
            </w:pPr>
            <w:r>
              <w:t>193.44</w:t>
            </w:r>
          </w:p>
        </w:tc>
        <w:tc>
          <w:tcPr>
            <w:tcW w:w="1474" w:type="dxa"/>
            <w:vAlign w:val="center"/>
          </w:tcPr>
          <w:p>
            <w:pPr>
              <w:pStyle w:val="15"/>
            </w:pPr>
            <w:r>
              <w:t>193.44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193.44</w:t>
            </w:r>
          </w:p>
        </w:tc>
        <w:tc>
          <w:tcPr>
            <w:tcW w:w="3402" w:type="dxa"/>
            <w:vAlign w:val="center"/>
          </w:tcPr>
          <w:p>
            <w:pPr>
              <w:pStyle w:val="14"/>
            </w:pPr>
            <w:r>
              <w:t>支出总计</w:t>
            </w:r>
          </w:p>
        </w:tc>
        <w:tc>
          <w:tcPr>
            <w:tcW w:w="1474" w:type="dxa"/>
            <w:vAlign w:val="center"/>
          </w:tcPr>
          <w:p>
            <w:pPr>
              <w:pStyle w:val="15"/>
            </w:pPr>
            <w:r>
              <w:t>193.44</w:t>
            </w:r>
          </w:p>
        </w:tc>
        <w:tc>
          <w:tcPr>
            <w:tcW w:w="1474" w:type="dxa"/>
            <w:vAlign w:val="center"/>
          </w:tcPr>
          <w:p>
            <w:pPr>
              <w:pStyle w:val="15"/>
            </w:pPr>
            <w:r>
              <w:t>193.44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193.44</w:t>
            </w:r>
          </w:p>
        </w:tc>
        <w:tc>
          <w:tcPr>
            <w:tcW w:w="2551" w:type="dxa"/>
            <w:vAlign w:val="center"/>
          </w:tcPr>
          <w:p>
            <w:pPr>
              <w:pStyle w:val="15"/>
            </w:pPr>
            <w:r>
              <w:t>133.44</w:t>
            </w: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177.04</w:t>
            </w:r>
          </w:p>
        </w:tc>
        <w:tc>
          <w:tcPr>
            <w:tcW w:w="2551" w:type="dxa"/>
            <w:vAlign w:val="center"/>
          </w:tcPr>
          <w:p>
            <w:pPr>
              <w:pStyle w:val="11"/>
            </w:pPr>
            <w:r>
              <w:t>117.04</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20137</w:t>
            </w:r>
          </w:p>
        </w:tc>
        <w:tc>
          <w:tcPr>
            <w:tcW w:w="4535" w:type="dxa"/>
            <w:vAlign w:val="center"/>
          </w:tcPr>
          <w:p>
            <w:pPr>
              <w:pStyle w:val="12"/>
            </w:pPr>
            <w:r>
              <w:t>网信事务</w:t>
            </w:r>
          </w:p>
        </w:tc>
        <w:tc>
          <w:tcPr>
            <w:tcW w:w="2551" w:type="dxa"/>
            <w:vAlign w:val="center"/>
          </w:tcPr>
          <w:p>
            <w:pPr>
              <w:pStyle w:val="11"/>
            </w:pPr>
            <w:r>
              <w:t>177.04</w:t>
            </w:r>
          </w:p>
        </w:tc>
        <w:tc>
          <w:tcPr>
            <w:tcW w:w="2551" w:type="dxa"/>
            <w:vAlign w:val="center"/>
          </w:tcPr>
          <w:p>
            <w:pPr>
              <w:pStyle w:val="11"/>
            </w:pPr>
            <w:r>
              <w:t>117.04</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2013701</w:t>
            </w:r>
          </w:p>
        </w:tc>
        <w:tc>
          <w:tcPr>
            <w:tcW w:w="4535" w:type="dxa"/>
            <w:vAlign w:val="center"/>
          </w:tcPr>
          <w:p>
            <w:pPr>
              <w:pStyle w:val="12"/>
            </w:pPr>
            <w:r>
              <w:t>行政运行</w:t>
            </w:r>
          </w:p>
        </w:tc>
        <w:tc>
          <w:tcPr>
            <w:tcW w:w="2551" w:type="dxa"/>
            <w:vAlign w:val="center"/>
          </w:tcPr>
          <w:p>
            <w:pPr>
              <w:pStyle w:val="11"/>
            </w:pPr>
            <w:r>
              <w:t>117.04</w:t>
            </w:r>
          </w:p>
        </w:tc>
        <w:tc>
          <w:tcPr>
            <w:tcW w:w="2551" w:type="dxa"/>
            <w:vAlign w:val="center"/>
          </w:tcPr>
          <w:p>
            <w:pPr>
              <w:pStyle w:val="11"/>
            </w:pPr>
            <w:r>
              <w:t>117.04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2013799</w:t>
            </w:r>
          </w:p>
        </w:tc>
        <w:tc>
          <w:tcPr>
            <w:tcW w:w="4535" w:type="dxa"/>
            <w:vAlign w:val="center"/>
          </w:tcPr>
          <w:p>
            <w:pPr>
              <w:pStyle w:val="12"/>
            </w:pPr>
            <w:r>
              <w:t>其他网信事务支出</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133.44</w:t>
            </w:r>
          </w:p>
        </w:tc>
        <w:tc>
          <w:tcPr>
            <w:tcW w:w="2551" w:type="dxa"/>
            <w:vAlign w:val="center"/>
          </w:tcPr>
          <w:p>
            <w:pPr>
              <w:pStyle w:val="15"/>
            </w:pPr>
            <w:r>
              <w:t>120.20</w:t>
            </w:r>
          </w:p>
        </w:tc>
        <w:tc>
          <w:tcPr>
            <w:tcW w:w="2551" w:type="dxa"/>
            <w:vAlign w:val="center"/>
          </w:tcPr>
          <w:p>
            <w:pPr>
              <w:pStyle w:val="15"/>
            </w:pPr>
            <w:r>
              <w:t>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120.20</w:t>
            </w:r>
          </w:p>
        </w:tc>
        <w:tc>
          <w:tcPr>
            <w:tcW w:w="2551" w:type="dxa"/>
            <w:vAlign w:val="center"/>
          </w:tcPr>
          <w:p>
            <w:pPr>
              <w:pStyle w:val="11"/>
            </w:pPr>
            <w:r>
              <w:t>120.20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20.60</w:t>
            </w:r>
          </w:p>
        </w:tc>
        <w:tc>
          <w:tcPr>
            <w:tcW w:w="2551" w:type="dxa"/>
            <w:vAlign w:val="center"/>
          </w:tcPr>
          <w:p>
            <w:pPr>
              <w:pStyle w:val="11"/>
            </w:pPr>
            <w:r>
              <w:t>20.60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18.50</w:t>
            </w:r>
          </w:p>
        </w:tc>
        <w:tc>
          <w:tcPr>
            <w:tcW w:w="2551" w:type="dxa"/>
            <w:vAlign w:val="center"/>
          </w:tcPr>
          <w:p>
            <w:pPr>
              <w:pStyle w:val="11"/>
            </w:pPr>
            <w:r>
              <w:t>18.50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13.80</w:t>
            </w:r>
          </w:p>
        </w:tc>
        <w:tc>
          <w:tcPr>
            <w:tcW w:w="2551" w:type="dxa"/>
            <w:vAlign w:val="center"/>
          </w:tcPr>
          <w:p>
            <w:pPr>
              <w:pStyle w:val="11"/>
            </w:pPr>
            <w:r>
              <w:t>13.80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13.24</w:t>
            </w:r>
          </w:p>
        </w:tc>
        <w:tc>
          <w:tcPr>
            <w:tcW w:w="2551" w:type="dxa"/>
            <w:vAlign w:val="center"/>
          </w:tcPr>
          <w:p>
            <w:pPr>
              <w:pStyle w:val="11"/>
            </w:pPr>
          </w:p>
        </w:tc>
        <w:tc>
          <w:tcPr>
            <w:tcW w:w="2551" w:type="dxa"/>
            <w:vAlign w:val="center"/>
          </w:tcPr>
          <w:p>
            <w:pPr>
              <w:pStyle w:val="11"/>
            </w:pPr>
            <w:r>
              <w:t>13.24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3.54</w:t>
            </w:r>
          </w:p>
        </w:tc>
        <w:tc>
          <w:tcPr>
            <w:tcW w:w="2551" w:type="dxa"/>
            <w:vAlign w:val="center"/>
          </w:tcPr>
          <w:p>
            <w:pPr>
              <w:pStyle w:val="11"/>
            </w:pPr>
          </w:p>
        </w:tc>
        <w:tc>
          <w:tcPr>
            <w:tcW w:w="2551" w:type="dxa"/>
            <w:vAlign w:val="center"/>
          </w:tcPr>
          <w:p>
            <w:pPr>
              <w:pStyle w:val="11"/>
            </w:pPr>
            <w:r>
              <w:t>3.54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pPr>
      <w:r>
        <w:rPr>
          <w:rFonts w:ascii="方正小标宋_GBK" w:hAnsi="方正小标宋_GBK" w:eastAsia="方正小标宋_GBK" w:cs="方正小标宋_GBK"/>
          <w:color w:val="000000"/>
          <w:sz w:val="44"/>
        </w:rPr>
        <w:t>中共无极县委网络安全和信息化委员会办公室2022年部门预算信息公开情况说明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按照《预算法》、《地方预决算公开操作规程》和《关于进一步推进预算公开工作的实施意见》规定，现将中共无极县委网络安全和信息化委员会办公室2022年部门预算公开如下：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县委网信办要以习近平新时代中国特色社会主义思想为统，认真学习贯彻习近平总书记关于建设网络强国的重要论述，深入贯彻落实党的十九大和全国、省、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17"/>
      </w:pPr>
      <w:r>
        <w:t>1、负责处理县委网络安全和信息化委员会日常事务工作。</w:t>
      </w:r>
    </w:p>
    <w:p>
      <w:pPr>
        <w:pStyle w:val="17"/>
      </w:pPr>
      <w:r>
        <w:t>2、贯彻落实网络安全和信息化发展战略、宏观规划和重大政策。</w:t>
      </w:r>
    </w:p>
    <w:p>
      <w:pPr>
        <w:pStyle w:val="17"/>
      </w:pPr>
      <w:r>
        <w:t>3、统筹协调全县网络安全保障体系和可信体系建设。</w:t>
      </w:r>
    </w:p>
    <w:p>
      <w:pPr>
        <w:pStyle w:val="17"/>
      </w:pPr>
      <w:r>
        <w:t>4、督促落实涉及政治、经济、文化、社会、生态及军事等各个领域的网络安全和信息化重大事项。</w:t>
      </w:r>
    </w:p>
    <w:p>
      <w:pPr>
        <w:pStyle w:val="17"/>
      </w:pPr>
      <w:r>
        <w:t>5、负责互联网信息内容管理。</w:t>
      </w:r>
    </w:p>
    <w:p>
      <w:pPr>
        <w:pStyle w:val="17"/>
      </w:pPr>
      <w:r>
        <w:t>6、负责指导协调全县舆情信息工作。</w:t>
      </w:r>
    </w:p>
    <w:p>
      <w:pPr>
        <w:pStyle w:val="17"/>
      </w:pPr>
      <w:r>
        <w:t>7、推动全县网络阵地建设和重点新闻网站规划建设。</w:t>
      </w:r>
    </w:p>
    <w:p>
      <w:pPr>
        <w:pStyle w:val="17"/>
      </w:pPr>
      <w:r>
        <w:t>8、协调推动全县网络社会工作和网络文化、网络文明建设。</w:t>
      </w:r>
    </w:p>
    <w:p>
      <w:pPr>
        <w:pStyle w:val="17"/>
      </w:pPr>
      <w:r>
        <w:t>9、落实国家互联网信息服务资本准入和信息网络行业安全审查的有关政策。</w:t>
      </w:r>
    </w:p>
    <w:p>
      <w:pPr>
        <w:pStyle w:val="17"/>
      </w:pPr>
      <w:r>
        <w:t>10、指导网络金融信息服务业务，负责网络金融信息服务市场监管，协调金融监管部门建立全县网络金融信息发布、传播监管制度及工作机制。</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中共无极县委网络安全和信息化委员会办公室本级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部门预算的编制实行综合预算管理，即全部收入和支出都反映在预算中。中共无极县委网络安全和信息化委员会办公室机关及所属事业单位的收支包含在部门预算中。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sz w:val="28"/>
          <w:lang w:val="en-US" w:eastAsia="zh-CN"/>
        </w:rPr>
        <w:t>193.44</w:t>
      </w:r>
      <w:r>
        <w:rPr>
          <w:rFonts w:hint="eastAsia" w:eastAsia="方正仿宋_GBK"/>
          <w:color w:val="000000"/>
          <w:sz w:val="28"/>
        </w:rPr>
        <w:t>万元，其中：一般公共预算拨款</w:t>
      </w:r>
      <w:r>
        <w:rPr>
          <w:rFonts w:hint="eastAsia" w:eastAsia="方正仿宋_GBK"/>
          <w:color w:val="000000"/>
          <w:sz w:val="28"/>
          <w:lang w:val="en-US" w:eastAsia="zh-CN"/>
        </w:rPr>
        <w:t>193.44</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pStyle w:val="18"/>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val="en-US" w:eastAsia="zh-CN"/>
        </w:rPr>
        <w:t>无极县委网信办</w:t>
      </w:r>
      <w:r>
        <w:rPr>
          <w:rFonts w:hint="eastAsia" w:eastAsia="方正仿宋_GBK"/>
          <w:color w:val="000000"/>
          <w:sz w:val="28"/>
        </w:rPr>
        <w:t>年度部门预算中支出预算的总体情况。</w:t>
      </w:r>
      <w:r>
        <w:rPr>
          <w:rFonts w:eastAsia="方正仿宋_GBK"/>
          <w:color w:val="000000"/>
          <w:sz w:val="28"/>
        </w:rPr>
        <w:t>2022</w:t>
      </w:r>
      <w:r>
        <w:rPr>
          <w:rFonts w:hint="eastAsia" w:eastAsia="方正仿宋_GBK"/>
          <w:color w:val="000000"/>
          <w:sz w:val="28"/>
        </w:rPr>
        <w:t>年部门支出预算为</w:t>
      </w:r>
      <w:r>
        <w:rPr>
          <w:rFonts w:hint="eastAsia" w:eastAsia="方正仿宋_GBK"/>
          <w:sz w:val="28"/>
          <w:lang w:val="en-US" w:eastAsia="zh-CN"/>
        </w:rPr>
        <w:t>193.44</w:t>
      </w:r>
      <w:r>
        <w:rPr>
          <w:rFonts w:hint="eastAsia" w:eastAsia="方正仿宋_GBK"/>
          <w:color w:val="000000"/>
          <w:sz w:val="28"/>
        </w:rPr>
        <w:t>万元，其中基本支出</w:t>
      </w:r>
      <w:r>
        <w:rPr>
          <w:rFonts w:hint="eastAsia" w:eastAsia="方正仿宋_GBK"/>
          <w:sz w:val="28"/>
          <w:lang w:val="en-US" w:eastAsia="zh-CN"/>
        </w:rPr>
        <w:t>133.44</w:t>
      </w:r>
      <w:r>
        <w:rPr>
          <w:rFonts w:hint="eastAsia" w:eastAsia="方正仿宋_GBK"/>
          <w:color w:val="000000"/>
          <w:sz w:val="28"/>
        </w:rPr>
        <w:t>元，包括人员经费</w:t>
      </w:r>
      <w:r>
        <w:rPr>
          <w:rFonts w:hint="eastAsia" w:eastAsia="方正仿宋_GBK"/>
          <w:sz w:val="28"/>
          <w:lang w:val="en-US" w:eastAsia="zh-CN"/>
        </w:rPr>
        <w:t>120.2</w:t>
      </w:r>
      <w:r>
        <w:rPr>
          <w:rFonts w:hint="eastAsia" w:eastAsia="方正仿宋_GBK"/>
          <w:color w:val="000000"/>
          <w:sz w:val="28"/>
        </w:rPr>
        <w:t>万元和日常公用经费</w:t>
      </w:r>
      <w:r>
        <w:rPr>
          <w:rFonts w:hint="eastAsia" w:eastAsia="方正仿宋_GBK"/>
          <w:sz w:val="28"/>
          <w:lang w:val="en-US" w:eastAsia="zh-CN"/>
        </w:rPr>
        <w:t>13.24</w:t>
      </w:r>
      <w:r>
        <w:rPr>
          <w:rFonts w:hint="eastAsia" w:eastAsia="方正仿宋_GBK"/>
          <w:color w:val="000000"/>
          <w:sz w:val="28"/>
        </w:rPr>
        <w:t>万元；</w:t>
      </w:r>
      <w:r>
        <w:rPr>
          <w:rFonts w:hint="eastAsia"/>
        </w:rPr>
        <w:t>项目支出</w:t>
      </w:r>
      <w:r>
        <w:rPr>
          <w:rFonts w:hint="eastAsia"/>
          <w:lang w:val="en-US" w:eastAsia="zh-CN"/>
        </w:rPr>
        <w:t>60</w:t>
      </w:r>
      <w:r>
        <w:rPr>
          <w:rFonts w:hint="eastAsia"/>
        </w:rPr>
        <w:t>万元，主要为</w:t>
      </w:r>
      <w:r>
        <w:rPr>
          <w:rFonts w:hint="eastAsia"/>
          <w:lang w:val="en-US" w:eastAsia="zh-CN"/>
        </w:rPr>
        <w:t>网信事务支出60</w:t>
      </w:r>
      <w:r>
        <w:rPr>
          <w:rFonts w:hint="eastAsia"/>
        </w:rPr>
        <w:t>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pStyle w:val="19"/>
        <w:rPr>
          <w:rFonts w:hint="eastAsia"/>
          <w:lang w:val="en-US" w:eastAsia="uk-UA"/>
        </w:rPr>
      </w:pPr>
      <w:bookmarkStart w:id="11" w:name="_Toc_3_3_0000000012"/>
      <w:r>
        <w:rPr>
          <w:rFonts w:hint="eastAsia"/>
          <w:lang w:val="en-US" w:eastAsia="uk-UA"/>
        </w:rPr>
        <w:t>2022年部门预算支出较2021</w:t>
      </w:r>
      <w:r>
        <w:rPr>
          <w:rFonts w:hint="eastAsia"/>
          <w:lang w:val="en-US" w:eastAsia="zh-CN"/>
        </w:rPr>
        <w:t>减少182.43</w:t>
      </w:r>
      <w:r>
        <w:rPr>
          <w:rFonts w:hint="eastAsia"/>
          <w:lang w:val="en-US" w:eastAsia="uk-UA"/>
        </w:rPr>
        <w:t>万元，其中：基本支出</w:t>
      </w:r>
      <w:r>
        <w:rPr>
          <w:rFonts w:hint="eastAsia"/>
          <w:lang w:val="en-US" w:eastAsia="zh-CN"/>
        </w:rPr>
        <w:t>增加10.01</w:t>
      </w:r>
      <w:r>
        <w:rPr>
          <w:rFonts w:hint="eastAsia"/>
          <w:lang w:val="en-US" w:eastAsia="uk-UA"/>
        </w:rPr>
        <w:t>万元</w:t>
      </w:r>
      <w:r>
        <w:rPr>
          <w:rFonts w:hint="eastAsia"/>
          <w:lang w:val="en-US" w:eastAsia="zh-CN"/>
        </w:rPr>
        <w:t>，主要是人员经费增加</w:t>
      </w:r>
      <w:r>
        <w:rPr>
          <w:rFonts w:hint="eastAsia"/>
          <w:lang w:val="en-US" w:eastAsia="uk-UA"/>
        </w:rPr>
        <w:t>；项目支出减少</w:t>
      </w:r>
      <w:r>
        <w:rPr>
          <w:rFonts w:hint="eastAsia"/>
          <w:lang w:val="en-US" w:eastAsia="zh-CN"/>
        </w:rPr>
        <w:t>192.44</w:t>
      </w:r>
      <w:r>
        <w:rPr>
          <w:rFonts w:hint="eastAsia"/>
          <w:lang w:val="en-US" w:eastAsia="uk-UA"/>
        </w:rPr>
        <w:t>万元</w:t>
      </w:r>
      <w:r>
        <w:rPr>
          <w:rFonts w:hint="eastAsia"/>
          <w:lang w:val="en-US" w:eastAsia="zh-CN"/>
        </w:rPr>
        <w:t>，主要是项目减少了</w:t>
      </w:r>
      <w:r>
        <w:rPr>
          <w:rFonts w:hint="eastAsia"/>
          <w:lang w:val="en-US" w:eastAsia="uk-UA"/>
        </w:rPr>
        <w:t>。</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pStyle w:val="19"/>
      </w:pPr>
      <w:r>
        <w:t>2022年，我</w:t>
      </w:r>
      <w:r>
        <w:rPr>
          <w:rFonts w:hint="eastAsia"/>
          <w:lang w:val="en-US" w:eastAsia="zh-CN"/>
        </w:rPr>
        <w:t>部门</w:t>
      </w:r>
      <w:r>
        <w:t>机关运行经费共计安排</w:t>
      </w:r>
      <w:r>
        <w:rPr>
          <w:rFonts w:hint="eastAsia"/>
          <w:lang w:val="en-US" w:eastAsia="zh-CN"/>
        </w:rPr>
        <w:t>13.24</w:t>
      </w:r>
      <w:r>
        <w:t>万元，主要用于保证机关正常运转的办公及印刷费、邮电费、差旅费、一般设备购置费、办公用房电费、日常维修费等支出。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9"/>
        <w:rPr>
          <w:rFonts w:hint="eastAsia"/>
          <w:lang w:val="en-US" w:eastAsia="uk-UA"/>
        </w:rPr>
      </w:pPr>
      <w:bookmarkStart w:id="13" w:name="_Toc_3_3_0000000014"/>
      <w:r>
        <w:rPr>
          <w:rFonts w:hint="eastAsia"/>
          <w:lang w:val="en-US" w:eastAsia="uk-UA"/>
        </w:rPr>
        <w:t>2022年，我部门财政拨款“三公”经费预算安排</w:t>
      </w:r>
      <w:r>
        <w:rPr>
          <w:rFonts w:hint="eastAsia"/>
          <w:lang w:val="en-US" w:eastAsia="zh-CN"/>
        </w:rPr>
        <w:t>3</w:t>
      </w:r>
      <w:r>
        <w:rPr>
          <w:rFonts w:hint="eastAsia"/>
          <w:lang w:val="en-US" w:eastAsia="uk-UA"/>
        </w:rPr>
        <w:t>万元，其中：因公出国（境）费0元；公务用车购置及运维费</w:t>
      </w:r>
      <w:r>
        <w:rPr>
          <w:rFonts w:hint="eastAsia"/>
          <w:lang w:val="en-US" w:eastAsia="zh-CN"/>
        </w:rPr>
        <w:t>3</w:t>
      </w:r>
      <w:r>
        <w:rPr>
          <w:rFonts w:hint="eastAsia"/>
          <w:lang w:val="en-US" w:eastAsia="uk-UA"/>
        </w:rPr>
        <w:t>万元（其中：公务用车购置费0万元，公务用车运行费</w:t>
      </w:r>
      <w:r>
        <w:rPr>
          <w:rFonts w:hint="eastAsia"/>
          <w:lang w:val="en-US" w:eastAsia="zh-CN"/>
        </w:rPr>
        <w:t>3</w:t>
      </w:r>
      <w:r>
        <w:rPr>
          <w:rFonts w:hint="eastAsia"/>
          <w:lang w:val="en-US" w:eastAsia="uk-UA"/>
        </w:rPr>
        <w:t>万元)；公务接待费</w:t>
      </w:r>
      <w:r>
        <w:rPr>
          <w:rFonts w:hint="eastAsia"/>
          <w:lang w:val="en-US" w:eastAsia="zh-CN"/>
        </w:rPr>
        <w:t>0</w:t>
      </w:r>
      <w:r>
        <w:rPr>
          <w:rFonts w:hint="eastAsia"/>
          <w:lang w:val="en-US" w:eastAsia="uk-UA"/>
        </w:rPr>
        <w:t>万元，与2021年相比持平无增减变化。本部门因今年没有安排因公出国（境），今年也没有产生接待费，所以与2021年相比持平无增减变化 。</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1"/>
      </w:pPr>
      <w:r>
        <w:t>2022年县委网信办要以习近平新时代中国特色社会主义思想为统领，认真学习贯彻习近平总书记关于建设网络强国的重要论述，深入贯彻落实党的十九大和全国、省、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pStyle w:val="21"/>
      </w:pPr>
      <w:r>
        <w:t>1、负责处理县委网络安全和信息化委员会日常事务工作。</w:t>
      </w:r>
    </w:p>
    <w:p>
      <w:pPr>
        <w:pStyle w:val="21"/>
      </w:pPr>
      <w:r>
        <w:t>2、贯彻落实网络安全和信息化发展战略、宏观规划和重大政策。</w:t>
      </w:r>
    </w:p>
    <w:p>
      <w:pPr>
        <w:pStyle w:val="21"/>
      </w:pPr>
      <w:r>
        <w:t>3、统筹协调全县网络安全保障体系和可信体系建设。</w:t>
      </w:r>
    </w:p>
    <w:p>
      <w:pPr>
        <w:pStyle w:val="21"/>
      </w:pPr>
      <w:r>
        <w:t>4、督促落实涉及政治、经济、文化、社会、生态及军事等各个领域的网络安全和信息化重大事项。</w:t>
      </w:r>
    </w:p>
    <w:p>
      <w:pPr>
        <w:pStyle w:val="21"/>
      </w:pPr>
      <w:r>
        <w:t>5、负责互联网信息内容管理。</w:t>
      </w:r>
    </w:p>
    <w:p>
      <w:pPr>
        <w:pStyle w:val="21"/>
      </w:pPr>
      <w:r>
        <w:t>6、负责指导协调全县舆情信息工作。</w:t>
      </w:r>
    </w:p>
    <w:p>
      <w:pPr>
        <w:pStyle w:val="21"/>
      </w:pPr>
      <w:r>
        <w:t>7、推动全县网络阵地建设和重点新闻网站规划建设。</w:t>
      </w:r>
    </w:p>
    <w:p>
      <w:pPr>
        <w:pStyle w:val="21"/>
      </w:pPr>
      <w:r>
        <w:t>8、协调推动全县网络社会工作和网络文化、网络文明建设。</w:t>
      </w:r>
    </w:p>
    <w:p>
      <w:pPr>
        <w:pStyle w:val="21"/>
      </w:pPr>
      <w:r>
        <w:t>9、落实国家互联网信息服务资本准入和信息网络行业安全审查的有关政策。</w:t>
      </w:r>
    </w:p>
    <w:p>
      <w:pPr>
        <w:pStyle w:val="21"/>
      </w:pPr>
      <w:r>
        <w:t>10、指导网络金融信息服务业务，负责网络金融信息服务市场监管，协调金融监管部门建立全县网络金融信息发布、传播监管制度及工作机制</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2"/>
      </w:pPr>
      <w:r>
        <w:t>2022年县委网信办要以习近平新时代中国特色社会主义思想为统领，认真学习贯彻习近平总书记关于建设网络强国的重要论述，深入贯彻落实党的十九大和全国、省、石家庄市网络安全和信息化工作会议精神，守正创新，开拓进取，以加快建设网络强市为目标，强力推进网络内容建设和管理、网络安全和信息化工作，为新时代建设“实业强县幸福无极”提供强大的网络舆论支持、可靠的网络安全保障和有力的信息化支撑。</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1、加强正面宣传。以门户网站、微信公众号为中心，统筹各政务新媒体平台，积极转发推送正面宣传稿件。</w:t>
      </w:r>
    </w:p>
    <w:p>
      <w:pPr>
        <w:pStyle w:val="23"/>
      </w:pPr>
      <w:r>
        <w:t>2、加强网络安全保障。重点针对全县关键信息基础设施，开展全天候网络安全监测预警，坚决预防化解网络安全风险。</w:t>
      </w:r>
    </w:p>
    <w:p>
      <w:pPr>
        <w:pStyle w:val="23"/>
      </w:pPr>
      <w:r>
        <w:t>3、加强网络治理保障。发动广大网民重点对网上黄赌毒以及涉黑涉恶等违法违规信息进行举报。</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ind w:firstLine="640"/>
      </w:pPr>
      <w:r>
        <w:rPr>
          <w:rFonts w:ascii="方正仿宋_GBK" w:hAnsi="方正仿宋_GBK" w:eastAsia="方正仿宋_GBK" w:cs="方正仿宋_GBK"/>
          <w:b/>
          <w:color w:val="000000"/>
          <w:sz w:val="28"/>
        </w:rPr>
        <w:t>1、舆情回应基金库绩效目标表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1用于重大舆情提供资金支持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舆情回应数量</w:t>
            </w:r>
          </w:p>
        </w:tc>
        <w:tc>
          <w:tcPr>
            <w:tcW w:w="2835" w:type="dxa"/>
            <w:vAlign w:val="center"/>
          </w:tcPr>
          <w:p>
            <w:pPr>
              <w:pStyle w:val="12"/>
            </w:pPr>
            <w:r>
              <w:t>舆情回应数量</w:t>
            </w:r>
          </w:p>
        </w:tc>
        <w:tc>
          <w:tcPr>
            <w:tcW w:w="2551" w:type="dxa"/>
            <w:vAlign w:val="center"/>
          </w:tcPr>
          <w:p>
            <w:pPr>
              <w:pStyle w:val="12"/>
            </w:pPr>
            <w:r>
              <w:t>尽可能的减少</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舆情回应质量</w:t>
            </w:r>
          </w:p>
        </w:tc>
        <w:tc>
          <w:tcPr>
            <w:tcW w:w="2835" w:type="dxa"/>
            <w:vAlign w:val="center"/>
          </w:tcPr>
          <w:p>
            <w:pPr>
              <w:pStyle w:val="12"/>
            </w:pPr>
            <w:r>
              <w:t>舆情回应质量</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舆情处理及时性</w:t>
            </w:r>
          </w:p>
        </w:tc>
        <w:tc>
          <w:tcPr>
            <w:tcW w:w="2835" w:type="dxa"/>
            <w:vAlign w:val="center"/>
          </w:tcPr>
          <w:p>
            <w:pPr>
              <w:pStyle w:val="12"/>
            </w:pPr>
            <w:r>
              <w:t>舆情处理及时性</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节约成本</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舆情事件发生率</w:t>
            </w:r>
          </w:p>
        </w:tc>
        <w:tc>
          <w:tcPr>
            <w:tcW w:w="2835" w:type="dxa"/>
            <w:vAlign w:val="center"/>
          </w:tcPr>
          <w:p>
            <w:pPr>
              <w:pStyle w:val="12"/>
            </w:pPr>
            <w:r>
              <w:t>舆情事件发生率</w:t>
            </w:r>
          </w:p>
        </w:tc>
        <w:tc>
          <w:tcPr>
            <w:tcW w:w="2551" w:type="dxa"/>
            <w:vAlign w:val="center"/>
          </w:tcPr>
          <w:p>
            <w:pPr>
              <w:pStyle w:val="12"/>
            </w:pPr>
            <w:r>
              <w:t>降低舆情事件的发生</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网络环境逐渐向好</w:t>
            </w:r>
          </w:p>
        </w:tc>
        <w:tc>
          <w:tcPr>
            <w:tcW w:w="2835" w:type="dxa"/>
            <w:vAlign w:val="center"/>
          </w:tcPr>
          <w:p>
            <w:pPr>
              <w:pStyle w:val="12"/>
            </w:pPr>
            <w:r>
              <w:t>网络环境逐渐向好</w:t>
            </w:r>
          </w:p>
        </w:tc>
        <w:tc>
          <w:tcPr>
            <w:tcW w:w="2551" w:type="dxa"/>
            <w:vAlign w:val="center"/>
          </w:tcPr>
          <w:p>
            <w:pPr>
              <w:pStyle w:val="12"/>
            </w:pPr>
            <w:r>
              <w:t>网络环境逐渐向好</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2022年，中共无极县委网络安全和信息化委员会办公室安排政府采购预算0.00万元。具体内容见下表。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中共无极县委网络安全和信息化委员会办公室（含所属单位）上年末固定资产金额为21.92万元（详见下表）。本年度拟购置固定资产总额为0.00万元。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224中共无极县委网络安全和信息化委员会办公室</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195</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195</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21.92</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4MzkzYTRkYWQ3ZjM0NGJiNjY0NDU2MTJlMGIxODEifQ=="/>
  </w:docVars>
  <w:rsids>
    <w:rsidRoot w:val="00044730"/>
    <w:rsid w:val="00044730"/>
    <w:rsid w:val="001C3C3A"/>
    <w:rsid w:val="00D36AC4"/>
    <w:rsid w:val="01CB3A9E"/>
    <w:rsid w:val="02986570"/>
    <w:rsid w:val="0BA8480B"/>
    <w:rsid w:val="0CA74424"/>
    <w:rsid w:val="0D9211A4"/>
    <w:rsid w:val="106243BB"/>
    <w:rsid w:val="127F5C72"/>
    <w:rsid w:val="150738F0"/>
    <w:rsid w:val="15231341"/>
    <w:rsid w:val="1D0621C0"/>
    <w:rsid w:val="2E1672E3"/>
    <w:rsid w:val="2E417F13"/>
    <w:rsid w:val="384D265D"/>
    <w:rsid w:val="42B2277B"/>
    <w:rsid w:val="47154B28"/>
    <w:rsid w:val="4E65005F"/>
    <w:rsid w:val="5C9028CF"/>
    <w:rsid w:val="6BDF5B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2022-06-22T11:39:52Z</dcterms:created>
  <dcterms:modified xsi:type="dcterms:W3CDTF">2022-06-22T03:39:52Z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2022-06-22T11:39:54Z</dcterms:created>
  <dcterms:modified xsi:type="dcterms:W3CDTF">2022-06-22T03:39:54Z</dcterms:modified>
</cp:coreProperties>
</file>

<file path=customXml/itemProps1.xml><?xml version="1.0" encoding="utf-8"?>
<ds:datastoreItem xmlns:ds="http://schemas.openxmlformats.org/officeDocument/2006/customXml" ds:itemID="{3D46C0B9-8720-4F4D-A410-0F421C01A368}">
  <ds:schemaRefs/>
</ds:datastoreItem>
</file>

<file path=customXml/itemProps10.xml><?xml version="1.0" encoding="utf-8"?>
<ds:datastoreItem xmlns:ds="http://schemas.openxmlformats.org/officeDocument/2006/customXml" ds:itemID="{8A810D90-F657-43F5-9C07-049D685F029A}">
  <ds:schemaRefs/>
</ds:datastoreItem>
</file>

<file path=customXml/itemProps11.xml><?xml version="1.0" encoding="utf-8"?>
<ds:datastoreItem xmlns:ds="http://schemas.openxmlformats.org/officeDocument/2006/customXml" ds:itemID="{7154BD80-8082-4DF3-B91C-BDC26ED5C918}">
  <ds:schemaRefs/>
</ds:datastoreItem>
</file>

<file path=customXml/itemProps12.xml><?xml version="1.0" encoding="utf-8"?>
<ds:datastoreItem xmlns:ds="http://schemas.openxmlformats.org/officeDocument/2006/customXml" ds:itemID="{F244C3E6-6833-4278-95C4-9CC66FD8160B}">
  <ds:schemaRefs/>
</ds:datastoreItem>
</file>

<file path=customXml/itemProps13.xml><?xml version="1.0" encoding="utf-8"?>
<ds:datastoreItem xmlns:ds="http://schemas.openxmlformats.org/officeDocument/2006/customXml" ds:itemID="{C9A25CD5-F751-4708-B80E-2F8F2B07B8B1}">
  <ds:schemaRefs/>
</ds:datastoreItem>
</file>

<file path=customXml/itemProps14.xml><?xml version="1.0" encoding="utf-8"?>
<ds:datastoreItem xmlns:ds="http://schemas.openxmlformats.org/officeDocument/2006/customXml" ds:itemID="{ED66AF04-0987-4051-8166-31B7B5F2E582}">
  <ds:schemaRefs/>
</ds:datastoreItem>
</file>

<file path=customXml/itemProps2.xml><?xml version="1.0" encoding="utf-8"?>
<ds:datastoreItem xmlns:ds="http://schemas.openxmlformats.org/officeDocument/2006/customXml" ds:itemID="{E615F453-E429-42CF-AAAC-B1690CAB073D}">
  <ds:schemaRefs/>
</ds:datastoreItem>
</file>

<file path=customXml/itemProps3.xml><?xml version="1.0" encoding="utf-8"?>
<ds:datastoreItem xmlns:ds="http://schemas.openxmlformats.org/officeDocument/2006/customXml" ds:itemID="{F7455E4B-6E02-484C-901F-9C0105DAD3F1}">
  <ds:schemaRefs/>
</ds:datastoreItem>
</file>

<file path=customXml/itemProps4.xml><?xml version="1.0" encoding="utf-8"?>
<ds:datastoreItem xmlns:ds="http://schemas.openxmlformats.org/officeDocument/2006/customXml" ds:itemID="{3737FA38-67E6-4EB5-B876-225F2A1184EC}">
  <ds:schemaRefs/>
</ds:datastoreItem>
</file>

<file path=customXml/itemProps5.xml><?xml version="1.0" encoding="utf-8"?>
<ds:datastoreItem xmlns:ds="http://schemas.openxmlformats.org/officeDocument/2006/customXml" ds:itemID="{9260BA6C-FFCE-4F31-A205-6D319CF8AB01}">
  <ds:schemaRefs/>
</ds:datastoreItem>
</file>

<file path=customXml/itemProps6.xml><?xml version="1.0" encoding="utf-8"?>
<ds:datastoreItem xmlns:ds="http://schemas.openxmlformats.org/officeDocument/2006/customXml" ds:itemID="{A037A573-F6C2-4C43-B6EA-CFD86B9CBE26}">
  <ds:schemaRefs/>
</ds:datastoreItem>
</file>

<file path=customXml/itemProps7.xml><?xml version="1.0" encoding="utf-8"?>
<ds:datastoreItem xmlns:ds="http://schemas.openxmlformats.org/officeDocument/2006/customXml" ds:itemID="{8106E542-286B-4B91-BA2A-53C8C93EB1BC}">
  <ds:schemaRefs/>
</ds:datastoreItem>
</file>

<file path=customXml/itemProps8.xml><?xml version="1.0" encoding="utf-8"?>
<ds:datastoreItem xmlns:ds="http://schemas.openxmlformats.org/officeDocument/2006/customXml" ds:itemID="{4F77F2D4-FC7F-4CD3-8410-11C4B01B2B3D}">
  <ds:schemaRefs/>
</ds:datastoreItem>
</file>

<file path=customXml/itemProps9.xml><?xml version="1.0" encoding="utf-8"?>
<ds:datastoreItem xmlns:ds="http://schemas.openxmlformats.org/officeDocument/2006/customXml" ds:itemID="{C2C6966E-0842-4B83-9228-08800C563AA5}">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26</Pages>
  <Words>6304</Words>
  <Characters>7293</Characters>
  <Lines>130</Lines>
  <Paragraphs>36</Paragraphs>
  <TotalTime>6</TotalTime>
  <ScaleCrop>false</ScaleCrop>
  <LinksUpToDate>false</LinksUpToDate>
  <CharactersWithSpaces>7457</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2022-06-22T04:13:00Z</dcterms:created>
  <dc:creator>Administrator</dc:creator>
  <cp:lastModifiedBy>李润泽</cp:lastModifiedBy>
  <dcterms:modified xsi:type="dcterms:W3CDTF">2023-09-08T03:25:19Z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3C2EC291B7E94AF097E27F6BE40ADE58_13</vt:lpwstr>
  </property>
</Properties>
</file>