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rPr>
          <w:rFonts w:hint="eastAsia" w:ascii="方正仿宋_GBK" w:hAnsi="方正仿宋_GBK" w:eastAsia="方正仿宋_GBK" w:cs="方正仿宋_GBK"/>
        </w:rPr>
      </w:pPr>
      <w:r>
        <w:rPr>
          <w:rFonts w:ascii="黑体" w:hAnsi="黑体" w:eastAsia="黑体" w:cs="黑体"/>
          <w:b/>
          <w:color w:val="000000"/>
          <w:sz w:val="30"/>
        </w:rPr>
        <w:t xml:space="preserve"> </w:t>
      </w:r>
    </w:p>
    <w:p>
      <w:pPr>
        <w:jc w:val="both"/>
        <w:outlineLvl w:val="3"/>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color w:val="000000"/>
          <w:sz w:val="32"/>
          <w:szCs w:val="32"/>
        </w:rPr>
        <w:t>一、中共无极县委县直机关工作委员会本级收支预算</w:t>
      </w:r>
      <w:r>
        <w:rPr>
          <w:rFonts w:hint="eastAsia" w:ascii="方正仿宋_GBK" w:hAnsi="方正仿宋_GBK" w:eastAsia="方正仿宋_GBK" w:cs="方正仿宋_GBK"/>
          <w:color w:val="000000"/>
          <w:sz w:val="32"/>
          <w:szCs w:val="32"/>
          <w:lang w:val="en-US" w:eastAsia="zh-CN"/>
        </w:rPr>
        <w:t xml:space="preserve">........................................................................... </w:t>
      </w:r>
      <w:r>
        <w:rPr>
          <w:rFonts w:hint="eastAsia" w:ascii="方正书宋_GBK" w:hAnsi="方正书宋_GBK" w:eastAsia="方正书宋_GBK" w:cs="方正书宋_GBK"/>
          <w:kern w:val="0"/>
          <w:sz w:val="28"/>
          <w:szCs w:val="28"/>
          <w:lang w:val="en-US" w:eastAsia="zh-CN" w:bidi="ar-SA"/>
        </w:rPr>
        <w:t>2</w:t>
      </w:r>
    </w:p>
    <w:p>
      <w:pPr>
        <w:jc w:val="both"/>
      </w:pPr>
    </w:p>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rPr>
          <w:rFonts w:hint="eastAsia" w:ascii="方正小标宋_GBK" w:hAnsi="方正小标宋_GBK" w:eastAsia="方正小标宋_GBK" w:cs="方正小标宋_GBK"/>
          <w:color w:val="000000"/>
          <w:sz w:val="44"/>
        </w:rPr>
      </w:pPr>
      <w:bookmarkStart w:id="0" w:name="_Toc_4_4_0000000019"/>
    </w:p>
    <w:p>
      <w:pPr>
        <w:jc w:val="center"/>
        <w:outlineLvl w:val="3"/>
        <w:rPr>
          <w:rFonts w:hint="eastAsia" w:ascii="方正小标宋_GBK" w:hAnsi="方正小标宋_GBK" w:eastAsia="方正小标宋_GBK" w:cs="方正小标宋_GBK"/>
          <w:color w:val="000000"/>
          <w:sz w:val="44"/>
        </w:rPr>
      </w:pPr>
    </w:p>
    <w:p>
      <w:pPr>
        <w:jc w:val="center"/>
        <w:outlineLvl w:val="3"/>
        <w:rPr>
          <w:rFonts w:hint="eastAsia" w:ascii="方正小标宋_GBK" w:hAnsi="方正小标宋_GBK" w:eastAsia="方正小标宋_GBK" w:cs="方正小标宋_GBK"/>
          <w:color w:val="000000"/>
          <w:sz w:val="44"/>
        </w:rPr>
      </w:pPr>
    </w:p>
    <w:p>
      <w:pPr>
        <w:jc w:val="center"/>
        <w:outlineLvl w:val="3"/>
        <w:rPr>
          <w:rFonts w:hint="eastAsia" w:ascii="方正小标宋_GBK" w:hAnsi="方正小标宋_GBK" w:eastAsia="方正小标宋_GBK" w:cs="方正小标宋_GBK"/>
          <w:color w:val="000000"/>
          <w:sz w:val="44"/>
        </w:rPr>
      </w:pPr>
    </w:p>
    <w:p>
      <w:pPr>
        <w:jc w:val="center"/>
        <w:outlineLvl w:val="3"/>
        <w:rPr>
          <w:rFonts w:hint="eastAsia" w:ascii="方正小标宋_GBK" w:hAnsi="方正小标宋_GBK" w:eastAsia="方正小标宋_GBK" w:cs="方正小标宋_GBK"/>
          <w:color w:val="000000"/>
          <w:sz w:val="44"/>
        </w:rPr>
      </w:pPr>
    </w:p>
    <w:p>
      <w:pPr>
        <w:jc w:val="center"/>
        <w:outlineLvl w:val="3"/>
        <w:rPr>
          <w:rFonts w:hint="eastAsia" w:ascii="方正小标宋_GBK" w:hAnsi="方正小标宋_GBK" w:eastAsia="方正小标宋_GBK" w:cs="方正小标宋_GBK"/>
          <w:color w:val="000000"/>
          <w:sz w:val="44"/>
        </w:rPr>
      </w:pPr>
    </w:p>
    <w:p>
      <w:pPr>
        <w:jc w:val="center"/>
        <w:outlineLvl w:val="3"/>
      </w:pPr>
      <w:r>
        <w:rPr>
          <w:rFonts w:hint="eastAsia" w:ascii="方正小标宋_GBK" w:hAnsi="方正小标宋_GBK" w:eastAsia="方正小标宋_GBK" w:cs="方正小标宋_GBK"/>
          <w:color w:val="000000"/>
          <w:sz w:val="44"/>
        </w:rPr>
        <w:t>一、中共无极县委县直机关工作委员会本级收支预算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114.78</w:t>
            </w:r>
          </w:p>
        </w:tc>
        <w:tc>
          <w:tcPr>
            <w:tcW w:w="4535" w:type="dxa"/>
            <w:vAlign w:val="center"/>
          </w:tcPr>
          <w:p>
            <w:pPr>
              <w:pStyle w:val="16"/>
            </w:pPr>
            <w:r>
              <w:rPr>
                <w:rFonts w:hint="eastAsia"/>
              </w:rPr>
              <w:t>一、一般公共服务支出</w:t>
            </w:r>
          </w:p>
        </w:tc>
        <w:tc>
          <w:tcPr>
            <w:tcW w:w="2126" w:type="dxa"/>
            <w:vAlign w:val="center"/>
          </w:tcPr>
          <w:p>
            <w:pPr>
              <w:pStyle w:val="15"/>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rPr>
                <w:rFonts w:hint="eastAsia"/>
              </w:rPr>
              <w:t>本年收入合计</w:t>
            </w:r>
          </w:p>
        </w:tc>
        <w:tc>
          <w:tcPr>
            <w:tcW w:w="2126" w:type="dxa"/>
            <w:vAlign w:val="center"/>
          </w:tcPr>
          <w:p>
            <w:pPr>
              <w:pStyle w:val="19"/>
            </w:pPr>
            <w:r>
              <w:t>114.78</w:t>
            </w:r>
          </w:p>
        </w:tc>
        <w:tc>
          <w:tcPr>
            <w:tcW w:w="4535" w:type="dxa"/>
            <w:vAlign w:val="center"/>
          </w:tcPr>
          <w:p>
            <w:pPr>
              <w:pStyle w:val="18"/>
            </w:pPr>
            <w:r>
              <w:rPr>
                <w:rFonts w:hint="eastAsia"/>
              </w:rPr>
              <w:t>本年支出合计</w:t>
            </w:r>
          </w:p>
        </w:tc>
        <w:tc>
          <w:tcPr>
            <w:tcW w:w="2126" w:type="dxa"/>
            <w:vAlign w:val="center"/>
          </w:tcPr>
          <w:p>
            <w:pPr>
              <w:pStyle w:val="19"/>
            </w:pPr>
            <w:r>
              <w:t>114.78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rPr>
                <w:rFonts w:hint="eastAsia"/>
              </w:rPr>
              <w:t>收入总计</w:t>
            </w:r>
          </w:p>
        </w:tc>
        <w:tc>
          <w:tcPr>
            <w:tcW w:w="2126" w:type="dxa"/>
            <w:vAlign w:val="center"/>
          </w:tcPr>
          <w:p>
            <w:pPr>
              <w:pStyle w:val="19"/>
            </w:pPr>
            <w:r>
              <w:t>114.78</w:t>
            </w:r>
          </w:p>
        </w:tc>
        <w:tc>
          <w:tcPr>
            <w:tcW w:w="4535" w:type="dxa"/>
            <w:vAlign w:val="center"/>
          </w:tcPr>
          <w:p>
            <w:pPr>
              <w:pStyle w:val="18"/>
            </w:pPr>
            <w:r>
              <w:rPr>
                <w:rFonts w:hint="eastAsia"/>
              </w:rPr>
              <w:t>支出总计</w:t>
            </w:r>
          </w:p>
        </w:tc>
        <w:tc>
          <w:tcPr>
            <w:tcW w:w="2126" w:type="dxa"/>
            <w:vAlign w:val="center"/>
          </w:tcPr>
          <w:p>
            <w:pPr>
              <w:pStyle w:val="19"/>
            </w:pPr>
            <w:r>
              <w:t>114.78</w:t>
            </w:r>
          </w:p>
        </w:tc>
      </w:tr>
    </w:tbl>
    <w:p>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8"/>
            </w:pPr>
          </w:p>
        </w:tc>
        <w:tc>
          <w:tcPr>
            <w:tcW w:w="1559" w:type="dxa"/>
            <w:vAlign w:val="center"/>
          </w:tcPr>
          <w:p>
            <w:pPr>
              <w:pStyle w:val="18"/>
            </w:pPr>
            <w:r>
              <w:rPr>
                <w:rFonts w:hint="eastAsia"/>
              </w:rPr>
              <w:t>合计</w:t>
            </w:r>
          </w:p>
        </w:tc>
        <w:tc>
          <w:tcPr>
            <w:tcW w:w="1134" w:type="dxa"/>
            <w:vAlign w:val="center"/>
          </w:tcPr>
          <w:p>
            <w:pPr>
              <w:pStyle w:val="19"/>
            </w:pPr>
            <w:r>
              <w:t>114.78</w:t>
            </w:r>
          </w:p>
        </w:tc>
        <w:tc>
          <w:tcPr>
            <w:tcW w:w="1134" w:type="dxa"/>
            <w:vAlign w:val="center"/>
          </w:tcPr>
          <w:p>
            <w:pPr>
              <w:pStyle w:val="19"/>
            </w:pPr>
            <w:r>
              <w:t>114.78</w:t>
            </w:r>
          </w:p>
        </w:tc>
        <w:tc>
          <w:tcPr>
            <w:tcW w:w="1134" w:type="dxa"/>
            <w:vAlign w:val="center"/>
          </w:tcPr>
          <w:p>
            <w:pPr>
              <w:pStyle w:val="19"/>
            </w:pPr>
            <w:r>
              <w:t>114.78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20136</w:t>
            </w:r>
          </w:p>
        </w:tc>
        <w:tc>
          <w:tcPr>
            <w:tcW w:w="1559" w:type="dxa"/>
            <w:vAlign w:val="center"/>
          </w:tcPr>
          <w:p>
            <w:pPr>
              <w:pStyle w:val="16"/>
            </w:pPr>
            <w:r>
              <w:rPr>
                <w:rFonts w:hint="eastAsia"/>
              </w:rPr>
              <w:t>其他共产党事务支出</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2013601</w:t>
            </w:r>
          </w:p>
        </w:tc>
        <w:tc>
          <w:tcPr>
            <w:tcW w:w="1559" w:type="dxa"/>
            <w:vAlign w:val="center"/>
          </w:tcPr>
          <w:p>
            <w:pPr>
              <w:pStyle w:val="16"/>
            </w:pPr>
            <w:r>
              <w:rPr>
                <w:rFonts w:hint="eastAsia"/>
              </w:rPr>
              <w:t>行政运行</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8"/>
            </w:pPr>
          </w:p>
        </w:tc>
        <w:tc>
          <w:tcPr>
            <w:tcW w:w="4535" w:type="dxa"/>
            <w:vAlign w:val="center"/>
          </w:tcPr>
          <w:p>
            <w:pPr>
              <w:pStyle w:val="18"/>
            </w:pPr>
            <w:r>
              <w:rPr>
                <w:rFonts w:hint="eastAsia"/>
              </w:rPr>
              <w:t>合计</w:t>
            </w:r>
          </w:p>
        </w:tc>
        <w:tc>
          <w:tcPr>
            <w:tcW w:w="1361" w:type="dxa"/>
            <w:vAlign w:val="center"/>
          </w:tcPr>
          <w:p>
            <w:pPr>
              <w:pStyle w:val="19"/>
            </w:pPr>
            <w:r>
              <w:t>114.78</w:t>
            </w:r>
          </w:p>
        </w:tc>
        <w:tc>
          <w:tcPr>
            <w:tcW w:w="1361" w:type="dxa"/>
            <w:vAlign w:val="center"/>
          </w:tcPr>
          <w:p>
            <w:pPr>
              <w:pStyle w:val="19"/>
            </w:pPr>
            <w:r>
              <w:t>114.78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rPr>
                <w:rFonts w:hint="eastAsia"/>
              </w:rPr>
              <w:t>一般公共服务支出</w:t>
            </w:r>
          </w:p>
        </w:tc>
        <w:tc>
          <w:tcPr>
            <w:tcW w:w="1361" w:type="dxa"/>
            <w:vAlign w:val="center"/>
          </w:tcPr>
          <w:p>
            <w:pPr>
              <w:pStyle w:val="15"/>
            </w:pPr>
            <w:r>
              <w:t>101.56</w:t>
            </w:r>
          </w:p>
        </w:tc>
        <w:tc>
          <w:tcPr>
            <w:tcW w:w="1361" w:type="dxa"/>
            <w:vAlign w:val="center"/>
          </w:tcPr>
          <w:p>
            <w:pPr>
              <w:pStyle w:val="15"/>
            </w:pPr>
            <w:r>
              <w:t>101.56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20136</w:t>
            </w:r>
          </w:p>
        </w:tc>
        <w:tc>
          <w:tcPr>
            <w:tcW w:w="4535" w:type="dxa"/>
            <w:vAlign w:val="center"/>
          </w:tcPr>
          <w:p>
            <w:pPr>
              <w:pStyle w:val="16"/>
            </w:pPr>
            <w:r>
              <w:rPr>
                <w:rFonts w:hint="eastAsia"/>
              </w:rPr>
              <w:t>其他共产党事务支出</w:t>
            </w:r>
          </w:p>
        </w:tc>
        <w:tc>
          <w:tcPr>
            <w:tcW w:w="1361" w:type="dxa"/>
            <w:vAlign w:val="center"/>
          </w:tcPr>
          <w:p>
            <w:pPr>
              <w:pStyle w:val="15"/>
            </w:pPr>
            <w:r>
              <w:t>101.56</w:t>
            </w:r>
          </w:p>
        </w:tc>
        <w:tc>
          <w:tcPr>
            <w:tcW w:w="1361" w:type="dxa"/>
            <w:vAlign w:val="center"/>
          </w:tcPr>
          <w:p>
            <w:pPr>
              <w:pStyle w:val="15"/>
            </w:pPr>
            <w:r>
              <w:t>101.56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2013601</w:t>
            </w:r>
          </w:p>
        </w:tc>
        <w:tc>
          <w:tcPr>
            <w:tcW w:w="4535" w:type="dxa"/>
            <w:vAlign w:val="center"/>
          </w:tcPr>
          <w:p>
            <w:pPr>
              <w:pStyle w:val="16"/>
            </w:pPr>
            <w:r>
              <w:rPr>
                <w:rFonts w:hint="eastAsia"/>
              </w:rPr>
              <w:t>行政运行</w:t>
            </w:r>
          </w:p>
        </w:tc>
        <w:tc>
          <w:tcPr>
            <w:tcW w:w="1361" w:type="dxa"/>
            <w:vAlign w:val="center"/>
          </w:tcPr>
          <w:p>
            <w:pPr>
              <w:pStyle w:val="15"/>
            </w:pPr>
            <w:r>
              <w:t>101.56</w:t>
            </w:r>
          </w:p>
        </w:tc>
        <w:tc>
          <w:tcPr>
            <w:tcW w:w="1361" w:type="dxa"/>
            <w:vAlign w:val="center"/>
          </w:tcPr>
          <w:p>
            <w:pPr>
              <w:pStyle w:val="15"/>
            </w:pPr>
            <w:r>
              <w:t>101.56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8.66</w:t>
            </w:r>
          </w:p>
        </w:tc>
        <w:tc>
          <w:tcPr>
            <w:tcW w:w="1361" w:type="dxa"/>
            <w:vAlign w:val="center"/>
          </w:tcPr>
          <w:p>
            <w:pPr>
              <w:pStyle w:val="15"/>
            </w:pPr>
            <w:r>
              <w:t>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rPr>
                <w:rFonts w:hint="eastAsia"/>
              </w:rPr>
              <w:t>行政事业单位养老支出</w:t>
            </w:r>
          </w:p>
        </w:tc>
        <w:tc>
          <w:tcPr>
            <w:tcW w:w="1361" w:type="dxa"/>
            <w:vAlign w:val="center"/>
          </w:tcPr>
          <w:p>
            <w:pPr>
              <w:pStyle w:val="15"/>
            </w:pPr>
            <w:r>
              <w:t>8.66</w:t>
            </w:r>
          </w:p>
        </w:tc>
        <w:tc>
          <w:tcPr>
            <w:tcW w:w="1361" w:type="dxa"/>
            <w:vAlign w:val="center"/>
          </w:tcPr>
          <w:p>
            <w:pPr>
              <w:pStyle w:val="15"/>
            </w:pPr>
            <w:r>
              <w:t>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1361" w:type="dxa"/>
            <w:vAlign w:val="center"/>
          </w:tcPr>
          <w:p>
            <w:pPr>
              <w:pStyle w:val="15"/>
            </w:pPr>
            <w:r>
              <w:t>8.66</w:t>
            </w:r>
          </w:p>
        </w:tc>
        <w:tc>
          <w:tcPr>
            <w:tcW w:w="1361" w:type="dxa"/>
            <w:vAlign w:val="center"/>
          </w:tcPr>
          <w:p>
            <w:pPr>
              <w:pStyle w:val="15"/>
            </w:pPr>
            <w:r>
              <w:t>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rPr>
                <w:rFonts w:hint="eastAsia"/>
              </w:rPr>
              <w:t>卫生健康支出</w:t>
            </w:r>
          </w:p>
        </w:tc>
        <w:tc>
          <w:tcPr>
            <w:tcW w:w="1361" w:type="dxa"/>
            <w:vAlign w:val="center"/>
          </w:tcPr>
          <w:p>
            <w:pPr>
              <w:pStyle w:val="15"/>
            </w:pPr>
            <w:r>
              <w:t>4.56</w:t>
            </w:r>
          </w:p>
        </w:tc>
        <w:tc>
          <w:tcPr>
            <w:tcW w:w="1361" w:type="dxa"/>
            <w:vAlign w:val="center"/>
          </w:tcPr>
          <w:p>
            <w:pPr>
              <w:pStyle w:val="15"/>
            </w:pPr>
            <w:r>
              <w:t>4.56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rPr>
                <w:rFonts w:hint="eastAsia"/>
              </w:rPr>
              <w:t>行政事业单位医疗</w:t>
            </w:r>
          </w:p>
        </w:tc>
        <w:tc>
          <w:tcPr>
            <w:tcW w:w="1361" w:type="dxa"/>
            <w:vAlign w:val="center"/>
          </w:tcPr>
          <w:p>
            <w:pPr>
              <w:pStyle w:val="15"/>
            </w:pPr>
            <w:r>
              <w:t>4.56</w:t>
            </w:r>
          </w:p>
        </w:tc>
        <w:tc>
          <w:tcPr>
            <w:tcW w:w="1361" w:type="dxa"/>
            <w:vAlign w:val="center"/>
          </w:tcPr>
          <w:p>
            <w:pPr>
              <w:pStyle w:val="15"/>
            </w:pPr>
            <w:r>
              <w:t>4.56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5" w:type="dxa"/>
            <w:vAlign w:val="center"/>
          </w:tcPr>
          <w:p>
            <w:pPr>
              <w:pStyle w:val="16"/>
            </w:pPr>
            <w:r>
              <w:rPr>
                <w:rFonts w:hint="eastAsia"/>
              </w:rPr>
              <w:t>行政单位医疗</w:t>
            </w:r>
          </w:p>
        </w:tc>
        <w:tc>
          <w:tcPr>
            <w:tcW w:w="1361" w:type="dxa"/>
            <w:vAlign w:val="center"/>
          </w:tcPr>
          <w:p>
            <w:pPr>
              <w:pStyle w:val="15"/>
            </w:pPr>
            <w:r>
              <w:t>4.56</w:t>
            </w:r>
          </w:p>
        </w:tc>
        <w:tc>
          <w:tcPr>
            <w:tcW w:w="1361" w:type="dxa"/>
            <w:vAlign w:val="center"/>
          </w:tcPr>
          <w:p>
            <w:pPr>
              <w:pStyle w:val="15"/>
            </w:pPr>
            <w:r>
              <w:t>4.56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114.78</w:t>
            </w:r>
          </w:p>
        </w:tc>
        <w:tc>
          <w:tcPr>
            <w:tcW w:w="3402" w:type="dxa"/>
            <w:vAlign w:val="center"/>
          </w:tcPr>
          <w:p>
            <w:pPr>
              <w:pStyle w:val="16"/>
            </w:pPr>
            <w:r>
              <w:rPr>
                <w:rFonts w:hint="eastAsia"/>
              </w:rPr>
              <w:t>一、一般公共服务支出</w:t>
            </w:r>
          </w:p>
        </w:tc>
        <w:tc>
          <w:tcPr>
            <w:tcW w:w="1474" w:type="dxa"/>
            <w:vAlign w:val="center"/>
          </w:tcPr>
          <w:p>
            <w:pPr>
              <w:pStyle w:val="15"/>
            </w:pPr>
            <w:r>
              <w:t>101.56</w:t>
            </w:r>
          </w:p>
        </w:tc>
        <w:tc>
          <w:tcPr>
            <w:tcW w:w="1474" w:type="dxa"/>
            <w:vAlign w:val="center"/>
          </w:tcPr>
          <w:p>
            <w:pPr>
              <w:pStyle w:val="15"/>
            </w:pPr>
            <w:r>
              <w:t>101.56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8.66</w:t>
            </w:r>
          </w:p>
        </w:tc>
        <w:tc>
          <w:tcPr>
            <w:tcW w:w="1474" w:type="dxa"/>
            <w:vAlign w:val="center"/>
          </w:tcPr>
          <w:p>
            <w:pPr>
              <w:pStyle w:val="15"/>
            </w:pPr>
            <w:r>
              <w:t>8.66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4.56</w:t>
            </w:r>
          </w:p>
        </w:tc>
        <w:tc>
          <w:tcPr>
            <w:tcW w:w="1474" w:type="dxa"/>
            <w:vAlign w:val="center"/>
          </w:tcPr>
          <w:p>
            <w:pPr>
              <w:pStyle w:val="15"/>
            </w:pPr>
            <w:r>
              <w:t>4.56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114.78</w:t>
            </w:r>
          </w:p>
        </w:tc>
        <w:tc>
          <w:tcPr>
            <w:tcW w:w="3402" w:type="dxa"/>
            <w:vAlign w:val="center"/>
          </w:tcPr>
          <w:p>
            <w:pPr>
              <w:pStyle w:val="18"/>
            </w:pPr>
            <w:r>
              <w:rPr>
                <w:rFonts w:hint="eastAsia"/>
              </w:rPr>
              <w:t>本年支出合计</w:t>
            </w:r>
          </w:p>
        </w:tc>
        <w:tc>
          <w:tcPr>
            <w:tcW w:w="1474" w:type="dxa"/>
            <w:vAlign w:val="center"/>
          </w:tcPr>
          <w:p>
            <w:pPr>
              <w:pStyle w:val="19"/>
            </w:pPr>
            <w:r>
              <w:t>114.78</w:t>
            </w:r>
          </w:p>
        </w:tc>
        <w:tc>
          <w:tcPr>
            <w:tcW w:w="1474" w:type="dxa"/>
            <w:vAlign w:val="center"/>
          </w:tcPr>
          <w:p>
            <w:pPr>
              <w:pStyle w:val="19"/>
            </w:pPr>
            <w:r>
              <w:t>114.78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114.78</w:t>
            </w:r>
          </w:p>
        </w:tc>
        <w:tc>
          <w:tcPr>
            <w:tcW w:w="3402" w:type="dxa"/>
            <w:vAlign w:val="center"/>
          </w:tcPr>
          <w:p>
            <w:pPr>
              <w:pStyle w:val="18"/>
            </w:pPr>
            <w:r>
              <w:rPr>
                <w:rFonts w:hint="eastAsia"/>
              </w:rPr>
              <w:t>支出总计</w:t>
            </w:r>
          </w:p>
        </w:tc>
        <w:tc>
          <w:tcPr>
            <w:tcW w:w="1474" w:type="dxa"/>
            <w:vAlign w:val="center"/>
          </w:tcPr>
          <w:p>
            <w:pPr>
              <w:pStyle w:val="19"/>
            </w:pPr>
            <w:r>
              <w:t>114.78</w:t>
            </w:r>
          </w:p>
        </w:tc>
        <w:tc>
          <w:tcPr>
            <w:tcW w:w="1474" w:type="dxa"/>
            <w:vAlign w:val="center"/>
          </w:tcPr>
          <w:p>
            <w:pPr>
              <w:pStyle w:val="19"/>
            </w:pPr>
            <w:r>
              <w:t>114.78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8"/>
            </w:pPr>
          </w:p>
        </w:tc>
        <w:tc>
          <w:tcPr>
            <w:tcW w:w="4535" w:type="dxa"/>
            <w:vAlign w:val="center"/>
          </w:tcPr>
          <w:p>
            <w:pPr>
              <w:pStyle w:val="18"/>
            </w:pPr>
            <w:r>
              <w:rPr>
                <w:rFonts w:hint="eastAsia"/>
              </w:rPr>
              <w:t>合计</w:t>
            </w:r>
          </w:p>
        </w:tc>
        <w:tc>
          <w:tcPr>
            <w:tcW w:w="2551" w:type="dxa"/>
            <w:vAlign w:val="center"/>
          </w:tcPr>
          <w:p>
            <w:pPr>
              <w:pStyle w:val="19"/>
            </w:pPr>
            <w:r>
              <w:t>114.78</w:t>
            </w:r>
          </w:p>
        </w:tc>
        <w:tc>
          <w:tcPr>
            <w:tcW w:w="2551" w:type="dxa"/>
            <w:vAlign w:val="center"/>
          </w:tcPr>
          <w:p>
            <w:pPr>
              <w:pStyle w:val="19"/>
            </w:pPr>
            <w:r>
              <w:t>114.78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rPr>
                <w:rFonts w:hint="eastAsia"/>
              </w:rPr>
              <w:t>一般公共服务支出</w:t>
            </w:r>
          </w:p>
        </w:tc>
        <w:tc>
          <w:tcPr>
            <w:tcW w:w="2551" w:type="dxa"/>
            <w:vAlign w:val="center"/>
          </w:tcPr>
          <w:p>
            <w:pPr>
              <w:pStyle w:val="15"/>
            </w:pPr>
            <w:r>
              <w:t>101.56</w:t>
            </w:r>
          </w:p>
        </w:tc>
        <w:tc>
          <w:tcPr>
            <w:tcW w:w="2551" w:type="dxa"/>
            <w:vAlign w:val="center"/>
          </w:tcPr>
          <w:p>
            <w:pPr>
              <w:pStyle w:val="15"/>
            </w:pPr>
            <w:r>
              <w:t>101.56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20136</w:t>
            </w:r>
          </w:p>
        </w:tc>
        <w:tc>
          <w:tcPr>
            <w:tcW w:w="4535" w:type="dxa"/>
            <w:vAlign w:val="center"/>
          </w:tcPr>
          <w:p>
            <w:pPr>
              <w:pStyle w:val="16"/>
            </w:pPr>
            <w:r>
              <w:rPr>
                <w:rFonts w:hint="eastAsia"/>
              </w:rPr>
              <w:t>其他共产党事务支出</w:t>
            </w:r>
          </w:p>
        </w:tc>
        <w:tc>
          <w:tcPr>
            <w:tcW w:w="2551" w:type="dxa"/>
            <w:vAlign w:val="center"/>
          </w:tcPr>
          <w:p>
            <w:pPr>
              <w:pStyle w:val="15"/>
            </w:pPr>
            <w:r>
              <w:t>101.56</w:t>
            </w:r>
          </w:p>
        </w:tc>
        <w:tc>
          <w:tcPr>
            <w:tcW w:w="2551" w:type="dxa"/>
            <w:vAlign w:val="center"/>
          </w:tcPr>
          <w:p>
            <w:pPr>
              <w:pStyle w:val="15"/>
            </w:pPr>
            <w:r>
              <w:t>101.56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2013601</w:t>
            </w:r>
          </w:p>
        </w:tc>
        <w:tc>
          <w:tcPr>
            <w:tcW w:w="4535" w:type="dxa"/>
            <w:vAlign w:val="center"/>
          </w:tcPr>
          <w:p>
            <w:pPr>
              <w:pStyle w:val="16"/>
            </w:pPr>
            <w:r>
              <w:rPr>
                <w:rFonts w:hint="eastAsia"/>
              </w:rPr>
              <w:t>行政运行</w:t>
            </w:r>
          </w:p>
        </w:tc>
        <w:tc>
          <w:tcPr>
            <w:tcW w:w="2551" w:type="dxa"/>
            <w:vAlign w:val="center"/>
          </w:tcPr>
          <w:p>
            <w:pPr>
              <w:pStyle w:val="15"/>
            </w:pPr>
            <w:r>
              <w:t>101.56</w:t>
            </w:r>
          </w:p>
        </w:tc>
        <w:tc>
          <w:tcPr>
            <w:tcW w:w="2551" w:type="dxa"/>
            <w:vAlign w:val="center"/>
          </w:tcPr>
          <w:p>
            <w:pPr>
              <w:pStyle w:val="15"/>
            </w:pPr>
            <w:r>
              <w:t>101.56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8.66</w:t>
            </w:r>
          </w:p>
        </w:tc>
        <w:tc>
          <w:tcPr>
            <w:tcW w:w="2551" w:type="dxa"/>
            <w:vAlign w:val="center"/>
          </w:tcPr>
          <w:p>
            <w:pPr>
              <w:pStyle w:val="15"/>
            </w:pPr>
            <w:r>
              <w:t>8.66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8.66</w:t>
            </w:r>
          </w:p>
        </w:tc>
        <w:tc>
          <w:tcPr>
            <w:tcW w:w="2551" w:type="dxa"/>
            <w:vAlign w:val="center"/>
          </w:tcPr>
          <w:p>
            <w:pPr>
              <w:pStyle w:val="15"/>
            </w:pPr>
            <w:r>
              <w:t>8.66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8.66</w:t>
            </w:r>
          </w:p>
        </w:tc>
        <w:tc>
          <w:tcPr>
            <w:tcW w:w="2551" w:type="dxa"/>
            <w:vAlign w:val="center"/>
          </w:tcPr>
          <w:p>
            <w:pPr>
              <w:pStyle w:val="15"/>
            </w:pPr>
            <w:r>
              <w:t>8.66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4.56</w:t>
            </w:r>
          </w:p>
        </w:tc>
        <w:tc>
          <w:tcPr>
            <w:tcW w:w="2551" w:type="dxa"/>
            <w:vAlign w:val="center"/>
          </w:tcPr>
          <w:p>
            <w:pPr>
              <w:pStyle w:val="15"/>
            </w:pPr>
            <w:r>
              <w:t>4.56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4.56</w:t>
            </w:r>
          </w:p>
        </w:tc>
        <w:tc>
          <w:tcPr>
            <w:tcW w:w="2551" w:type="dxa"/>
            <w:vAlign w:val="center"/>
          </w:tcPr>
          <w:p>
            <w:pPr>
              <w:pStyle w:val="15"/>
            </w:pPr>
            <w:r>
              <w:t>4.56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4.56</w:t>
            </w:r>
          </w:p>
        </w:tc>
        <w:tc>
          <w:tcPr>
            <w:tcW w:w="2551" w:type="dxa"/>
            <w:vAlign w:val="center"/>
          </w:tcPr>
          <w:p>
            <w:pPr>
              <w:pStyle w:val="15"/>
            </w:pPr>
            <w:r>
              <w:t>4.56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8"/>
            </w:pPr>
          </w:p>
        </w:tc>
        <w:tc>
          <w:tcPr>
            <w:tcW w:w="4535" w:type="dxa"/>
            <w:vAlign w:val="center"/>
          </w:tcPr>
          <w:p>
            <w:pPr>
              <w:pStyle w:val="18"/>
            </w:pPr>
            <w:r>
              <w:rPr>
                <w:rFonts w:hint="eastAsia"/>
              </w:rPr>
              <w:t>合计</w:t>
            </w:r>
          </w:p>
        </w:tc>
        <w:tc>
          <w:tcPr>
            <w:tcW w:w="2551" w:type="dxa"/>
            <w:vAlign w:val="center"/>
          </w:tcPr>
          <w:p>
            <w:pPr>
              <w:pStyle w:val="19"/>
            </w:pPr>
            <w:r>
              <w:t>114.78</w:t>
            </w:r>
          </w:p>
        </w:tc>
        <w:tc>
          <w:tcPr>
            <w:tcW w:w="2551" w:type="dxa"/>
            <w:vAlign w:val="center"/>
          </w:tcPr>
          <w:p>
            <w:pPr>
              <w:pStyle w:val="19"/>
            </w:pPr>
            <w:r>
              <w:t>101.24</w:t>
            </w:r>
          </w:p>
        </w:tc>
        <w:tc>
          <w:tcPr>
            <w:tcW w:w="2551" w:type="dxa"/>
            <w:vAlign w:val="center"/>
          </w:tcPr>
          <w:p>
            <w:pPr>
              <w:pStyle w:val="19"/>
            </w:pPr>
            <w:r>
              <w:t>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94.38</w:t>
            </w:r>
          </w:p>
        </w:tc>
        <w:tc>
          <w:tcPr>
            <w:tcW w:w="2551" w:type="dxa"/>
            <w:vAlign w:val="center"/>
          </w:tcPr>
          <w:p>
            <w:pPr>
              <w:pStyle w:val="15"/>
            </w:pPr>
            <w:r>
              <w:t>94.38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20.31</w:t>
            </w:r>
          </w:p>
        </w:tc>
        <w:tc>
          <w:tcPr>
            <w:tcW w:w="2551" w:type="dxa"/>
            <w:vAlign w:val="center"/>
          </w:tcPr>
          <w:p>
            <w:pPr>
              <w:pStyle w:val="15"/>
            </w:pPr>
            <w:r>
              <w:t>20.31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25.57</w:t>
            </w:r>
          </w:p>
        </w:tc>
        <w:tc>
          <w:tcPr>
            <w:tcW w:w="2551" w:type="dxa"/>
            <w:vAlign w:val="center"/>
          </w:tcPr>
          <w:p>
            <w:pPr>
              <w:pStyle w:val="15"/>
            </w:pPr>
            <w:r>
              <w:t>25.57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8.66</w:t>
            </w:r>
          </w:p>
        </w:tc>
        <w:tc>
          <w:tcPr>
            <w:tcW w:w="2551" w:type="dxa"/>
            <w:vAlign w:val="center"/>
          </w:tcPr>
          <w:p>
            <w:pPr>
              <w:pStyle w:val="15"/>
            </w:pPr>
            <w:r>
              <w:t>8.66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rPr>
                <w:rFonts w:hint="eastAsia"/>
              </w:rPr>
              <w:t>城镇职工基本医疗保险缴费</w:t>
            </w:r>
          </w:p>
        </w:tc>
        <w:tc>
          <w:tcPr>
            <w:tcW w:w="2551" w:type="dxa"/>
            <w:vAlign w:val="center"/>
          </w:tcPr>
          <w:p>
            <w:pPr>
              <w:pStyle w:val="15"/>
            </w:pPr>
            <w:r>
              <w:t>4.56</w:t>
            </w:r>
          </w:p>
        </w:tc>
        <w:tc>
          <w:tcPr>
            <w:tcW w:w="2551" w:type="dxa"/>
            <w:vAlign w:val="center"/>
          </w:tcPr>
          <w:p>
            <w:pPr>
              <w:pStyle w:val="15"/>
            </w:pPr>
            <w:r>
              <w:t>4.56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0.28</w:t>
            </w:r>
          </w:p>
        </w:tc>
        <w:tc>
          <w:tcPr>
            <w:tcW w:w="2551" w:type="dxa"/>
            <w:vAlign w:val="center"/>
          </w:tcPr>
          <w:p>
            <w:pPr>
              <w:pStyle w:val="15"/>
            </w:pPr>
            <w:r>
              <w:t>0.28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13.54</w:t>
            </w:r>
          </w:p>
        </w:tc>
        <w:tc>
          <w:tcPr>
            <w:tcW w:w="2551" w:type="dxa"/>
            <w:vAlign w:val="center"/>
          </w:tcPr>
          <w:p>
            <w:pPr>
              <w:pStyle w:val="15"/>
            </w:pPr>
          </w:p>
        </w:tc>
        <w:tc>
          <w:tcPr>
            <w:tcW w:w="2551" w:type="dxa"/>
            <w:vAlign w:val="center"/>
          </w:tcPr>
          <w:p>
            <w:pPr>
              <w:pStyle w:val="15"/>
            </w:pPr>
            <w:r>
              <w:t>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1.73</w:t>
            </w:r>
          </w:p>
        </w:tc>
        <w:tc>
          <w:tcPr>
            <w:tcW w:w="2551" w:type="dxa"/>
            <w:vAlign w:val="center"/>
          </w:tcPr>
          <w:p>
            <w:pPr>
              <w:pStyle w:val="15"/>
            </w:pPr>
          </w:p>
        </w:tc>
        <w:tc>
          <w:tcPr>
            <w:tcW w:w="2551" w:type="dxa"/>
            <w:vAlign w:val="center"/>
          </w:tcPr>
          <w:p>
            <w:pPr>
              <w:pStyle w:val="15"/>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30206</w:t>
            </w:r>
          </w:p>
        </w:tc>
        <w:tc>
          <w:tcPr>
            <w:tcW w:w="4535" w:type="dxa"/>
            <w:vAlign w:val="center"/>
          </w:tcPr>
          <w:p>
            <w:pPr>
              <w:pStyle w:val="16"/>
            </w:pPr>
            <w:r>
              <w:rPr>
                <w:rFonts w:hint="eastAsia"/>
              </w:rPr>
              <w:t>电费</w:t>
            </w:r>
          </w:p>
        </w:tc>
        <w:tc>
          <w:tcPr>
            <w:tcW w:w="2551" w:type="dxa"/>
            <w:vAlign w:val="center"/>
          </w:tcPr>
          <w:p>
            <w:pPr>
              <w:pStyle w:val="15"/>
            </w:pPr>
            <w:r>
              <w:t>0.30</w:t>
            </w:r>
          </w:p>
        </w:tc>
        <w:tc>
          <w:tcPr>
            <w:tcW w:w="2551" w:type="dxa"/>
            <w:vAlign w:val="center"/>
          </w:tcPr>
          <w:p>
            <w:pPr>
              <w:pStyle w:val="15"/>
            </w:pPr>
          </w:p>
        </w:tc>
        <w:tc>
          <w:tcPr>
            <w:tcW w:w="2551"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3.90</w:t>
            </w:r>
          </w:p>
        </w:tc>
        <w:tc>
          <w:tcPr>
            <w:tcW w:w="2551" w:type="dxa"/>
            <w:vAlign w:val="center"/>
          </w:tcPr>
          <w:p>
            <w:pPr>
              <w:pStyle w:val="15"/>
            </w:pPr>
          </w:p>
        </w:tc>
        <w:tc>
          <w:tcPr>
            <w:tcW w:w="2551" w:type="dxa"/>
            <w:vAlign w:val="center"/>
          </w:tcPr>
          <w:p>
            <w:pPr>
              <w:pStyle w:val="15"/>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vAlign w:val="center"/>
          </w:tcPr>
          <w:p>
            <w:pPr>
              <w:pStyle w:val="16"/>
            </w:pPr>
            <w:r>
              <w:rPr>
                <w:rFonts w:hint="eastAsia"/>
              </w:rPr>
              <w:t>差旅费</w:t>
            </w:r>
          </w:p>
        </w:tc>
        <w:tc>
          <w:tcPr>
            <w:tcW w:w="2551" w:type="dxa"/>
            <w:vAlign w:val="center"/>
          </w:tcPr>
          <w:p>
            <w:pPr>
              <w:pStyle w:val="15"/>
            </w:pPr>
            <w:r>
              <w:t>0.10</w:t>
            </w:r>
          </w:p>
        </w:tc>
        <w:tc>
          <w:tcPr>
            <w:tcW w:w="2551" w:type="dxa"/>
            <w:vAlign w:val="center"/>
          </w:tcPr>
          <w:p>
            <w:pPr>
              <w:pStyle w:val="15"/>
            </w:pPr>
          </w:p>
        </w:tc>
        <w:tc>
          <w:tcPr>
            <w:tcW w:w="2551"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0.90</w:t>
            </w:r>
          </w:p>
        </w:tc>
        <w:tc>
          <w:tcPr>
            <w:tcW w:w="2551" w:type="dxa"/>
            <w:vAlign w:val="center"/>
          </w:tcPr>
          <w:p>
            <w:pPr>
              <w:pStyle w:val="15"/>
            </w:pPr>
          </w:p>
        </w:tc>
        <w:tc>
          <w:tcPr>
            <w:tcW w:w="2551"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rPr>
                <w:rFonts w:hint="eastAsia"/>
              </w:rPr>
              <w:t>福利费</w:t>
            </w:r>
          </w:p>
        </w:tc>
        <w:tc>
          <w:tcPr>
            <w:tcW w:w="2551" w:type="dxa"/>
            <w:vAlign w:val="center"/>
          </w:tcPr>
          <w:p>
            <w:pPr>
              <w:pStyle w:val="15"/>
            </w:pPr>
            <w:r>
              <w:t>0.83</w:t>
            </w:r>
          </w:p>
        </w:tc>
        <w:tc>
          <w:tcPr>
            <w:tcW w:w="2551" w:type="dxa"/>
            <w:vAlign w:val="center"/>
          </w:tcPr>
          <w:p>
            <w:pPr>
              <w:pStyle w:val="15"/>
            </w:pPr>
          </w:p>
        </w:tc>
        <w:tc>
          <w:tcPr>
            <w:tcW w:w="2551" w:type="dxa"/>
            <w:vAlign w:val="center"/>
          </w:tcPr>
          <w:p>
            <w:pPr>
              <w:pStyle w:val="15"/>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5.64</w:t>
            </w:r>
          </w:p>
        </w:tc>
        <w:tc>
          <w:tcPr>
            <w:tcW w:w="2551" w:type="dxa"/>
            <w:vAlign w:val="center"/>
          </w:tcPr>
          <w:p>
            <w:pPr>
              <w:pStyle w:val="15"/>
            </w:pPr>
          </w:p>
        </w:tc>
        <w:tc>
          <w:tcPr>
            <w:tcW w:w="2551" w:type="dxa"/>
            <w:vAlign w:val="center"/>
          </w:tcPr>
          <w:p>
            <w:pPr>
              <w:pStyle w:val="15"/>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rPr>
                <w:rFonts w:hint="eastAsia"/>
              </w:rPr>
              <w:t>其他商品和服务支出</w:t>
            </w:r>
          </w:p>
        </w:tc>
        <w:tc>
          <w:tcPr>
            <w:tcW w:w="2551" w:type="dxa"/>
            <w:vAlign w:val="center"/>
          </w:tcPr>
          <w:p>
            <w:pPr>
              <w:pStyle w:val="15"/>
            </w:pPr>
            <w:r>
              <w:t>0.14</w:t>
            </w:r>
          </w:p>
        </w:tc>
        <w:tc>
          <w:tcPr>
            <w:tcW w:w="2551" w:type="dxa"/>
            <w:vAlign w:val="center"/>
          </w:tcPr>
          <w:p>
            <w:pPr>
              <w:pStyle w:val="15"/>
            </w:pPr>
          </w:p>
        </w:tc>
        <w:tc>
          <w:tcPr>
            <w:tcW w:w="2551"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6.86</w:t>
            </w:r>
          </w:p>
        </w:tc>
        <w:tc>
          <w:tcPr>
            <w:tcW w:w="2551" w:type="dxa"/>
            <w:vAlign w:val="center"/>
          </w:tcPr>
          <w:p>
            <w:pPr>
              <w:pStyle w:val="15"/>
            </w:pPr>
            <w:r>
              <w:t>6.86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6.86</w:t>
            </w:r>
          </w:p>
        </w:tc>
        <w:tc>
          <w:tcPr>
            <w:tcW w:w="2551" w:type="dxa"/>
            <w:vAlign w:val="center"/>
          </w:tcPr>
          <w:p>
            <w:pPr>
              <w:pStyle w:val="15"/>
            </w:pPr>
            <w:r>
              <w:t>6.86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中共无极县委县直机关工作委员会本级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按照《预算法》、《地方预决算公开操作规程》和《关于进一步推进预算公开工作的实施意见》规定，现将中共无极县委县直机关工作委员会本级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20"/>
      </w:pPr>
      <w:r>
        <w:rPr>
          <w:rFonts w:hint="eastAsia"/>
        </w:rPr>
        <w:t>（一）统一组织、规划、部署县直机关党的工作，提出加强和改进机关党的建设的意见和建议，研究制定工作规划，并抓好组织实施。</w:t>
      </w:r>
    </w:p>
    <w:p>
      <w:pPr>
        <w:pStyle w:val="20"/>
      </w:pPr>
      <w:r>
        <w:rPr>
          <w:rFonts w:hint="eastAsia"/>
        </w:rPr>
        <w:t>（二）负责县直机关党的政治建设、思想建设、组织建设、作风建设、纪律建设，把制度建设贯穿其中，深入推进反腐败斗争。</w:t>
      </w:r>
    </w:p>
    <w:p>
      <w:pPr>
        <w:pStyle w:val="20"/>
      </w:pPr>
      <w:r>
        <w:rPr>
          <w:rFonts w:hint="eastAsia"/>
        </w:rPr>
        <w:t>（三）负责组织县直机关党组织和广大党员学习马克思列宁主义、毛泽东思想、邓小平理论、</w:t>
      </w:r>
      <w:r>
        <w:t>“</w:t>
      </w:r>
      <w:r>
        <w:rPr>
          <w:rFonts w:hint="eastAsia"/>
        </w:rPr>
        <w:t>三个代表</w:t>
      </w:r>
      <w:r>
        <w:t>”</w:t>
      </w:r>
      <w:r>
        <w:rPr>
          <w:rFonts w:hint="eastAsia"/>
        </w:rPr>
        <w:t>重要思想、科学发展观、习近平新时代中国特色社会主义思想。</w:t>
      </w:r>
    </w:p>
    <w:p>
      <w:pPr>
        <w:pStyle w:val="20"/>
      </w:pPr>
      <w:r>
        <w:rPr>
          <w:rFonts w:hint="eastAsia"/>
        </w:rPr>
        <w:t>（四）对县直机关党组织、党员领导干部落实党建责任制、遵守政治纪律和政治规矩情况进行监督检查，并向县委报告。</w:t>
      </w:r>
    </w:p>
    <w:p>
      <w:pPr>
        <w:pStyle w:val="20"/>
      </w:pPr>
      <w:r>
        <w:rPr>
          <w:rFonts w:hint="eastAsia"/>
        </w:rPr>
        <w:t>（五）负责县直机关党组织实施对党员特别是党员领导干部的监督和管理，及时向县委反映各部门领导班子、领导干部的情况。</w:t>
      </w:r>
    </w:p>
    <w:p>
      <w:pPr>
        <w:pStyle w:val="20"/>
      </w:pPr>
      <w:r>
        <w:rPr>
          <w:rFonts w:hint="eastAsia"/>
        </w:rPr>
        <w:t>（六）配合县委有关部门抓好县直机关各部门领导班子思想政治建设，参与对党员领导干部民主生活会和党组（党委）理论学习中心组学习的督促检查和指导，了解掌握情况，按规定报送情况报告。</w:t>
      </w:r>
    </w:p>
    <w:p>
      <w:pPr>
        <w:pStyle w:val="20"/>
      </w:pPr>
      <w:r>
        <w:rPr>
          <w:rFonts w:hint="eastAsia"/>
        </w:rPr>
        <w:t>（七）按照党组织隶属关系，督促县直机关各部门机关党总支、党支部按期换届，审批关于召开党员大会或党员代表大会的请示，审批县直机关各部门党总支、党支部书记、副书记的任免。</w:t>
      </w:r>
    </w:p>
    <w:p>
      <w:pPr>
        <w:pStyle w:val="20"/>
      </w:pPr>
      <w:r>
        <w:rPr>
          <w:rFonts w:hint="eastAsia"/>
        </w:rPr>
        <w:t>（八）指导县直机关党组织加强基层组织建设，做好党员发展、教育和管理等工作。</w:t>
      </w:r>
    </w:p>
    <w:p>
      <w:pPr>
        <w:pStyle w:val="20"/>
      </w:pPr>
      <w:r>
        <w:rPr>
          <w:rFonts w:hint="eastAsia"/>
        </w:rPr>
        <w:t>（九）负责县直机关各部门机关党的纪律检查工作。</w:t>
      </w:r>
    </w:p>
    <w:p>
      <w:pPr>
        <w:pStyle w:val="20"/>
      </w:pPr>
      <w:r>
        <w:rPr>
          <w:rFonts w:hint="eastAsia"/>
        </w:rPr>
        <w:t>（十）了解掌握县直机关工作人员的思想状况，搞好县直机关入党积极分子的考察、培训和组织发展工作。</w:t>
      </w:r>
    </w:p>
    <w:p>
      <w:pPr>
        <w:pStyle w:val="20"/>
      </w:pPr>
      <w:r>
        <w:rPr>
          <w:rFonts w:hint="eastAsia"/>
        </w:rPr>
        <w:t>（十一）监督县直机关各党组织做好党的群众工作、统一战线和人民武装工作。负责县直机关工会、共青团、妇联等群团组织的工作。</w:t>
      </w:r>
    </w:p>
    <w:p>
      <w:pPr>
        <w:pStyle w:val="20"/>
      </w:pPr>
      <w:r>
        <w:rPr>
          <w:rFonts w:hint="eastAsia"/>
        </w:rPr>
        <w:t>（十二）协同有关部门指导、规划、协调、监督、检查县直机关党员教育培训工作，培训轮训县直机关党员领导干部和党务干部。</w:t>
      </w:r>
    </w:p>
    <w:p>
      <w:pPr>
        <w:pStyle w:val="20"/>
        <w:rPr>
          <w:rFonts w:hint="eastAsia" w:ascii="方正楷体_GBK" w:hAnsi="方正楷体_GBK" w:eastAsia="方正楷体_GBK" w:cs="方正楷体_GBK"/>
          <w:b/>
          <w:color w:val="000000"/>
          <w:sz w:val="32"/>
        </w:rPr>
      </w:pPr>
      <w:r>
        <w:rPr>
          <w:rFonts w:hint="eastAsia"/>
        </w:rPr>
        <w:t>（十三）完成县委交办的其他任务。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中共无极县委县直机关工作委员会本级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pStyle w:val="30"/>
      </w:pPr>
      <w:r>
        <w:rPr>
          <w:rFonts w:hint="eastAsia"/>
        </w:rPr>
        <w:t>按照预算管理有关规定，目前我</w:t>
      </w:r>
      <w:r>
        <w:rPr>
          <w:rFonts w:hint="eastAsia"/>
          <w:lang w:eastAsia="zh-CN"/>
        </w:rPr>
        <w:t>县</w:t>
      </w:r>
      <w:r>
        <w:rPr>
          <w:rFonts w:hint="eastAsia"/>
          <w:lang w:val="en-US" w:eastAsia="zh-CN"/>
        </w:rPr>
        <w:t>单位</w:t>
      </w:r>
      <w:r>
        <w:rPr>
          <w:rFonts w:hint="eastAsia"/>
        </w:rPr>
        <w:t>预算的编制实行综合预算管理，即全部收入和支出都反映在预算中。</w:t>
      </w:r>
    </w:p>
    <w:p>
      <w:pPr>
        <w:pStyle w:val="21"/>
      </w:pPr>
      <w:r>
        <w:t>1</w:t>
      </w:r>
      <w:r>
        <w:rPr>
          <w:rFonts w:hint="eastAsia"/>
        </w:rPr>
        <w:t>、收入说明</w:t>
      </w:r>
    </w:p>
    <w:p>
      <w:pPr>
        <w:pStyle w:val="21"/>
      </w:pPr>
      <w:r>
        <w:rPr>
          <w:rFonts w:hint="eastAsia"/>
        </w:rPr>
        <w:t>反映本</w:t>
      </w:r>
      <w:r>
        <w:rPr>
          <w:rFonts w:hint="eastAsia"/>
          <w:lang w:val="en-US" w:eastAsia="zh-CN"/>
        </w:rPr>
        <w:t>单位</w:t>
      </w:r>
      <w:r>
        <w:rPr>
          <w:rFonts w:hint="eastAsia"/>
        </w:rPr>
        <w:t>当年全部收入。</w:t>
      </w:r>
      <w:r>
        <w:t>2022</w:t>
      </w:r>
      <w:r>
        <w:rPr>
          <w:rFonts w:hint="eastAsia"/>
        </w:rPr>
        <w:t>年预算收入</w:t>
      </w:r>
      <w:r>
        <w:rPr>
          <w:rFonts w:hint="eastAsia"/>
          <w:lang w:val="en-US" w:eastAsia="zh-CN"/>
        </w:rPr>
        <w:t>114.78</w:t>
      </w:r>
      <w:r>
        <w:rPr>
          <w:rFonts w:hint="eastAsia"/>
        </w:rPr>
        <w:t>万元，其中：一般公共预算收入</w:t>
      </w:r>
      <w:r>
        <w:rPr>
          <w:rFonts w:hint="eastAsia"/>
          <w:lang w:val="en-US" w:eastAsia="zh-CN"/>
        </w:rPr>
        <w:t>114.78</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1"/>
      </w:pPr>
      <w:r>
        <w:t>2</w:t>
      </w:r>
      <w:r>
        <w:rPr>
          <w:rFonts w:hint="eastAsia"/>
        </w:rPr>
        <w:t>、支出说明</w:t>
      </w:r>
    </w:p>
    <w:p>
      <w:pPr>
        <w:pStyle w:val="21"/>
        <w:rPr>
          <w:lang w:eastAsia="zh-CN"/>
        </w:rPr>
      </w:pPr>
      <w:r>
        <w:rPr>
          <w:rFonts w:hint="eastAsia"/>
        </w:rPr>
        <w:t>收支预算总表支出栏、基本支出表、项目支出表按经济分类和支出功能分类科目编制，反映中共无极县委县直机关工作委员会</w:t>
      </w:r>
      <w:r>
        <w:rPr>
          <w:rFonts w:hint="eastAsia"/>
          <w:lang w:val="en-US" w:eastAsia="zh-CN"/>
        </w:rPr>
        <w:t>单位</w:t>
      </w:r>
      <w:r>
        <w:rPr>
          <w:rFonts w:hint="eastAsia"/>
        </w:rPr>
        <w:t>预算中支出预算的总体情况。</w:t>
      </w:r>
      <w:r>
        <w:t>2022</w:t>
      </w:r>
      <w:r>
        <w:rPr>
          <w:rFonts w:hint="eastAsia"/>
        </w:rPr>
        <w:t>年</w:t>
      </w:r>
      <w:r>
        <w:rPr>
          <w:rFonts w:hint="eastAsia"/>
          <w:lang w:val="en-US" w:eastAsia="zh-CN"/>
        </w:rPr>
        <w:t>单位</w:t>
      </w:r>
      <w:r>
        <w:rPr>
          <w:rFonts w:hint="eastAsia"/>
        </w:rPr>
        <w:t>支出预算为</w:t>
      </w:r>
      <w:r>
        <w:rPr>
          <w:rFonts w:hint="eastAsia"/>
          <w:lang w:val="en-US" w:eastAsia="zh-CN"/>
        </w:rPr>
        <w:t>114.78</w:t>
      </w:r>
      <w:r>
        <w:rPr>
          <w:rFonts w:hint="eastAsia"/>
        </w:rPr>
        <w:t>万元，其中基本支出</w:t>
      </w:r>
      <w:r>
        <w:rPr>
          <w:rFonts w:hint="eastAsia"/>
          <w:lang w:val="en-US" w:eastAsia="zh-CN"/>
        </w:rPr>
        <w:t>114.78</w:t>
      </w:r>
      <w:r>
        <w:rPr>
          <w:rFonts w:hint="eastAsia"/>
        </w:rPr>
        <w:t>万元，包括人员经费</w:t>
      </w:r>
      <w:r>
        <w:rPr>
          <w:rFonts w:hint="eastAsia"/>
          <w:lang w:val="en-US" w:eastAsia="zh-CN"/>
        </w:rPr>
        <w:t>101.24</w:t>
      </w:r>
      <w:r>
        <w:rPr>
          <w:rFonts w:hint="eastAsia"/>
        </w:rPr>
        <w:t>万元和日常公用经费</w:t>
      </w:r>
      <w:r>
        <w:rPr>
          <w:rFonts w:hint="eastAsia"/>
          <w:lang w:val="en-US" w:eastAsia="zh-CN"/>
        </w:rPr>
        <w:t>13.54</w:t>
      </w:r>
      <w:r>
        <w:rPr>
          <w:rFonts w:hint="eastAsia"/>
        </w:rPr>
        <w:t>万元。</w:t>
      </w:r>
    </w:p>
    <w:p>
      <w:pPr>
        <w:pStyle w:val="21"/>
        <w:rPr>
          <w:lang w:eastAsia="zh-CN"/>
        </w:rPr>
      </w:pPr>
      <w:r>
        <w:rPr>
          <w:lang w:eastAsia="zh-CN"/>
        </w:rPr>
        <w:t>3</w:t>
      </w:r>
      <w:r>
        <w:rPr>
          <w:rFonts w:hint="eastAsia"/>
          <w:lang w:eastAsia="zh-CN"/>
        </w:rPr>
        <w:t>、比上年增减情况</w:t>
      </w:r>
    </w:p>
    <w:p>
      <w:pPr>
        <w:pStyle w:val="21"/>
        <w:rPr>
          <w:lang w:eastAsia="zh-CN"/>
        </w:rPr>
      </w:pPr>
      <w:r>
        <w:rPr>
          <w:lang w:eastAsia="zh-CN"/>
        </w:rPr>
        <w:t>2022</w:t>
      </w:r>
      <w:r>
        <w:rPr>
          <w:rFonts w:hint="eastAsia"/>
          <w:lang w:eastAsia="zh-CN"/>
        </w:rPr>
        <w:t>年部门预算收支安排</w:t>
      </w:r>
      <w:r>
        <w:rPr>
          <w:rFonts w:hint="eastAsia"/>
          <w:lang w:val="en-US" w:eastAsia="zh-CN"/>
        </w:rPr>
        <w:t>114.78</w:t>
      </w:r>
      <w:r>
        <w:rPr>
          <w:rFonts w:hint="eastAsia"/>
          <w:lang w:eastAsia="zh-CN"/>
        </w:rPr>
        <w:t>万元，较</w:t>
      </w:r>
      <w:r>
        <w:rPr>
          <w:lang w:eastAsia="zh-CN"/>
        </w:rPr>
        <w:t>2021</w:t>
      </w:r>
      <w:r>
        <w:rPr>
          <w:rFonts w:hint="eastAsia"/>
          <w:lang w:eastAsia="zh-CN"/>
        </w:rPr>
        <w:t>年增加</w:t>
      </w:r>
      <w:r>
        <w:rPr>
          <w:rFonts w:hint="eastAsia"/>
          <w:lang w:val="en-US" w:eastAsia="zh-CN"/>
        </w:rPr>
        <w:t>9.48</w:t>
      </w:r>
      <w:r>
        <w:rPr>
          <w:rFonts w:hint="eastAsia"/>
          <w:lang w:eastAsia="zh-CN"/>
        </w:rPr>
        <w:t>万元，主要是人员调整引起增加，相应增加人员经费</w:t>
      </w:r>
      <w:r>
        <w:rPr>
          <w:rFonts w:hint="eastAsia"/>
          <w:lang w:val="en-US" w:eastAsia="zh-CN"/>
        </w:rPr>
        <w:t>8.94万元</w:t>
      </w:r>
      <w:r>
        <w:rPr>
          <w:rFonts w:hint="eastAsia"/>
          <w:lang w:eastAsia="zh-CN"/>
        </w:rPr>
        <w:t>和日常公用经费</w:t>
      </w:r>
      <w:r>
        <w:rPr>
          <w:rFonts w:hint="eastAsia"/>
          <w:lang w:val="en-US" w:eastAsia="zh-CN"/>
        </w:rPr>
        <w:t>0.54万元</w:t>
      </w:r>
      <w:r>
        <w:rPr>
          <w:rFonts w:hint="eastAsia"/>
          <w:lang w:eastAsia="zh-CN"/>
        </w:rPr>
        <w:t>。</w:t>
      </w:r>
    </w:p>
    <w:p>
      <w:pPr>
        <w:spacing w:before="10" w:after="10"/>
        <w:ind w:firstLine="640"/>
        <w:outlineLvl w:val="5"/>
      </w:pPr>
      <w:r>
        <w:rPr>
          <w:rFonts w:hint="eastAsia" w:ascii="黑体" w:hAnsi="黑体" w:eastAsia="黑体" w:cs="黑体"/>
          <w:color w:val="000000"/>
          <w:sz w:val="32"/>
        </w:rPr>
        <w:t>三、机关运行经费安排情况</w:t>
      </w:r>
    </w:p>
    <w:p>
      <w:pPr>
        <w:pStyle w:val="31"/>
      </w:pPr>
      <w:r>
        <w:t>2022</w:t>
      </w:r>
      <w:r>
        <w:rPr>
          <w:rFonts w:hint="eastAsia"/>
        </w:rPr>
        <w:t>年，我</w:t>
      </w:r>
      <w:r>
        <w:rPr>
          <w:rFonts w:hint="eastAsia"/>
          <w:lang w:val="en-US" w:eastAsia="zh-CN"/>
        </w:rPr>
        <w:t>单位</w:t>
      </w:r>
      <w:r>
        <w:rPr>
          <w:rFonts w:hint="eastAsia"/>
        </w:rPr>
        <w:t>机关运行经费共计安排</w:t>
      </w:r>
      <w:r>
        <w:t>13.54</w:t>
      </w:r>
      <w:r>
        <w:rPr>
          <w:rFonts w:hint="eastAsia"/>
        </w:rPr>
        <w:t>万元，主要用于保证机关正常运转的办公及印刷费、邮电费、差旅费、会议费、福利费、一般设备购置费、办公用房水电费、日常维修费等支出。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3"/>
        <w:rPr>
          <w:rFonts w:hint="eastAsia" w:eastAsia="方正仿宋_GBK"/>
          <w:lang w:eastAsia="zh-CN"/>
        </w:rPr>
      </w:pPr>
      <w:r>
        <w:t>2022</w:t>
      </w:r>
      <w:r>
        <w:rPr>
          <w:rFonts w:hint="eastAsia"/>
        </w:rPr>
        <w:t>年，我</w:t>
      </w:r>
      <w:r>
        <w:rPr>
          <w:rFonts w:hint="eastAsia"/>
          <w:lang w:val="en-US" w:eastAsia="zh-CN"/>
        </w:rPr>
        <w:t>单位</w:t>
      </w:r>
      <w:r>
        <w:rPr>
          <w:rFonts w:hint="eastAsia"/>
        </w:rPr>
        <w:t>财政拨款</w:t>
      </w:r>
      <w:r>
        <w:t>“</w:t>
      </w:r>
      <w:r>
        <w:rPr>
          <w:rFonts w:hint="eastAsia"/>
        </w:rPr>
        <w:t>三公</w:t>
      </w:r>
      <w:r>
        <w:t>”</w:t>
      </w:r>
      <w:r>
        <w:rPr>
          <w:rFonts w:hint="eastAsia"/>
        </w:rPr>
        <w:t>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w:t>
      </w:r>
      <w:r>
        <w:t>)</w:t>
      </w:r>
      <w:r>
        <w:rPr>
          <w:rFonts w:hint="eastAsia"/>
        </w:rPr>
        <w:t>；公务接待费</w:t>
      </w:r>
      <w:r>
        <w:t xml:space="preserve">   0</w:t>
      </w:r>
      <w:r>
        <w:rPr>
          <w:rFonts w:hint="eastAsia"/>
        </w:rPr>
        <w:t>万元。</w:t>
      </w:r>
      <w:r>
        <w:rPr>
          <w:rFonts w:hint="eastAsia"/>
          <w:lang w:eastAsia="zh-CN"/>
        </w:rPr>
        <w:t>因我单位无公务用车，无公务接待费，所以没有产生三公经费，故没有变化。</w:t>
      </w:r>
    </w:p>
    <w:p>
      <w:pPr>
        <w:pStyle w:val="32"/>
      </w:pPr>
    </w:p>
    <w:p>
      <w:pPr>
        <w:numPr>
          <w:ilvl w:val="0"/>
          <w:numId w:val="1"/>
        </w:numPr>
        <w:spacing w:before="10" w:after="10"/>
        <w:ind w:firstLine="640"/>
        <w:outlineLvl w:val="5"/>
        <w:rPr>
          <w:rFonts w:hint="eastAsia" w:ascii="黑体" w:hAnsi="黑体" w:eastAsia="黑体" w:cs="黑体"/>
          <w:color w:val="000000"/>
          <w:sz w:val="32"/>
        </w:rPr>
      </w:pPr>
      <w:r>
        <w:rPr>
          <w:rFonts w:hint="eastAsia" w:ascii="黑体" w:hAnsi="黑体" w:eastAsia="黑体" w:cs="黑体"/>
          <w:color w:val="000000"/>
          <w:sz w:val="32"/>
        </w:rPr>
        <w:t>预算绩效信息</w:t>
      </w:r>
    </w:p>
    <w:p>
      <w:pPr>
        <w:numPr>
          <w:ilvl w:val="0"/>
          <w:numId w:val="0"/>
        </w:numPr>
        <w:spacing w:before="10" w:after="10"/>
        <w:ind w:firstLine="560" w:firstLineChars="200"/>
        <w:outlineLvl w:val="5"/>
        <w:rPr>
          <w:rFonts w:hint="eastAsia" w:ascii="Times New Roman" w:hAnsi="Times New Roman" w:eastAsia="方正仿宋_GBK" w:cs="Times New Roman"/>
          <w:kern w:val="0"/>
          <w:sz w:val="28"/>
          <w:szCs w:val="24"/>
          <w:lang w:val="en-US" w:eastAsia="zh-CN" w:bidi="ar-SA"/>
        </w:rPr>
      </w:pPr>
      <w:r>
        <w:rPr>
          <w:rFonts w:hint="eastAsia" w:ascii="Times New Roman" w:hAnsi="Times New Roman" w:eastAsia="方正仿宋_GBK" w:cs="Times New Roman"/>
          <w:kern w:val="0"/>
          <w:sz w:val="28"/>
          <w:szCs w:val="24"/>
          <w:lang w:val="en-US" w:eastAsia="zh-CN" w:bidi="ar-SA"/>
        </w:rPr>
        <w:t>无</w:t>
      </w: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年，中共无极县委县直机关工作委员会本级安排政府采购预算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8674" w:type="dxa"/>
            <w:gridSpan w:val="9"/>
            <w:tcBorders>
              <w:top w:val="single" w:color="FFFFFF" w:sz="6" w:space="0"/>
              <w:left w:val="single" w:color="FFFFFF" w:sz="6" w:space="0"/>
              <w:right w:val="single" w:color="FFFFFF" w:sz="6" w:space="0"/>
            </w:tcBorders>
            <w:vAlign w:val="center"/>
          </w:tcPr>
          <w:p>
            <w:pPr>
              <w:pStyle w:val="2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中共无极县委县直机关工作委员会本级上年末固定资产金额为</w:t>
      </w:r>
      <w:r>
        <w:rPr>
          <w:rFonts w:eastAsia="方正仿宋_GBK"/>
          <w:color w:val="000000"/>
          <w:sz w:val="28"/>
        </w:rPr>
        <w:t>9.25</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bookmarkStart w:id="1" w:name="_GoBack"/>
            <w:bookmarkEnd w:id="1"/>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1</w:t>
            </w:r>
          </w:p>
        </w:tc>
        <w:tc>
          <w:tcPr>
            <w:tcW w:w="2835" w:type="dxa"/>
            <w:vAlign w:val="center"/>
          </w:tcPr>
          <w:p>
            <w:pPr>
              <w:pStyle w:val="15"/>
            </w:pPr>
            <w:r>
              <w:t>9.25</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526F2A"/>
    <w:multiLevelType w:val="singleLevel"/>
    <w:tmpl w:val="B9526F2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M3YWYyMjg2NDdmZWQ2NTE0YjRhYjk3OTA2YTFmNWMifQ=="/>
  </w:docVars>
  <w:rsids>
    <w:rsidRoot w:val="00215D4E"/>
    <w:rsid w:val="000F3356"/>
    <w:rsid w:val="001170CA"/>
    <w:rsid w:val="001D4E2B"/>
    <w:rsid w:val="00215D4E"/>
    <w:rsid w:val="003D6ED5"/>
    <w:rsid w:val="00456317"/>
    <w:rsid w:val="0048679E"/>
    <w:rsid w:val="006D5C42"/>
    <w:rsid w:val="007C3291"/>
    <w:rsid w:val="008505B9"/>
    <w:rsid w:val="00A25BF8"/>
    <w:rsid w:val="00A77298"/>
    <w:rsid w:val="00C051A8"/>
    <w:rsid w:val="00CE5F32"/>
    <w:rsid w:val="04E5745F"/>
    <w:rsid w:val="068E5516"/>
    <w:rsid w:val="071F3873"/>
    <w:rsid w:val="09836531"/>
    <w:rsid w:val="0ED72222"/>
    <w:rsid w:val="0FCF1F7D"/>
    <w:rsid w:val="115B6549"/>
    <w:rsid w:val="13DB3D67"/>
    <w:rsid w:val="14082771"/>
    <w:rsid w:val="231D232C"/>
    <w:rsid w:val="23BF131F"/>
    <w:rsid w:val="310C4ABC"/>
    <w:rsid w:val="31B65CDB"/>
    <w:rsid w:val="32FE0237"/>
    <w:rsid w:val="340E38DF"/>
    <w:rsid w:val="3B6F08AD"/>
    <w:rsid w:val="3DB873D7"/>
    <w:rsid w:val="3DDB00BA"/>
    <w:rsid w:val="4F21528B"/>
    <w:rsid w:val="57BF3639"/>
    <w:rsid w:val="5F902F55"/>
    <w:rsid w:val="63BA7538"/>
    <w:rsid w:val="69886224"/>
    <w:rsid w:val="74B33703"/>
    <w:rsid w:val="7609530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插入文本样式-插入部门职责文件"/>
    <w:basedOn w:val="1"/>
    <w:qFormat/>
    <w:uiPriority w:val="99"/>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4">
    <w:name w:val="插入文本样式-插入总体目标文件"/>
    <w:basedOn w:val="1"/>
    <w:qFormat/>
    <w:uiPriority w:val="99"/>
    <w:pPr>
      <w:spacing w:line="500" w:lineRule="exact"/>
      <w:ind w:firstLine="560"/>
    </w:pPr>
    <w:rPr>
      <w:rFonts w:eastAsia="方正仿宋_GBK"/>
      <w:sz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7">
    <w:name w:val="单元格样式23"/>
    <w:basedOn w:val="1"/>
    <w:uiPriority w:val="99"/>
    <w:pPr>
      <w:jc w:val="right"/>
    </w:pPr>
    <w:rPr>
      <w:rFonts w:ascii="方正书宋_GBK" w:hAnsi="方正书宋_GBK" w:eastAsia="方正书宋_GBK" w:cs="方正书宋_GBK"/>
    </w:rPr>
  </w:style>
  <w:style w:type="paragraph" w:customStyle="1" w:styleId="28">
    <w:name w:val="单元格样式5"/>
    <w:basedOn w:val="1"/>
    <w:uiPriority w:val="99"/>
    <w:rPr>
      <w:rFonts w:ascii="方正书宋_GBK" w:hAnsi="方正书宋_GBK" w:eastAsia="方正书宋_GBK" w:cs="方正书宋_GBK"/>
      <w:b/>
      <w:sz w:val="21"/>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locked/>
    <w:uiPriority w:val="99"/>
    <w:rPr>
      <w:rFonts w:cs="Times New Roman"/>
      <w:kern w:val="0"/>
      <w:sz w:val="18"/>
      <w:szCs w:val="18"/>
      <w:lang w:eastAsia="uk-UA"/>
    </w:rPr>
  </w:style>
  <w:style w:type="character" w:customStyle="1" w:styleId="34">
    <w:name w:val="Footer Char"/>
    <w:basedOn w:val="10"/>
    <w:link w:val="3"/>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23</Pages>
  <Words>5178</Words>
  <Characters>6193</Characters>
  <Lines>0</Lines>
  <Paragraphs>0</Paragraphs>
  <TotalTime>1</TotalTime>
  <ScaleCrop>false</ScaleCrop>
  <LinksUpToDate>false</LinksUpToDate>
  <CharactersWithSpaces>6343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2022-06-21T05:07:00Z</dcterms:created>
  <dc:creator>Administrator</dc:creator>
  <cp:lastModifiedBy>Administrator</cp:lastModifiedBy>
  <dcterms:modified xsi:type="dcterms:W3CDTF">2023-08-31T07:42:36Z</dcterms:modified>
  <dc:title>2022年部门预算信息公开目录</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DC6DC5FC30044899B85B9E1CB9523088</vt:lpwstr>
  </property>
</Properties>
</file>