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jc w:val="center"/>
        <w:outlineLvl w:val="0"/>
        <w:rPr>
          <w:rFonts w:hint="eastAsia" w:ascii="黑体" w:hAnsi="黑体" w:eastAsia="黑体" w:cs="黑体"/>
          <w:b/>
          <w:color w:val="000000"/>
          <w:sz w:val="44"/>
          <w:szCs w:val="24"/>
        </w:rPr>
      </w:pPr>
      <w:r>
        <w:rPr>
          <w:rFonts w:hint="eastAsia" w:ascii="黑体" w:hAnsi="黑体" w:eastAsia="黑体" w:cs="黑体"/>
          <w:b/>
          <w:color w:val="000000"/>
          <w:sz w:val="44"/>
          <w:szCs w:val="24"/>
        </w:rPr>
        <w:t>202</w:t>
      </w:r>
      <w:r>
        <w:rPr>
          <w:rFonts w:hint="eastAsia" w:ascii="黑体" w:hAnsi="黑体" w:eastAsia="黑体" w:cs="黑体"/>
          <w:b/>
          <w:color w:val="000000"/>
          <w:sz w:val="44"/>
          <w:szCs w:val="24"/>
          <w:lang w:val="en-US" w:eastAsia="zh-CN"/>
        </w:rPr>
        <w:t>2</w:t>
      </w:r>
      <w:r>
        <w:rPr>
          <w:rFonts w:hint="eastAsia" w:ascii="黑体" w:hAnsi="黑体" w:eastAsia="黑体" w:cs="黑体"/>
          <w:b/>
          <w:color w:val="000000"/>
          <w:sz w:val="44"/>
          <w:szCs w:val="24"/>
        </w:rPr>
        <w:t>年部门</w:t>
      </w:r>
      <w:r>
        <w:rPr>
          <w:rFonts w:hint="eastAsia" w:ascii="黑体" w:hAnsi="黑体" w:eastAsia="黑体" w:cs="黑体"/>
          <w:b/>
          <w:color w:val="000000"/>
          <w:sz w:val="44"/>
          <w:szCs w:val="24"/>
          <w:lang w:eastAsia="zh-CN"/>
        </w:rPr>
        <w:t>所属单位</w:t>
      </w:r>
      <w:r>
        <w:rPr>
          <w:rFonts w:hint="eastAsia" w:ascii="黑体" w:hAnsi="黑体" w:eastAsia="黑体" w:cs="黑体"/>
          <w:b/>
          <w:color w:val="000000"/>
          <w:sz w:val="44"/>
          <w:szCs w:val="24"/>
        </w:rPr>
        <w:t>预算信息公开目录</w:t>
      </w:r>
    </w:p>
    <w:p>
      <w:pPr>
        <w:spacing w:beforeLines="0" w:afterLines="0"/>
        <w:jc w:val="both"/>
        <w:outlineLvl w:val="0"/>
        <w:rPr>
          <w:rFonts w:hint="eastAsia" w:ascii="黑体" w:hAnsi="黑体" w:eastAsia="黑体" w:cs="黑体"/>
          <w:b/>
          <w:color w:val="000000"/>
          <w:sz w:val="44"/>
          <w:szCs w:val="24"/>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一、中国共产党无极县委员会政法委本级收支预算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一、中国共产党无极县委员会政法委本级收支预算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324.08</w:t>
            </w:r>
          </w:p>
        </w:tc>
        <w:tc>
          <w:tcPr>
            <w:tcW w:w="4535" w:type="dxa"/>
            <w:vAlign w:val="center"/>
          </w:tcPr>
          <w:p>
            <w:pPr>
              <w:pStyle w:val="14"/>
            </w:pPr>
            <w:r>
              <w:t>一、一般公共服务支出</w:t>
            </w:r>
          </w:p>
        </w:tc>
        <w:tc>
          <w:tcPr>
            <w:tcW w:w="2126" w:type="dxa"/>
            <w:vAlign w:val="center"/>
          </w:tcPr>
          <w:p>
            <w:pPr>
              <w:pStyle w:val="13"/>
            </w:pPr>
            <w:r>
              <w:t>297.59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324.08</w:t>
            </w:r>
          </w:p>
        </w:tc>
        <w:tc>
          <w:tcPr>
            <w:tcW w:w="4535" w:type="dxa"/>
            <w:vAlign w:val="center"/>
          </w:tcPr>
          <w:p>
            <w:pPr>
              <w:pStyle w:val="16"/>
            </w:pPr>
            <w:r>
              <w:t>本年支出合计</w:t>
            </w:r>
          </w:p>
        </w:tc>
        <w:tc>
          <w:tcPr>
            <w:tcW w:w="2126" w:type="dxa"/>
            <w:vAlign w:val="center"/>
          </w:tcPr>
          <w:p>
            <w:pPr>
              <w:pStyle w:val="17"/>
            </w:pPr>
            <w:r>
              <w:t>324.08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324.08</w:t>
            </w:r>
          </w:p>
        </w:tc>
        <w:tc>
          <w:tcPr>
            <w:tcW w:w="4535" w:type="dxa"/>
            <w:vAlign w:val="center"/>
          </w:tcPr>
          <w:p>
            <w:pPr>
              <w:pStyle w:val="16"/>
            </w:pPr>
            <w:r>
              <w:t>支出总计</w:t>
            </w:r>
          </w:p>
        </w:tc>
        <w:tc>
          <w:tcPr>
            <w:tcW w:w="2126" w:type="dxa"/>
            <w:vAlign w:val="center"/>
          </w:tcPr>
          <w:p>
            <w:pPr>
              <w:pStyle w:val="17"/>
            </w:pPr>
            <w:r>
              <w:t>324.08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324.08</w:t>
            </w:r>
          </w:p>
        </w:tc>
        <w:tc>
          <w:tcPr>
            <w:tcW w:w="1134" w:type="dxa"/>
            <w:vAlign w:val="center"/>
          </w:tcPr>
          <w:p>
            <w:pPr>
              <w:pStyle w:val="17"/>
            </w:pPr>
            <w:r>
              <w:t>324.08</w:t>
            </w:r>
          </w:p>
        </w:tc>
        <w:tc>
          <w:tcPr>
            <w:tcW w:w="1134" w:type="dxa"/>
            <w:vAlign w:val="center"/>
          </w:tcPr>
          <w:p>
            <w:pPr>
              <w:pStyle w:val="17"/>
            </w:pPr>
            <w:r>
              <w:t>324.08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297.59</w:t>
            </w:r>
          </w:p>
        </w:tc>
        <w:tc>
          <w:tcPr>
            <w:tcW w:w="1134" w:type="dxa"/>
            <w:vAlign w:val="center"/>
          </w:tcPr>
          <w:p>
            <w:pPr>
              <w:pStyle w:val="13"/>
            </w:pPr>
            <w:r>
              <w:t>297.59</w:t>
            </w:r>
          </w:p>
        </w:tc>
        <w:tc>
          <w:tcPr>
            <w:tcW w:w="1134" w:type="dxa"/>
            <w:vAlign w:val="center"/>
          </w:tcPr>
          <w:p>
            <w:pPr>
              <w:pStyle w:val="13"/>
            </w:pPr>
            <w:r>
              <w:t>297.59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297.59</w:t>
            </w:r>
          </w:p>
        </w:tc>
        <w:tc>
          <w:tcPr>
            <w:tcW w:w="1134" w:type="dxa"/>
            <w:vAlign w:val="center"/>
          </w:tcPr>
          <w:p>
            <w:pPr>
              <w:pStyle w:val="13"/>
            </w:pPr>
            <w:r>
              <w:t>297.59</w:t>
            </w:r>
          </w:p>
        </w:tc>
        <w:tc>
          <w:tcPr>
            <w:tcW w:w="1134" w:type="dxa"/>
            <w:vAlign w:val="center"/>
          </w:tcPr>
          <w:p>
            <w:pPr>
              <w:pStyle w:val="13"/>
            </w:pPr>
            <w:r>
              <w:t>297.59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182.59</w:t>
            </w:r>
          </w:p>
        </w:tc>
        <w:tc>
          <w:tcPr>
            <w:tcW w:w="1134" w:type="dxa"/>
            <w:vAlign w:val="center"/>
          </w:tcPr>
          <w:p>
            <w:pPr>
              <w:pStyle w:val="13"/>
            </w:pPr>
            <w:r>
              <w:t>182.59</w:t>
            </w:r>
          </w:p>
        </w:tc>
        <w:tc>
          <w:tcPr>
            <w:tcW w:w="1134" w:type="dxa"/>
            <w:vAlign w:val="center"/>
          </w:tcPr>
          <w:p>
            <w:pPr>
              <w:pStyle w:val="13"/>
            </w:pPr>
            <w:r>
              <w:t>182.59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2013699</w:t>
            </w:r>
          </w:p>
        </w:tc>
        <w:tc>
          <w:tcPr>
            <w:tcW w:w="1559" w:type="dxa"/>
            <w:vAlign w:val="center"/>
          </w:tcPr>
          <w:p>
            <w:pPr>
              <w:pStyle w:val="14"/>
            </w:pPr>
            <w:r>
              <w:t>其他共产党事务支出</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r>
              <w:t>17.66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r>
              <w:t>8.83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324.08</w:t>
            </w:r>
          </w:p>
        </w:tc>
        <w:tc>
          <w:tcPr>
            <w:tcW w:w="1361" w:type="dxa"/>
            <w:vAlign w:val="center"/>
          </w:tcPr>
          <w:p>
            <w:pPr>
              <w:pStyle w:val="17"/>
            </w:pPr>
            <w:r>
              <w:t>209.08</w:t>
            </w:r>
          </w:p>
        </w:tc>
        <w:tc>
          <w:tcPr>
            <w:tcW w:w="1361" w:type="dxa"/>
            <w:vAlign w:val="center"/>
          </w:tcPr>
          <w:p>
            <w:pPr>
              <w:pStyle w:val="17"/>
            </w:pPr>
            <w:r>
              <w:t>115.00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297.59</w:t>
            </w:r>
          </w:p>
        </w:tc>
        <w:tc>
          <w:tcPr>
            <w:tcW w:w="1361" w:type="dxa"/>
            <w:vAlign w:val="center"/>
          </w:tcPr>
          <w:p>
            <w:pPr>
              <w:pStyle w:val="13"/>
            </w:pPr>
            <w:r>
              <w:t>182.59</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297.59</w:t>
            </w:r>
          </w:p>
        </w:tc>
        <w:tc>
          <w:tcPr>
            <w:tcW w:w="1361" w:type="dxa"/>
            <w:vAlign w:val="center"/>
          </w:tcPr>
          <w:p>
            <w:pPr>
              <w:pStyle w:val="13"/>
            </w:pPr>
            <w:r>
              <w:t>182.59</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182.59</w:t>
            </w:r>
          </w:p>
        </w:tc>
        <w:tc>
          <w:tcPr>
            <w:tcW w:w="1361" w:type="dxa"/>
            <w:vAlign w:val="center"/>
          </w:tcPr>
          <w:p>
            <w:pPr>
              <w:pStyle w:val="13"/>
            </w:pPr>
            <w:r>
              <w:t>182.59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2013699</w:t>
            </w:r>
          </w:p>
        </w:tc>
        <w:tc>
          <w:tcPr>
            <w:tcW w:w="4535" w:type="dxa"/>
            <w:vAlign w:val="center"/>
          </w:tcPr>
          <w:p>
            <w:pPr>
              <w:pStyle w:val="14"/>
            </w:pPr>
            <w:r>
              <w:t>其他共产党事务支出</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17.66</w:t>
            </w:r>
          </w:p>
        </w:tc>
        <w:tc>
          <w:tcPr>
            <w:tcW w:w="1361" w:type="dxa"/>
            <w:vAlign w:val="center"/>
          </w:tcPr>
          <w:p>
            <w:pPr>
              <w:pStyle w:val="13"/>
            </w:pPr>
            <w:r>
              <w:t>17.66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17.66</w:t>
            </w:r>
          </w:p>
        </w:tc>
        <w:tc>
          <w:tcPr>
            <w:tcW w:w="1361" w:type="dxa"/>
            <w:vAlign w:val="center"/>
          </w:tcPr>
          <w:p>
            <w:pPr>
              <w:pStyle w:val="13"/>
            </w:pPr>
            <w:r>
              <w:t>17.66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17.66</w:t>
            </w:r>
          </w:p>
        </w:tc>
        <w:tc>
          <w:tcPr>
            <w:tcW w:w="1361" w:type="dxa"/>
            <w:vAlign w:val="center"/>
          </w:tcPr>
          <w:p>
            <w:pPr>
              <w:pStyle w:val="13"/>
            </w:pPr>
            <w:r>
              <w:t>17.66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8.83</w:t>
            </w:r>
          </w:p>
        </w:tc>
        <w:tc>
          <w:tcPr>
            <w:tcW w:w="1361" w:type="dxa"/>
            <w:vAlign w:val="center"/>
          </w:tcPr>
          <w:p>
            <w:pPr>
              <w:pStyle w:val="13"/>
            </w:pPr>
            <w:r>
              <w:t>8.83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8.83</w:t>
            </w:r>
          </w:p>
        </w:tc>
        <w:tc>
          <w:tcPr>
            <w:tcW w:w="1361" w:type="dxa"/>
            <w:vAlign w:val="center"/>
          </w:tcPr>
          <w:p>
            <w:pPr>
              <w:pStyle w:val="13"/>
            </w:pPr>
            <w:r>
              <w:t>8.83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8.83</w:t>
            </w:r>
          </w:p>
        </w:tc>
        <w:tc>
          <w:tcPr>
            <w:tcW w:w="1361" w:type="dxa"/>
            <w:vAlign w:val="center"/>
          </w:tcPr>
          <w:p>
            <w:pPr>
              <w:pStyle w:val="13"/>
            </w:pPr>
            <w:r>
              <w:t>8.83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324.08</w:t>
            </w:r>
          </w:p>
        </w:tc>
        <w:tc>
          <w:tcPr>
            <w:tcW w:w="3402" w:type="dxa"/>
            <w:vAlign w:val="center"/>
          </w:tcPr>
          <w:p>
            <w:pPr>
              <w:pStyle w:val="14"/>
            </w:pPr>
            <w:r>
              <w:t>一、一般公共服务支出</w:t>
            </w:r>
          </w:p>
        </w:tc>
        <w:tc>
          <w:tcPr>
            <w:tcW w:w="1474" w:type="dxa"/>
            <w:vAlign w:val="center"/>
          </w:tcPr>
          <w:p>
            <w:pPr>
              <w:pStyle w:val="13"/>
            </w:pPr>
            <w:r>
              <w:t>297.59</w:t>
            </w:r>
          </w:p>
        </w:tc>
        <w:tc>
          <w:tcPr>
            <w:tcW w:w="1474" w:type="dxa"/>
            <w:vAlign w:val="center"/>
          </w:tcPr>
          <w:p>
            <w:pPr>
              <w:pStyle w:val="13"/>
            </w:pPr>
            <w:r>
              <w:t>297.59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17.66</w:t>
            </w:r>
          </w:p>
        </w:tc>
        <w:tc>
          <w:tcPr>
            <w:tcW w:w="1474" w:type="dxa"/>
            <w:vAlign w:val="center"/>
          </w:tcPr>
          <w:p>
            <w:pPr>
              <w:pStyle w:val="13"/>
            </w:pPr>
            <w:r>
              <w:t>17.66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8.83</w:t>
            </w:r>
          </w:p>
        </w:tc>
        <w:tc>
          <w:tcPr>
            <w:tcW w:w="1474" w:type="dxa"/>
            <w:vAlign w:val="center"/>
          </w:tcPr>
          <w:p>
            <w:pPr>
              <w:pStyle w:val="13"/>
            </w:pPr>
            <w:r>
              <w:t>8.83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324.08</w:t>
            </w:r>
          </w:p>
        </w:tc>
        <w:tc>
          <w:tcPr>
            <w:tcW w:w="3402" w:type="dxa"/>
            <w:vAlign w:val="center"/>
          </w:tcPr>
          <w:p>
            <w:pPr>
              <w:pStyle w:val="16"/>
            </w:pPr>
            <w:r>
              <w:t>本年支出合计</w:t>
            </w:r>
          </w:p>
        </w:tc>
        <w:tc>
          <w:tcPr>
            <w:tcW w:w="1474" w:type="dxa"/>
            <w:vAlign w:val="center"/>
          </w:tcPr>
          <w:p>
            <w:pPr>
              <w:pStyle w:val="17"/>
            </w:pPr>
            <w:r>
              <w:t>324.08</w:t>
            </w:r>
          </w:p>
        </w:tc>
        <w:tc>
          <w:tcPr>
            <w:tcW w:w="1474" w:type="dxa"/>
            <w:vAlign w:val="center"/>
          </w:tcPr>
          <w:p>
            <w:pPr>
              <w:pStyle w:val="17"/>
            </w:pPr>
            <w:r>
              <w:t>324.08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324.08</w:t>
            </w:r>
          </w:p>
        </w:tc>
        <w:tc>
          <w:tcPr>
            <w:tcW w:w="3402" w:type="dxa"/>
            <w:vAlign w:val="center"/>
          </w:tcPr>
          <w:p>
            <w:pPr>
              <w:pStyle w:val="16"/>
            </w:pPr>
            <w:r>
              <w:t>支出总计</w:t>
            </w:r>
          </w:p>
        </w:tc>
        <w:tc>
          <w:tcPr>
            <w:tcW w:w="1474" w:type="dxa"/>
            <w:vAlign w:val="center"/>
          </w:tcPr>
          <w:p>
            <w:pPr>
              <w:pStyle w:val="17"/>
            </w:pPr>
            <w:r>
              <w:t>324.08</w:t>
            </w:r>
          </w:p>
        </w:tc>
        <w:tc>
          <w:tcPr>
            <w:tcW w:w="1474" w:type="dxa"/>
            <w:vAlign w:val="center"/>
          </w:tcPr>
          <w:p>
            <w:pPr>
              <w:pStyle w:val="17"/>
            </w:pPr>
            <w:r>
              <w:t>324.08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324.08</w:t>
            </w:r>
          </w:p>
        </w:tc>
        <w:tc>
          <w:tcPr>
            <w:tcW w:w="2551" w:type="dxa"/>
            <w:vAlign w:val="center"/>
          </w:tcPr>
          <w:p>
            <w:pPr>
              <w:pStyle w:val="17"/>
            </w:pPr>
            <w:r>
              <w:t>209.08</w:t>
            </w:r>
          </w:p>
        </w:tc>
        <w:tc>
          <w:tcPr>
            <w:tcW w:w="2551" w:type="dxa"/>
            <w:vAlign w:val="center"/>
          </w:tcPr>
          <w:p>
            <w:pPr>
              <w:pStyle w:val="17"/>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297.59</w:t>
            </w:r>
          </w:p>
        </w:tc>
        <w:tc>
          <w:tcPr>
            <w:tcW w:w="2551" w:type="dxa"/>
            <w:vAlign w:val="center"/>
          </w:tcPr>
          <w:p>
            <w:pPr>
              <w:pStyle w:val="13"/>
            </w:pPr>
            <w:r>
              <w:t>182.59</w:t>
            </w:r>
          </w:p>
        </w:tc>
        <w:tc>
          <w:tcPr>
            <w:tcW w:w="2551" w:type="dxa"/>
            <w:vAlign w:val="center"/>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297.59</w:t>
            </w:r>
          </w:p>
        </w:tc>
        <w:tc>
          <w:tcPr>
            <w:tcW w:w="2551" w:type="dxa"/>
            <w:vAlign w:val="center"/>
          </w:tcPr>
          <w:p>
            <w:pPr>
              <w:pStyle w:val="13"/>
            </w:pPr>
            <w:r>
              <w:t>182.59</w:t>
            </w:r>
          </w:p>
        </w:tc>
        <w:tc>
          <w:tcPr>
            <w:tcW w:w="2551" w:type="dxa"/>
            <w:vAlign w:val="center"/>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182.59</w:t>
            </w:r>
          </w:p>
        </w:tc>
        <w:tc>
          <w:tcPr>
            <w:tcW w:w="2551" w:type="dxa"/>
            <w:vAlign w:val="center"/>
          </w:tcPr>
          <w:p>
            <w:pPr>
              <w:pStyle w:val="13"/>
            </w:pPr>
            <w:r>
              <w:t>182.59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2013699</w:t>
            </w:r>
          </w:p>
        </w:tc>
        <w:tc>
          <w:tcPr>
            <w:tcW w:w="4535" w:type="dxa"/>
            <w:vAlign w:val="center"/>
          </w:tcPr>
          <w:p>
            <w:pPr>
              <w:pStyle w:val="14"/>
            </w:pPr>
            <w:r>
              <w:t>其他共产党事务支出</w:t>
            </w:r>
          </w:p>
        </w:tc>
        <w:tc>
          <w:tcPr>
            <w:tcW w:w="2551" w:type="dxa"/>
            <w:vAlign w:val="center"/>
          </w:tcPr>
          <w:p>
            <w:pPr>
              <w:pStyle w:val="13"/>
            </w:pPr>
            <w:r>
              <w:t>115.00</w:t>
            </w:r>
          </w:p>
        </w:tc>
        <w:tc>
          <w:tcPr>
            <w:tcW w:w="2551" w:type="dxa"/>
            <w:vAlign w:val="center"/>
          </w:tcPr>
          <w:p>
            <w:pPr>
              <w:pStyle w:val="13"/>
            </w:pPr>
          </w:p>
        </w:tc>
        <w:tc>
          <w:tcPr>
            <w:tcW w:w="2551" w:type="dxa"/>
            <w:vAlign w:val="center"/>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17.66</w:t>
            </w:r>
          </w:p>
        </w:tc>
        <w:tc>
          <w:tcPr>
            <w:tcW w:w="2551" w:type="dxa"/>
            <w:vAlign w:val="center"/>
          </w:tcPr>
          <w:p>
            <w:pPr>
              <w:pStyle w:val="13"/>
            </w:pPr>
            <w:r>
              <w:t>17.66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17.66</w:t>
            </w:r>
          </w:p>
        </w:tc>
        <w:tc>
          <w:tcPr>
            <w:tcW w:w="2551" w:type="dxa"/>
            <w:vAlign w:val="center"/>
          </w:tcPr>
          <w:p>
            <w:pPr>
              <w:pStyle w:val="13"/>
            </w:pPr>
            <w:r>
              <w:t>17.66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17.66</w:t>
            </w:r>
          </w:p>
        </w:tc>
        <w:tc>
          <w:tcPr>
            <w:tcW w:w="2551" w:type="dxa"/>
            <w:vAlign w:val="center"/>
          </w:tcPr>
          <w:p>
            <w:pPr>
              <w:pStyle w:val="13"/>
            </w:pPr>
            <w:r>
              <w:t>17.66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8.83</w:t>
            </w:r>
          </w:p>
        </w:tc>
        <w:tc>
          <w:tcPr>
            <w:tcW w:w="2551" w:type="dxa"/>
            <w:vAlign w:val="center"/>
          </w:tcPr>
          <w:p>
            <w:pPr>
              <w:pStyle w:val="13"/>
            </w:pPr>
            <w:r>
              <w:t>8.83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8.83</w:t>
            </w:r>
          </w:p>
        </w:tc>
        <w:tc>
          <w:tcPr>
            <w:tcW w:w="2551" w:type="dxa"/>
            <w:vAlign w:val="center"/>
          </w:tcPr>
          <w:p>
            <w:pPr>
              <w:pStyle w:val="13"/>
            </w:pPr>
            <w:r>
              <w:t>8.83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8.83</w:t>
            </w:r>
          </w:p>
        </w:tc>
        <w:tc>
          <w:tcPr>
            <w:tcW w:w="2551" w:type="dxa"/>
            <w:vAlign w:val="center"/>
          </w:tcPr>
          <w:p>
            <w:pPr>
              <w:pStyle w:val="13"/>
            </w:pPr>
            <w:r>
              <w:t>8.83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209.08</w:t>
            </w:r>
          </w:p>
        </w:tc>
        <w:tc>
          <w:tcPr>
            <w:tcW w:w="2551" w:type="dxa"/>
            <w:vAlign w:val="center"/>
          </w:tcPr>
          <w:p>
            <w:pPr>
              <w:pStyle w:val="17"/>
            </w:pPr>
            <w:r>
              <w:t>186.08</w:t>
            </w:r>
          </w:p>
        </w:tc>
        <w:tc>
          <w:tcPr>
            <w:tcW w:w="2551" w:type="dxa"/>
            <w:vAlign w:val="center"/>
          </w:tcPr>
          <w:p>
            <w:pPr>
              <w:pStyle w:val="17"/>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180.68</w:t>
            </w:r>
          </w:p>
        </w:tc>
        <w:tc>
          <w:tcPr>
            <w:tcW w:w="2551" w:type="dxa"/>
            <w:vAlign w:val="center"/>
          </w:tcPr>
          <w:p>
            <w:pPr>
              <w:pStyle w:val="13"/>
            </w:pPr>
            <w:r>
              <w:t>180.68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45.60</w:t>
            </w:r>
          </w:p>
        </w:tc>
        <w:tc>
          <w:tcPr>
            <w:tcW w:w="2551" w:type="dxa"/>
            <w:vAlign w:val="center"/>
          </w:tcPr>
          <w:p>
            <w:pPr>
              <w:pStyle w:val="13"/>
            </w:pPr>
            <w:r>
              <w:t>45.60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32.68</w:t>
            </w:r>
          </w:p>
        </w:tc>
        <w:tc>
          <w:tcPr>
            <w:tcW w:w="2551" w:type="dxa"/>
            <w:vAlign w:val="center"/>
          </w:tcPr>
          <w:p>
            <w:pPr>
              <w:pStyle w:val="13"/>
            </w:pPr>
            <w:r>
              <w:t>32.68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5.25</w:t>
            </w:r>
          </w:p>
        </w:tc>
        <w:tc>
          <w:tcPr>
            <w:tcW w:w="2551" w:type="dxa"/>
            <w:vAlign w:val="center"/>
          </w:tcPr>
          <w:p>
            <w:pPr>
              <w:pStyle w:val="13"/>
            </w:pPr>
            <w:r>
              <w:t>5.25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17.66</w:t>
            </w:r>
          </w:p>
        </w:tc>
        <w:tc>
          <w:tcPr>
            <w:tcW w:w="2551" w:type="dxa"/>
            <w:vAlign w:val="center"/>
          </w:tcPr>
          <w:p>
            <w:pPr>
              <w:pStyle w:val="13"/>
            </w:pPr>
            <w:r>
              <w:t>17.66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8.83</w:t>
            </w:r>
          </w:p>
        </w:tc>
        <w:tc>
          <w:tcPr>
            <w:tcW w:w="2551" w:type="dxa"/>
            <w:vAlign w:val="center"/>
          </w:tcPr>
          <w:p>
            <w:pPr>
              <w:pStyle w:val="13"/>
            </w:pPr>
            <w:r>
              <w:t>8.83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0.66</w:t>
            </w:r>
          </w:p>
        </w:tc>
        <w:tc>
          <w:tcPr>
            <w:tcW w:w="2551" w:type="dxa"/>
            <w:vAlign w:val="center"/>
          </w:tcPr>
          <w:p>
            <w:pPr>
              <w:pStyle w:val="13"/>
            </w:pPr>
            <w:r>
              <w:t>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23.00</w:t>
            </w:r>
          </w:p>
        </w:tc>
        <w:tc>
          <w:tcPr>
            <w:tcW w:w="2551" w:type="dxa"/>
            <w:vAlign w:val="center"/>
          </w:tcPr>
          <w:p>
            <w:pPr>
              <w:pStyle w:val="13"/>
            </w:pPr>
          </w:p>
        </w:tc>
        <w:tc>
          <w:tcPr>
            <w:tcW w:w="2551"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2.89</w:t>
            </w:r>
          </w:p>
        </w:tc>
        <w:tc>
          <w:tcPr>
            <w:tcW w:w="2551" w:type="dxa"/>
            <w:vAlign w:val="center"/>
          </w:tcPr>
          <w:p>
            <w:pPr>
              <w:pStyle w:val="13"/>
            </w:pPr>
          </w:p>
        </w:tc>
        <w:tc>
          <w:tcPr>
            <w:tcW w:w="2551" w:type="dxa"/>
            <w:vAlign w:val="center"/>
          </w:tcPr>
          <w:p>
            <w:pPr>
              <w:pStyle w:val="13"/>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1.40</w:t>
            </w:r>
          </w:p>
        </w:tc>
        <w:tc>
          <w:tcPr>
            <w:tcW w:w="2551" w:type="dxa"/>
            <w:vAlign w:val="center"/>
          </w:tcPr>
          <w:p>
            <w:pPr>
              <w:pStyle w:val="13"/>
            </w:pPr>
          </w:p>
        </w:tc>
        <w:tc>
          <w:tcPr>
            <w:tcW w:w="2551"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1.70</w:t>
            </w:r>
          </w:p>
        </w:tc>
        <w:tc>
          <w:tcPr>
            <w:tcW w:w="2551" w:type="dxa"/>
            <w:vAlign w:val="center"/>
          </w:tcPr>
          <w:p>
            <w:pPr>
              <w:pStyle w:val="13"/>
            </w:pPr>
          </w:p>
        </w:tc>
        <w:tc>
          <w:tcPr>
            <w:tcW w:w="255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5.40</w:t>
            </w:r>
          </w:p>
        </w:tc>
        <w:tc>
          <w:tcPr>
            <w:tcW w:w="2551" w:type="dxa"/>
            <w:vAlign w:val="center"/>
          </w:tcPr>
          <w:p>
            <w:pPr>
              <w:pStyle w:val="13"/>
            </w:pPr>
            <w:r>
              <w:t>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5.40</w:t>
            </w:r>
          </w:p>
        </w:tc>
        <w:tc>
          <w:tcPr>
            <w:tcW w:w="2551" w:type="dxa"/>
            <w:vAlign w:val="center"/>
          </w:tcPr>
          <w:p>
            <w:pPr>
              <w:pStyle w:val="13"/>
            </w:pPr>
            <w:r>
              <w:t>5.40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中国共产党无极县委员会政法委本级2022年单位预算信息公开情况说明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按照《预算法》、《地方预决算公开操作规程》和《关于进一步推进预算公开工作的实施意见》规定，现将中国共产党无极县委员会政法委本级2022年单位预算公开如下：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t>（一）政法工作</w:t>
      </w:r>
    </w:p>
    <w:p>
      <w:pPr>
        <w:pStyle w:val="19"/>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19"/>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19"/>
      </w:pPr>
      <w:r>
        <w:t>绩效指标：收集、分析、上报舆情信息的数量≥5条。</w:t>
      </w:r>
    </w:p>
    <w:p>
      <w:pPr>
        <w:pStyle w:val="19"/>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19"/>
      </w:pPr>
      <w:r>
        <w:t>绩效目标：通过整合资源，协调各级以网格化管理为基础，以信息化为支撑，推动矛盾纠纷联调、社会治安联防、重点工作联动等，发挥组织协调作用，推动社会治安综合治理的工作平台。</w:t>
      </w:r>
    </w:p>
    <w:p>
      <w:pPr>
        <w:pStyle w:val="19"/>
      </w:pPr>
      <w:r>
        <w:t>绩效指标：调处矛盾纠纷数量占排查矛盾纠纷总数≥90%。</w:t>
      </w:r>
    </w:p>
    <w:p>
      <w:pPr>
        <w:pStyle w:val="19"/>
      </w:pPr>
      <w:r>
        <w:t>（二）社会管理综合治理工作</w:t>
      </w:r>
    </w:p>
    <w:p>
      <w:pPr>
        <w:pStyle w:val="19"/>
      </w:pPr>
      <w:r>
        <w:t>1、进一步健全社会矛盾排查化解机制，加大源头化解力度，将矛盾纠纷解决在萌芽状态。</w:t>
      </w:r>
    </w:p>
    <w:p>
      <w:pPr>
        <w:pStyle w:val="19"/>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19"/>
      </w:pPr>
      <w:r>
        <w:t>绩效指标：调处矛盾纠纷数量占排查矛盾纠纷总数≥90%。</w:t>
      </w:r>
    </w:p>
    <w:p>
      <w:pPr>
        <w:pStyle w:val="19"/>
      </w:pPr>
      <w:r>
        <w:t>2、治安巡防队伍人员力量充实，技防设施进一步完善，提升震慑犯罪、预防犯罪、打击犯罪的能力，有效维护社会治安秩序。</w:t>
      </w:r>
    </w:p>
    <w:p>
      <w:pPr>
        <w:pStyle w:val="19"/>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19"/>
      </w:pPr>
      <w:r>
        <w:t>绩效指标：完成工程量占计划完成工程量的比率≥90%；排除故障次数占故障发生次数≥90%。</w:t>
      </w:r>
    </w:p>
    <w:p>
      <w:pPr>
        <w:pStyle w:val="19"/>
      </w:pPr>
      <w:r>
        <w:t>3、对帮教对象落实管理措施，对流动人口做到“底数清、情况明、信息灵、管得住、控得严”，对高危人员适时分析研判、评估风险，依靠单位、社区和基层组织做好稳控工作。</w:t>
      </w:r>
    </w:p>
    <w:p>
      <w:pPr>
        <w:pStyle w:val="19"/>
      </w:pPr>
      <w:r>
        <w:t>绩效目标：提高了对严重精神障碍患者救治救助力度，从源头上防止肇事肇祸案事件的发生，减轻了患者家庭的经济负担。</w:t>
      </w:r>
    </w:p>
    <w:p>
      <w:pPr>
        <w:pStyle w:val="19"/>
      </w:pPr>
      <w:r>
        <w:t>绩效指标：严重精神障碍患者群体提供救助服务的人数占严重精神障碍患者总人数≥90%；为严重精神障碍患者群体提供救助服务人员占严重精神障碍患者总人数≥100%。</w:t>
      </w:r>
    </w:p>
    <w:p>
      <w:pPr>
        <w:pStyle w:val="19"/>
      </w:pPr>
      <w:r>
        <w:t>（三）维护社会稳定工作</w:t>
      </w:r>
    </w:p>
    <w:p>
      <w:pPr>
        <w:pStyle w:val="19"/>
      </w:pPr>
      <w:r>
        <w:t>完善应急处突机制，对重大社会安全事件及时妥善处置；对出台的重大政策和重点项目做好社会稳定风险评估工作，做到应评尽评，化解社会矛盾，消除社会隐患，防止群体性事件发生。</w:t>
      </w:r>
    </w:p>
    <w:p>
      <w:pPr>
        <w:pStyle w:val="19"/>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19"/>
      </w:pPr>
      <w:r>
        <w:t>绩效指标：处置的涉稳舆情数占涉稳网络舆情总数≥90%。</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中国共产党无极县委员会政法委本级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0"/>
      </w:pPr>
      <w:r>
        <w:t>1、收入说明</w:t>
      </w:r>
    </w:p>
    <w:p>
      <w:pPr>
        <w:pStyle w:val="20"/>
      </w:pPr>
      <w:r>
        <w:t>反映本</w:t>
      </w:r>
      <w:r>
        <w:rPr>
          <w:rFonts w:hint="eastAsia"/>
          <w:lang w:val="en-US" w:eastAsia="zh-CN"/>
        </w:rPr>
        <w:t>单位</w:t>
      </w:r>
      <w:r>
        <w:t>当年全部收入。202</w:t>
      </w:r>
      <w:r>
        <w:rPr>
          <w:rFonts w:hint="eastAsia"/>
          <w:lang w:val="en-US" w:eastAsia="zh-CN"/>
        </w:rPr>
        <w:t>2</w:t>
      </w:r>
      <w:r>
        <w:t>年预算收入</w:t>
      </w:r>
      <w:r>
        <w:rPr>
          <w:rFonts w:hint="eastAsia"/>
          <w:lang w:val="en-US" w:eastAsia="zh-CN"/>
        </w:rPr>
        <w:t>324.08</w:t>
      </w:r>
      <w:r>
        <w:t>万元，其中：一般公共预算收入</w:t>
      </w:r>
      <w:r>
        <w:rPr>
          <w:rFonts w:hint="eastAsia"/>
          <w:lang w:val="en-US" w:eastAsia="zh-CN"/>
        </w:rPr>
        <w:t>324.08</w:t>
      </w:r>
      <w:r>
        <w:t>万元，基金预算收入0万元，财政专户核拨收入0万元，其他来源收入0万元。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收支预算总表支出栏、基本支出表、项目支出表按经济分类和支出功能分类科目编制，反映202</w:t>
      </w:r>
      <w:r>
        <w:rPr>
          <w:rFonts w:hint="eastAsia"/>
          <w:lang w:val="en-US" w:eastAsia="zh-CN"/>
        </w:rPr>
        <w:t>2</w:t>
      </w:r>
      <w:r>
        <w:t>年度</w:t>
      </w:r>
      <w:r>
        <w:rPr>
          <w:rFonts w:hint="eastAsia"/>
          <w:lang w:val="en-US" w:eastAsia="zh-CN"/>
        </w:rPr>
        <w:t>单位</w:t>
      </w:r>
      <w:r>
        <w:t>预算中支出预算的总体情况。202</w:t>
      </w:r>
      <w:r>
        <w:rPr>
          <w:rFonts w:hint="eastAsia"/>
          <w:lang w:val="en-US" w:eastAsia="zh-CN"/>
        </w:rPr>
        <w:t>2</w:t>
      </w:r>
      <w:r>
        <w:t>年</w:t>
      </w:r>
      <w:r>
        <w:rPr>
          <w:rFonts w:hint="eastAsia"/>
          <w:lang w:val="en-US" w:eastAsia="zh-CN"/>
        </w:rPr>
        <w:t>单位</w:t>
      </w:r>
      <w:r>
        <w:t>支出预算为</w:t>
      </w:r>
      <w:r>
        <w:rPr>
          <w:rFonts w:hint="eastAsia"/>
          <w:lang w:val="en-US" w:eastAsia="zh-CN"/>
        </w:rPr>
        <w:t>324.08</w:t>
      </w:r>
      <w:r>
        <w:t>万元，其中基本支出</w:t>
      </w:r>
      <w:r>
        <w:rPr>
          <w:rFonts w:hint="eastAsia"/>
          <w:lang w:val="en-US" w:eastAsia="zh-CN"/>
        </w:rPr>
        <w:t>209.08</w:t>
      </w:r>
      <w:r>
        <w:t>万元，包括人员经费</w:t>
      </w:r>
      <w:r>
        <w:rPr>
          <w:rFonts w:hint="eastAsia"/>
          <w:lang w:val="en-US" w:eastAsia="zh-CN"/>
        </w:rPr>
        <w:t>186.08</w:t>
      </w:r>
      <w:r>
        <w:t>万元和日常公用经费</w:t>
      </w:r>
      <w:r>
        <w:rPr>
          <w:rFonts w:hint="eastAsia"/>
          <w:lang w:val="en-US" w:eastAsia="zh-CN"/>
        </w:rPr>
        <w:t>23</w:t>
      </w:r>
      <w:r>
        <w:t>万元；项目支出</w:t>
      </w:r>
      <w:r>
        <w:rPr>
          <w:rFonts w:hint="eastAsia"/>
          <w:lang w:val="en-US" w:eastAsia="zh-CN"/>
        </w:rPr>
        <w:t>115</w:t>
      </w:r>
      <w:r>
        <w:t>万元</w:t>
      </w:r>
      <w:r>
        <w:rPr>
          <w:rFonts w:hint="eastAsia"/>
          <w:lang w:eastAsia="zh-CN"/>
        </w:rPr>
        <w:t>，主要包括扫黑除恶专项经费、社会治安综合治理专项经费、</w:t>
      </w:r>
      <w:r>
        <w:rPr>
          <w:rFonts w:hint="eastAsia"/>
          <w:lang w:val="en-US" w:eastAsia="zh-CN"/>
        </w:rPr>
        <w:t>维稳及严重精神障碍患者责任险经费共115万元。</w:t>
      </w:r>
    </w:p>
    <w:p>
      <w:pPr>
        <w:pStyle w:val="20"/>
        <w:numPr>
          <w:ilvl w:val="0"/>
          <w:numId w:val="1"/>
        </w:numPr>
      </w:pPr>
      <w:r>
        <w:t xml:space="preserve">比上年增减情况   </w:t>
      </w:r>
    </w:p>
    <w:p>
      <w:pPr>
        <w:pStyle w:val="20"/>
        <w:numPr>
          <w:ilvl w:val="0"/>
          <w:numId w:val="0"/>
        </w:numPr>
        <w:ind w:firstLine="560" w:firstLineChars="200"/>
      </w:pPr>
      <w:r>
        <w:t>202</w:t>
      </w:r>
      <w:r>
        <w:rPr>
          <w:rFonts w:hint="eastAsia"/>
          <w:lang w:val="en-US" w:eastAsia="zh-CN"/>
        </w:rPr>
        <w:t>2</w:t>
      </w:r>
      <w:r>
        <w:t>年</w:t>
      </w:r>
      <w:r>
        <w:rPr>
          <w:rFonts w:hint="eastAsia"/>
          <w:lang w:val="en-US" w:eastAsia="zh-CN"/>
        </w:rPr>
        <w:t>单位</w:t>
      </w:r>
      <w:r>
        <w:t>预算收支安排</w:t>
      </w:r>
      <w:r>
        <w:rPr>
          <w:rFonts w:hint="eastAsia"/>
          <w:lang w:val="en-US" w:eastAsia="zh-CN"/>
        </w:rPr>
        <w:t>324.08</w:t>
      </w:r>
      <w:r>
        <w:t>万元，较202</w:t>
      </w:r>
      <w:r>
        <w:rPr>
          <w:rFonts w:hint="eastAsia"/>
          <w:lang w:val="en-US" w:eastAsia="zh-CN"/>
        </w:rPr>
        <w:t>1</w:t>
      </w:r>
      <w:r>
        <w:t>年</w:t>
      </w:r>
      <w:r>
        <w:rPr>
          <w:rFonts w:hint="eastAsia"/>
          <w:lang w:eastAsia="zh-CN"/>
        </w:rPr>
        <w:t>减少</w:t>
      </w:r>
      <w:r>
        <w:rPr>
          <w:rFonts w:hint="eastAsia"/>
          <w:lang w:val="en-US" w:eastAsia="zh-CN"/>
        </w:rPr>
        <w:t>108.34</w:t>
      </w:r>
      <w:r>
        <w:t>万元，其中：基本支出</w:t>
      </w:r>
      <w:r>
        <w:rPr>
          <w:rFonts w:hint="eastAsia"/>
          <w:lang w:eastAsia="zh-CN"/>
        </w:rPr>
        <w:t>减少</w:t>
      </w:r>
      <w:r>
        <w:rPr>
          <w:rFonts w:hint="eastAsia"/>
          <w:lang w:val="en-US" w:eastAsia="zh-CN"/>
        </w:rPr>
        <w:t>39.92</w:t>
      </w:r>
      <w:r>
        <w:t>万元，主要是人员</w:t>
      </w:r>
      <w:r>
        <w:rPr>
          <w:rFonts w:hint="eastAsia"/>
          <w:lang w:eastAsia="zh-CN"/>
        </w:rPr>
        <w:t>减少</w:t>
      </w:r>
      <w:r>
        <w:t>，相应</w:t>
      </w:r>
      <w:r>
        <w:rPr>
          <w:rFonts w:hint="eastAsia"/>
          <w:lang w:eastAsia="zh-CN"/>
        </w:rPr>
        <w:t>减少</w:t>
      </w:r>
      <w:r>
        <w:t>日常公用经费与人员经费；项目支出</w:t>
      </w:r>
      <w:r>
        <w:rPr>
          <w:rFonts w:hint="eastAsia"/>
          <w:lang w:eastAsia="zh-CN"/>
        </w:rPr>
        <w:t>减少</w:t>
      </w:r>
      <w:r>
        <w:rPr>
          <w:rFonts w:hint="eastAsia"/>
          <w:lang w:val="en-US" w:eastAsia="zh-CN"/>
        </w:rPr>
        <w:t>68.42</w:t>
      </w:r>
      <w:r>
        <w:t>万元，主要是</w:t>
      </w:r>
      <w:r>
        <w:rPr>
          <w:rFonts w:hint="eastAsia"/>
          <w:lang w:eastAsia="zh-CN"/>
        </w:rPr>
        <w:t>减少</w:t>
      </w:r>
      <w:r>
        <w:t>了项目资金；其他支出无增减变化。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r>
        <w:t> </w:t>
      </w:r>
    </w:p>
    <w:p>
      <w:pPr>
        <w:pStyle w:val="29"/>
      </w:pPr>
      <w:r>
        <w:t>2022年，我单位机关运行经费</w:t>
      </w:r>
      <w:r>
        <w:rPr>
          <w:rFonts w:hint="eastAsia"/>
          <w:lang w:val="en-US" w:eastAsia="zh-CN"/>
        </w:rPr>
        <w:t>23</w:t>
      </w:r>
      <w:bookmarkStart w:id="1" w:name="_GoBack"/>
      <w:bookmarkEnd w:id="1"/>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val="en-US" w:eastAsia="zh-CN"/>
        </w:rPr>
        <w:t>单位</w:t>
      </w:r>
      <w:r>
        <w:t>财政拨款“三公”经费预算安排0万元，其中：因公出国（境）费0元；公务用车购置及运维费</w:t>
      </w:r>
      <w:r>
        <w:rPr>
          <w:rFonts w:hint="eastAsia"/>
          <w:lang w:val="en-US" w:eastAsia="zh-CN"/>
        </w:rPr>
        <w:t>0</w:t>
      </w:r>
      <w:r>
        <w:t>万元（其中：公务用车购置费0万元，公务用车运行费</w:t>
      </w:r>
      <w:r>
        <w:rPr>
          <w:rFonts w:hint="eastAsia"/>
          <w:lang w:val="en-US" w:eastAsia="zh-CN"/>
        </w:rPr>
        <w:t>0</w:t>
      </w:r>
      <w:r>
        <w:t>万元)；公务接待费0万元，与2021年相比持平无增减变化。</w:t>
      </w:r>
      <w:r>
        <w:rPr>
          <w:rFonts w:hint="eastAsia"/>
        </w:rPr>
        <w:t>本年度与去年的“三公”经费</w:t>
      </w:r>
      <w:r>
        <w:rPr>
          <w:rFonts w:hint="eastAsia"/>
          <w:lang w:val="en-US" w:eastAsia="zh-CN"/>
        </w:rPr>
        <w:t>0</w:t>
      </w:r>
      <w:r>
        <w:rPr>
          <w:rFonts w:hint="eastAsia"/>
        </w:rPr>
        <w:t>万元，无其他费用</w:t>
      </w:r>
      <w:r>
        <w:rPr>
          <w:rFonts w:hint="eastAsia"/>
          <w:lang w:eastAsia="zh-CN"/>
        </w:rPr>
        <w:t>，主要原因是本单位无公务用车等情况。</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1.目标内容</w:t>
            </w:r>
            <w:r>
              <w:rPr>
                <w:rFonts w:hint="eastAsia"/>
                <w:lang w:eastAsia="zh-CN"/>
              </w:rPr>
              <w:t>：</w:t>
            </w:r>
            <w:r>
              <w:rPr>
                <w:rFonts w:hint="eastAsia"/>
                <w:lang w:val="en-US" w:eastAsia="zh-CN"/>
              </w:rPr>
              <w:t>开展扫黑除恶斗争，遏制形式犯罪高发，增强人民群众安全感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关于创建</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无黑</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省会</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加大保障力度</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r>
              <w:rPr>
                <w:rFonts w:ascii="方正书宋_GBK" w:hAnsi="方正书宋_GBK" w:eastAsia="方正书宋_GBK" w:cs="方正书宋_GBK"/>
                <w:sz w:val="21"/>
                <w:szCs w:val="24"/>
                <w:lang w:val="en-US" w:eastAsia="uk-UA" w:bidi="ar-SA"/>
              </w:rPr>
              <w:t>80</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保障政法机关办案</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w:t>
            </w:r>
            <w:r>
              <w:rPr>
                <w:rFonts w:hint="eastAsia" w:ascii="方正书宋_GBK" w:hAnsi="方正书宋_GBK" w:eastAsia="方正书宋_GBK" w:cs="方正书宋_GBK"/>
                <w:sz w:val="21"/>
                <w:szCs w:val="24"/>
                <w:lang w:val="en-US" w:eastAsia="zh-CN" w:bidi="ar-SA"/>
              </w:rPr>
              <w:t>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无黑</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省会平安石家庄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列入同级年度预算</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改善办案装备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2、2022社会治安综合治理专项经费绩效目标表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1.目标内容</w:t>
            </w:r>
            <w:r>
              <w:rPr>
                <w:rFonts w:hint="eastAsia"/>
                <w:lang w:eastAsia="zh-CN"/>
              </w:rPr>
              <w:t>：</w:t>
            </w:r>
            <w:r>
              <w:rPr>
                <w:rFonts w:hint="eastAsia"/>
                <w:lang w:val="en-US" w:eastAsia="zh-CN"/>
              </w:rPr>
              <w:t>促使社会稳定，减少重大恶性案件和多发性案件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处置的涉稳舆情数</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处置的涉稳舆情数占网络舆情比例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充分发挥各职能部门职能优势</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充分发挥各职能部门职能优势</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进行测评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每季度对各乡镇安全感满意度进行测评</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每季度对全县各派出所测评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每季度对全县各派出所安全感进行测评</w:t>
            </w:r>
          </w:p>
        </w:tc>
        <w:tc>
          <w:tcPr>
            <w:tcW w:w="2551" w:type="dxa"/>
            <w:vAlign w:val="center"/>
          </w:tcPr>
          <w:p>
            <w:pPr>
              <w:pStyle w:val="14"/>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每季度进行测评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每季度对全县政法部门窗口中层单位满意度进行测评</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3、2022维护稳定专项经费绩效目标表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w:t>
            </w:r>
            <w:r>
              <w:rPr>
                <w:rFonts w:hint="eastAsia"/>
                <w:lang w:val="en-US" w:eastAsia="zh-CN"/>
              </w:rPr>
              <w:t>;</w:t>
            </w:r>
            <w:r>
              <w:rPr>
                <w:rFonts w:hint="eastAsia"/>
                <w:lang w:eastAsia="zh-CN"/>
              </w:rPr>
              <w:t>确保社会秩序稳定，预防和处理安全事件，维护人民群众的生命财产安全。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4"/>
              <w:ind w:firstLine="0" w:firstLineChars="0"/>
            </w:pPr>
            <w:r>
              <w:rPr>
                <w:rFonts w:hint="eastAsia" w:ascii="方正书宋_GBK" w:eastAsia="方正书宋_GBK"/>
                <w:lang w:val="en-US" w:eastAsia="uk-U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4、2022严重精神障碍患者责任险绩效目标表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val="en-US" w:eastAsia="zh-CN"/>
              </w:rPr>
            </w:pPr>
            <w:r>
              <w:t>1.目标内容</w:t>
            </w:r>
            <w:r>
              <w:rPr>
                <w:rFonts w:hint="eastAsia"/>
                <w:lang w:val="en-US" w:eastAsia="zh-CN"/>
              </w:rPr>
              <w:t>;</w:t>
            </w:r>
            <w:r>
              <w:rPr>
                <w:rFonts w:hint="eastAsia"/>
                <w:lang w:eastAsia="zh-CN"/>
              </w:rPr>
              <w:t>缓解我县精神障碍患者家庭生活压力。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每人</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纳入考核内容</w:t>
            </w:r>
          </w:p>
        </w:tc>
        <w:tc>
          <w:tcPr>
            <w:tcW w:w="2551" w:type="dxa"/>
            <w:vAlign w:val="center"/>
          </w:tcPr>
          <w:p>
            <w:pPr>
              <w:pStyle w:val="14"/>
              <w:ind w:firstLine="0" w:firstLineChars="0"/>
            </w:pPr>
            <w:r>
              <w:rPr>
                <w:rFonts w:hint="eastAsia" w:ascii="方正书宋_GBK" w:eastAsia="方正书宋_GBK"/>
                <w:lang w:val="en-US" w:eastAsia="uk-U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期限一年</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每人</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纳入考核内容</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4"/>
              <w:ind w:firstLine="0" w:firstLineChars="0"/>
            </w:pPr>
            <w:r>
              <w:rPr>
                <w:rFonts w:hint="eastAsia" w:ascii="方正书宋_GBK" w:eastAsia="方正书宋_GBK"/>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2022年，中国共产党无极县委员会政法委本级安排政府采购预算0.00万元。具体内容见下表。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中国共产党无极县委员会政法委本级上年末固定资产金额为153.23万元（详见下表）。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55.33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354</w:t>
            </w:r>
          </w:p>
        </w:tc>
        <w:tc>
          <w:tcPr>
            <w:tcW w:w="2835" w:type="dxa"/>
            <w:vAlign w:val="center"/>
          </w:tcPr>
          <w:p>
            <w:pPr>
              <w:pStyle w:val="13"/>
            </w:pPr>
            <w:r>
              <w:t>97.90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964F54"/>
    <w:multiLevelType w:val="singleLevel"/>
    <w:tmpl w:val="E5964F54"/>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jNGU0ZTYyMjBmMGMzMTc4NzlhYzZhZGJjNTY3YmMifQ=="/>
  </w:docVars>
  <w:rsids>
    <w:rsidRoot w:val="00172A27"/>
    <w:rsid w:val="042734D4"/>
    <w:rsid w:val="0C1B3F99"/>
    <w:rsid w:val="0F195E03"/>
    <w:rsid w:val="11135C7F"/>
    <w:rsid w:val="12463B1D"/>
    <w:rsid w:val="1F77585F"/>
    <w:rsid w:val="1FDB6739"/>
    <w:rsid w:val="21052357"/>
    <w:rsid w:val="24D97E08"/>
    <w:rsid w:val="27505FDC"/>
    <w:rsid w:val="292A3A5B"/>
    <w:rsid w:val="300D41A5"/>
    <w:rsid w:val="32FE68BD"/>
    <w:rsid w:val="359F63E3"/>
    <w:rsid w:val="36AB1C34"/>
    <w:rsid w:val="39620060"/>
    <w:rsid w:val="3CFB35DE"/>
    <w:rsid w:val="3D264775"/>
    <w:rsid w:val="468B71AF"/>
    <w:rsid w:val="48315726"/>
    <w:rsid w:val="49FB7E01"/>
    <w:rsid w:val="4AF06EEC"/>
    <w:rsid w:val="4F485A5A"/>
    <w:rsid w:val="4FF75F7C"/>
    <w:rsid w:val="55984744"/>
    <w:rsid w:val="55A868BF"/>
    <w:rsid w:val="57D1517C"/>
    <w:rsid w:val="586B4F13"/>
    <w:rsid w:val="5E993947"/>
    <w:rsid w:val="63FA134E"/>
    <w:rsid w:val="6425067C"/>
    <w:rsid w:val="6E5218A5"/>
    <w:rsid w:val="705545EE"/>
    <w:rsid w:val="73D56AD9"/>
    <w:rsid w:val="741A7CE2"/>
    <w:rsid w:val="78837598"/>
    <w:rsid w:val="78AB3F3B"/>
    <w:rsid w:val="7B7E06AC"/>
    <w:rsid w:val="7BFD3595"/>
    <w:rsid w:val="7CDE33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2022-06-17T09:37:34Z</dcterms:created>
  <dcterms:modified xsi:type="dcterms:W3CDTF">2022-06-17T01:37:34Z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dade23d-d40b-4e7a-90dd-f4259ec936b8}">
  <ds:schemaRefs/>
</ds:datastoreItem>
</file>

<file path=customXml/itemProps10.xml><?xml version="1.0" encoding="utf-8"?>
<ds:datastoreItem xmlns:ds="http://schemas.openxmlformats.org/officeDocument/2006/customXml" ds:itemID="{413a55dd-12d2-4b2a-81b1-c43d3ff5959b}">
  <ds:schemaRefs/>
</ds:datastoreItem>
</file>

<file path=customXml/itemProps11.xml><?xml version="1.0" encoding="utf-8"?>
<ds:datastoreItem xmlns:ds="http://schemas.openxmlformats.org/officeDocument/2006/customXml" ds:itemID="{7c721687-309f-42b8-b5d9-34c985d71eb1}">
  <ds:schemaRefs/>
</ds:datastoreItem>
</file>

<file path=customXml/itemProps12.xml><?xml version="1.0" encoding="utf-8"?>
<ds:datastoreItem xmlns:ds="http://schemas.openxmlformats.org/officeDocument/2006/customXml" ds:itemID="{1307f003-cabb-499f-934d-5e6748a08f1e}">
  <ds:schemaRefs/>
</ds:datastoreItem>
</file>

<file path=customXml/itemProps13.xml><?xml version="1.0" encoding="utf-8"?>
<ds:datastoreItem xmlns:ds="http://schemas.openxmlformats.org/officeDocument/2006/customXml" ds:itemID="{53bbfe73-d8a2-438d-93cd-f097692fa223}">
  <ds:schemaRefs/>
</ds:datastoreItem>
</file>

<file path=customXml/itemProps14.xml><?xml version="1.0" encoding="utf-8"?>
<ds:datastoreItem xmlns:ds="http://schemas.openxmlformats.org/officeDocument/2006/customXml" ds:itemID="{804ef4a0-8be9-4b10-875d-b340defc3536}">
  <ds:schemaRefs/>
</ds:datastoreItem>
</file>

<file path=customXml/itemProps15.xml><?xml version="1.0" encoding="utf-8"?>
<ds:datastoreItem xmlns:ds="http://schemas.openxmlformats.org/officeDocument/2006/customXml" ds:itemID="{a0f1b09e-4aa3-4b94-851f-e5460ba9acdb}">
  <ds:schemaRefs/>
</ds:datastoreItem>
</file>

<file path=customXml/itemProps16.xml><?xml version="1.0" encoding="utf-8"?>
<ds:datastoreItem xmlns:ds="http://schemas.openxmlformats.org/officeDocument/2006/customXml" ds:itemID="{030518fe-c314-4f45-90ff-9cd7ec8661f9}">
  <ds:schemaRefs/>
</ds:datastoreItem>
</file>

<file path=customXml/itemProps17.xml><?xml version="1.0" encoding="utf-8"?>
<ds:datastoreItem xmlns:ds="http://schemas.openxmlformats.org/officeDocument/2006/customXml" ds:itemID="{3fa0220b-3b74-4a31-be1c-bf9984134329}">
  <ds:schemaRefs/>
</ds:datastoreItem>
</file>

<file path=customXml/itemProps18.xml><?xml version="1.0" encoding="utf-8"?>
<ds:datastoreItem xmlns:ds="http://schemas.openxmlformats.org/officeDocument/2006/customXml" ds:itemID="{1313ab51-3242-421d-a378-c6ebc49c0954}">
  <ds:schemaRefs/>
</ds:datastoreItem>
</file>

<file path=customXml/itemProps19.xml><?xml version="1.0" encoding="utf-8"?>
<ds:datastoreItem xmlns:ds="http://schemas.openxmlformats.org/officeDocument/2006/customXml" ds:itemID="{767b4986-8fd9-4ee8-bec7-a52bb34c1109}">
  <ds:schemaRefs/>
</ds:datastoreItem>
</file>

<file path=customXml/itemProps2.xml><?xml version="1.0" encoding="utf-8"?>
<ds:datastoreItem xmlns:ds="http://schemas.openxmlformats.org/officeDocument/2006/customXml" ds:itemID="{bc7e1089-dba0-4ee2-86e4-a6096f8697df}">
  <ds:schemaRefs/>
</ds:datastoreItem>
</file>

<file path=customXml/itemProps20.xml><?xml version="1.0" encoding="utf-8"?>
<ds:datastoreItem xmlns:ds="http://schemas.openxmlformats.org/officeDocument/2006/customXml" ds:itemID="{3856227a-c207-41db-bbad-f46abe25dee5}">
  <ds:schemaRefs/>
</ds:datastoreItem>
</file>

<file path=customXml/itemProps21.xml><?xml version="1.0" encoding="utf-8"?>
<ds:datastoreItem xmlns:ds="http://schemas.openxmlformats.org/officeDocument/2006/customXml" ds:itemID="{4001f16e-dc5b-4e36-adea-c6f19d3b401c}">
  <ds:schemaRefs/>
</ds:datastoreItem>
</file>

<file path=customXml/itemProps22.xml><?xml version="1.0" encoding="utf-8"?>
<ds:datastoreItem xmlns:ds="http://schemas.openxmlformats.org/officeDocument/2006/customXml" ds:itemID="{50a42a3e-eda4-4e51-ae8c-fc75cbadd3ae}">
  <ds:schemaRefs/>
</ds:datastoreItem>
</file>

<file path=customXml/itemProps23.xml><?xml version="1.0" encoding="utf-8"?>
<ds:datastoreItem xmlns:ds="http://schemas.openxmlformats.org/officeDocument/2006/customXml" ds:itemID="{fa53d541-473b-475f-a38f-648e7f82c790}">
  <ds:schemaRefs/>
</ds:datastoreItem>
</file>

<file path=customXml/itemProps24.xml><?xml version="1.0" encoding="utf-8"?>
<ds:datastoreItem xmlns:ds="http://schemas.openxmlformats.org/officeDocument/2006/customXml" ds:itemID="{a4260bd3-45d4-4806-9883-2b86080cb9e0}">
  <ds:schemaRefs/>
</ds:datastoreItem>
</file>

<file path=customXml/itemProps25.xml><?xml version="1.0" encoding="utf-8"?>
<ds:datastoreItem xmlns:ds="http://schemas.openxmlformats.org/officeDocument/2006/customXml" ds:itemID="{49c01689-0d51-4c47-a626-c0675820528d}">
  <ds:schemaRefs/>
</ds:datastoreItem>
</file>

<file path=customXml/itemProps26.xml><?xml version="1.0" encoding="utf-8"?>
<ds:datastoreItem xmlns:ds="http://schemas.openxmlformats.org/officeDocument/2006/customXml" ds:itemID="{e4291650-60ee-41bb-a28d-5a9ec7c8730e}">
  <ds:schemaRefs/>
</ds:datastoreItem>
</file>

<file path=customXml/itemProps3.xml><?xml version="1.0" encoding="utf-8"?>
<ds:datastoreItem xmlns:ds="http://schemas.openxmlformats.org/officeDocument/2006/customXml" ds:itemID="{d730a334-c7af-4261-89ee-790d69339f97}">
  <ds:schemaRefs/>
</ds:datastoreItem>
</file>

<file path=customXml/itemProps4.xml><?xml version="1.0" encoding="utf-8"?>
<ds:datastoreItem xmlns:ds="http://schemas.openxmlformats.org/officeDocument/2006/customXml" ds:itemID="{5cf81038-6fd0-4592-857e-b1157e436c7e}">
  <ds:schemaRefs/>
</ds:datastoreItem>
</file>

<file path=customXml/itemProps5.xml><?xml version="1.0" encoding="utf-8"?>
<ds:datastoreItem xmlns:ds="http://schemas.openxmlformats.org/officeDocument/2006/customXml" ds:itemID="{f51f412d-ba24-4338-8e5b-7ac19848861b}">
  <ds:schemaRefs/>
</ds:datastoreItem>
</file>

<file path=customXml/itemProps6.xml><?xml version="1.0" encoding="utf-8"?>
<ds:datastoreItem xmlns:ds="http://schemas.openxmlformats.org/officeDocument/2006/customXml" ds:itemID="{878b43eb-9a8b-47e8-a73b-8171ab0c1afd}">
  <ds:schemaRefs/>
</ds:datastoreItem>
</file>

<file path=customXml/itemProps7.xml><?xml version="1.0" encoding="utf-8"?>
<ds:datastoreItem xmlns:ds="http://schemas.openxmlformats.org/officeDocument/2006/customXml" ds:itemID="{4ddb2328-c4be-4c8a-b5a8-540b264ce999}">
  <ds:schemaRefs/>
</ds:datastoreItem>
</file>

<file path=customXml/itemProps8.xml><?xml version="1.0" encoding="utf-8"?>
<ds:datastoreItem xmlns:ds="http://schemas.openxmlformats.org/officeDocument/2006/customXml" ds:itemID="{f9145d71-b52b-4178-bcc7-94c36d74356e}">
  <ds:schemaRefs/>
</ds:datastoreItem>
</file>

<file path=customXml/itemProps9.xml><?xml version="1.0" encoding="utf-8"?>
<ds:datastoreItem xmlns:ds="http://schemas.openxmlformats.org/officeDocument/2006/customXml" ds:itemID="{3c112b1b-7baa-48d6-b769-b6e9292bd6ce}">
  <ds:schemaRefs/>
</ds:datastoreItem>
</file>

<file path=docProps/app.xml><?xml version="1.0" encoding="utf-8"?>
<Properties xmlns="http://schemas.openxmlformats.org/officeDocument/2006/extended-properties" xmlns:vt="http://schemas.openxmlformats.org/officeDocument/2006/docPropsVTypes">
  <Pages>32</Pages>
  <Words>7307</Words>
  <Characters>8492</Characters>
  <TotalTime>1</TotalTime>
  <ScaleCrop>false</ScaleCrop>
  <LinksUpToDate>false</LinksUpToDate>
  <CharactersWithSpaces>8626</CharactersWithSpaces>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2022-06-17T09:37:00Z</dcterms:created>
  <dc:creator>Administrator</dc:creator>
  <cp:lastModifiedBy>李润泽</cp:lastModifiedBy>
  <dcterms:modified xsi:type="dcterms:W3CDTF">2023-09-08T01:36:24Z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1F68180F7BC0484A8D576C028EAB47ED_13</vt:lpwstr>
  </property>
</Properties>
</file>