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eastAsia="宋体" w:cs="宋体"/>
          <w:b/>
          <w:bCs/>
          <w:sz w:val="44"/>
          <w:szCs w:val="44"/>
          <w:lang w:eastAsia="zh-CN"/>
        </w:rPr>
      </w:pPr>
      <w:r>
        <w:rPr>
          <w:rFonts w:hint="eastAsia" w:ascii="宋体" w:hAnsi="宋体" w:cs="宋体"/>
          <w:b/>
          <w:bCs/>
          <w:sz w:val="44"/>
          <w:szCs w:val="44"/>
        </w:rPr>
        <w:t>无极县</w:t>
      </w:r>
      <w:bookmarkStart w:id="0" w:name="_GoBack"/>
      <w:bookmarkEnd w:id="0"/>
      <w:r>
        <w:rPr>
          <w:rFonts w:hint="eastAsia" w:ascii="宋体" w:hAnsi="宋体" w:cs="宋体"/>
          <w:b/>
          <w:bCs/>
          <w:sz w:val="44"/>
          <w:szCs w:val="44"/>
          <w:lang w:eastAsia="zh-CN"/>
        </w:rPr>
        <w:t>人大常委会办公室</w:t>
      </w:r>
    </w:p>
    <w:p>
      <w:pPr>
        <w:jc w:val="center"/>
        <w:rPr>
          <w:rFonts w:ascii="宋体" w:cs="宋体"/>
          <w:b/>
          <w:bCs/>
          <w:sz w:val="44"/>
          <w:szCs w:val="44"/>
        </w:rPr>
      </w:pPr>
      <w:r>
        <w:rPr>
          <w:rFonts w:ascii="宋体" w:hAnsi="宋体" w:cs="宋体"/>
          <w:b/>
          <w:bCs/>
          <w:sz w:val="44"/>
          <w:szCs w:val="44"/>
        </w:rPr>
        <w:t>201</w:t>
      </w:r>
      <w:r>
        <w:rPr>
          <w:rFonts w:hint="eastAsia" w:ascii="宋体" w:hAnsi="宋体" w:cs="宋体"/>
          <w:b/>
          <w:bCs/>
          <w:sz w:val="44"/>
          <w:szCs w:val="44"/>
        </w:rPr>
        <w:t>8年部门预算信息公开说明目录</w:t>
      </w:r>
    </w:p>
    <w:p/>
    <w:p/>
    <w:p>
      <w:pPr>
        <w:ind w:firstLine="640" w:firstLineChars="200"/>
        <w:rPr>
          <w:rFonts w:asci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sz w:val="32"/>
          <w:szCs w:val="32"/>
        </w:rPr>
      </w:pPr>
      <w:r>
        <w:rPr>
          <w:rFonts w:hint="eastAsia" w:ascii="宋体" w:hAnsi="宋体" w:cs="仿宋_GB2312"/>
          <w:sz w:val="32"/>
          <w:szCs w:val="32"/>
        </w:rPr>
        <w:t>九、其他需要说明的事项</w:t>
      </w:r>
    </w:p>
    <w:p/>
    <w:p>
      <w:pPr>
        <w:ind w:firstLine="640" w:firstLineChars="200"/>
        <w:rPr>
          <w:rFonts w:ascii="??" w:hAnsi="??" w:cs="??"/>
          <w:sz w:val="32"/>
          <w:szCs w:val="32"/>
        </w:rPr>
      </w:pPr>
      <w:r>
        <w:rPr>
          <w:rFonts w:hint="eastAsia" w:ascii="仿宋" w:hAnsi="仿宋" w:eastAsia="仿宋" w:cs="宋体"/>
          <w:sz w:val="32"/>
          <w:szCs w:val="32"/>
        </w:rPr>
        <w:t>按照《预算法》、《地方预决算公开操作规程》和《河北省省级预算公开办法》规定，现将无极县人大办</w:t>
      </w:r>
      <w:r>
        <w:rPr>
          <w:rFonts w:ascii="仿宋" w:hAnsi="仿宋" w:eastAsia="仿宋" w:cs="??"/>
          <w:sz w:val="32"/>
          <w:szCs w:val="32"/>
        </w:rPr>
        <w:t>201</w:t>
      </w:r>
      <w:r>
        <w:rPr>
          <w:rFonts w:hint="eastAsia" w:ascii="仿宋" w:hAnsi="仿宋" w:eastAsia="仿宋" w:cs="??"/>
          <w:sz w:val="32"/>
          <w:szCs w:val="32"/>
        </w:rPr>
        <w:t>8</w:t>
      </w:r>
      <w:r>
        <w:rPr>
          <w:rFonts w:hint="eastAsia" w:ascii="仿宋" w:hAnsi="仿宋" w:eastAsia="仿宋" w:cs="宋体"/>
          <w:sz w:val="32"/>
          <w:szCs w:val="32"/>
        </w:rPr>
        <w:t>年部门预算公开如下</w:t>
      </w:r>
      <w:r>
        <w:rPr>
          <w:rFonts w:hint="eastAsia" w:ascii="宋体" w:hAnsi="宋体" w:cs="宋体"/>
          <w:sz w:val="32"/>
          <w:szCs w:val="32"/>
        </w:rPr>
        <w:t>：</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640" w:firstLineChars="200"/>
        <w:rPr>
          <w:rFonts w:ascii="??" w:hAnsi="??" w:cs="仿宋_GB2312"/>
          <w:sz w:val="32"/>
          <w:szCs w:val="32"/>
        </w:rPr>
      </w:pPr>
      <w:r>
        <w:rPr>
          <w:rFonts w:hint="eastAsia" w:ascii="仿宋" w:hAnsi="仿宋" w:eastAsia="仿宋" w:cs="宋体"/>
          <w:sz w:val="32"/>
          <w:szCs w:val="32"/>
        </w:rPr>
        <w:t>根据宪法和地方组织法的规定，县级人民代表大会是地方国家权力机关，主要职能是在本行政区域内，保证宪法、法律行政法规和上级人大及其常委会决议的遵守和执行，保证国家计划和国家预算的执行；审查和批准本行政区域内国民经济和社会发展计划、预算以及它们执行情况的报告；讨论决定本行政区域内的重大事项；选举本级人大常委会的组成人员和一府两院国家机关组成人员，并组织人大代表开展视察、调查、执法检查、评议等活动，充分发扬社会主义民主，反映社会各界意见，促进一府两院工作开展。</w:t>
      </w:r>
    </w:p>
    <w:p>
      <w:pPr>
        <w:numPr>
          <w:ilvl w:val="0"/>
          <w:numId w:val="1"/>
        </w:numPr>
        <w:ind w:firstLine="645"/>
        <w:rPr>
          <w:rFonts w:ascii="楷体" w:hAnsi="楷体" w:eastAsia="楷体" w:cs="仿宋_GB2312"/>
          <w:sz w:val="32"/>
          <w:szCs w:val="32"/>
        </w:rPr>
      </w:pPr>
      <w:r>
        <w:rPr>
          <w:rFonts w:hint="eastAsia" w:ascii="楷体" w:hAnsi="楷体" w:eastAsia="楷体" w:cs="仿宋_GB2312"/>
          <w:sz w:val="32"/>
          <w:szCs w:val="32"/>
        </w:rPr>
        <w:t>机构设置</w:t>
      </w:r>
    </w:p>
    <w:p>
      <w:pPr>
        <w:jc w:val="center"/>
        <w:outlineLvl w:val="0"/>
        <w:rPr>
          <w:rFonts w:ascii="宋体" w:hAnsi="宋体" w:cs="宋体"/>
          <w:b/>
          <w:bCs/>
          <w:sz w:val="32"/>
          <w:szCs w:val="32"/>
        </w:rPr>
      </w:pPr>
    </w:p>
    <w:p>
      <w:pPr>
        <w:jc w:val="center"/>
        <w:outlineLvl w:val="0"/>
        <w:rPr>
          <w:rFonts w:ascii="宋体" w:hAnsi="宋体" w:cs="宋体"/>
          <w:b/>
          <w:bCs/>
          <w:sz w:val="32"/>
          <w:szCs w:val="32"/>
        </w:rPr>
      </w:pPr>
    </w:p>
    <w:p>
      <w:pPr>
        <w:jc w:val="center"/>
        <w:outlineLvl w:val="0"/>
        <w:rPr>
          <w:rFonts w:ascii="??" w:hAnsi="??" w:cs="??"/>
          <w:bCs/>
          <w:sz w:val="32"/>
          <w:szCs w:val="32"/>
        </w:rPr>
      </w:pPr>
      <w:r>
        <w:rPr>
          <w:rFonts w:hint="eastAsia" w:ascii="宋体" w:hAnsi="宋体" w:cs="宋体"/>
          <w:bCs/>
          <w:sz w:val="32"/>
          <w:szCs w:val="32"/>
        </w:rPr>
        <w:t>部门机构设置情况</w:t>
      </w:r>
    </w:p>
    <w:tbl>
      <w:tblPr>
        <w:tblStyle w:val="4"/>
        <w:tblW w:w="1179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81"/>
        <w:gridCol w:w="1417"/>
        <w:gridCol w:w="1276"/>
        <w:gridCol w:w="47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4381" w:type="dxa"/>
            <w:vMerge w:val="restart"/>
            <w:vAlign w:val="center"/>
          </w:tcPr>
          <w:p>
            <w:pPr>
              <w:spacing w:line="300" w:lineRule="exact"/>
              <w:jc w:val="center"/>
              <w:rPr>
                <w:rFonts w:ascii="方正书宋_GBK" w:eastAsia="方正书宋_GBK"/>
                <w:b/>
                <w:sz w:val="24"/>
              </w:rPr>
            </w:pPr>
            <w:r>
              <w:rPr>
                <w:rFonts w:hint="eastAsia" w:ascii="方正书宋_GBK" w:eastAsia="方正书宋_GBK"/>
                <w:b/>
                <w:sz w:val="24"/>
              </w:rPr>
              <w:t>单位名称</w:t>
            </w:r>
          </w:p>
        </w:tc>
        <w:tc>
          <w:tcPr>
            <w:tcW w:w="1417" w:type="dxa"/>
            <w:vMerge w:val="restart"/>
            <w:vAlign w:val="center"/>
          </w:tcPr>
          <w:p>
            <w:pPr>
              <w:spacing w:line="300" w:lineRule="exact"/>
              <w:jc w:val="center"/>
              <w:rPr>
                <w:rFonts w:ascii="方正书宋_GBK" w:eastAsia="方正书宋_GBK"/>
                <w:b/>
                <w:sz w:val="24"/>
              </w:rPr>
            </w:pPr>
            <w:r>
              <w:rPr>
                <w:rFonts w:hint="eastAsia" w:ascii="方正书宋_GBK" w:eastAsia="方正书宋_GBK"/>
                <w:b/>
                <w:sz w:val="24"/>
              </w:rPr>
              <w:t>单位性质</w:t>
            </w:r>
          </w:p>
        </w:tc>
        <w:tc>
          <w:tcPr>
            <w:tcW w:w="1276" w:type="dxa"/>
            <w:vMerge w:val="restart"/>
            <w:vAlign w:val="center"/>
          </w:tcPr>
          <w:p>
            <w:pPr>
              <w:spacing w:line="300" w:lineRule="exact"/>
              <w:jc w:val="center"/>
              <w:rPr>
                <w:rFonts w:ascii="方正书宋_GBK" w:eastAsia="方正书宋_GBK"/>
                <w:b/>
                <w:sz w:val="24"/>
              </w:rPr>
            </w:pPr>
            <w:r>
              <w:rPr>
                <w:rFonts w:hint="eastAsia" w:ascii="方正书宋_GBK" w:eastAsia="方正书宋_GBK"/>
                <w:b/>
                <w:sz w:val="24"/>
              </w:rPr>
              <w:t>单位规格</w:t>
            </w:r>
          </w:p>
        </w:tc>
        <w:tc>
          <w:tcPr>
            <w:tcW w:w="4717" w:type="dxa"/>
            <w:vMerge w:val="restart"/>
            <w:vAlign w:val="center"/>
          </w:tcPr>
          <w:p>
            <w:pPr>
              <w:spacing w:line="300" w:lineRule="exact"/>
              <w:jc w:val="center"/>
              <w:rPr>
                <w:rFonts w:ascii="方正书宋_GBK" w:eastAsia="方正书宋_GBK"/>
                <w:b/>
                <w:sz w:val="24"/>
              </w:rPr>
            </w:pPr>
            <w:r>
              <w:rPr>
                <w:rFonts w:hint="eastAsia" w:ascii="方正书宋_GBK" w:eastAsia="方正书宋_GBK"/>
                <w:b/>
                <w:sz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4381" w:type="dxa"/>
            <w:vMerge w:val="continue"/>
            <w:vAlign w:val="center"/>
          </w:tcPr>
          <w:p>
            <w:pPr>
              <w:spacing w:line="300" w:lineRule="exact"/>
              <w:jc w:val="left"/>
              <w:outlineLvl w:val="0"/>
              <w:rPr>
                <w:sz w:val="24"/>
              </w:rPr>
            </w:pPr>
          </w:p>
        </w:tc>
        <w:tc>
          <w:tcPr>
            <w:tcW w:w="1417" w:type="dxa"/>
            <w:vMerge w:val="continue"/>
            <w:vAlign w:val="center"/>
          </w:tcPr>
          <w:p>
            <w:pPr>
              <w:spacing w:line="300" w:lineRule="exact"/>
              <w:jc w:val="left"/>
              <w:outlineLvl w:val="0"/>
              <w:rPr>
                <w:sz w:val="24"/>
              </w:rPr>
            </w:pPr>
          </w:p>
        </w:tc>
        <w:tc>
          <w:tcPr>
            <w:tcW w:w="1276" w:type="dxa"/>
            <w:vMerge w:val="continue"/>
            <w:vAlign w:val="center"/>
          </w:tcPr>
          <w:p>
            <w:pPr>
              <w:spacing w:line="300" w:lineRule="exact"/>
              <w:jc w:val="left"/>
              <w:outlineLvl w:val="0"/>
              <w:rPr>
                <w:sz w:val="24"/>
              </w:rPr>
            </w:pPr>
          </w:p>
        </w:tc>
        <w:tc>
          <w:tcPr>
            <w:tcW w:w="4717" w:type="dxa"/>
            <w:vMerge w:val="continue"/>
            <w:vAlign w:val="center"/>
          </w:tcPr>
          <w:p>
            <w:pPr>
              <w:spacing w:line="300" w:lineRule="exact"/>
              <w:jc w:val="left"/>
              <w:outlineLvl w:val="0"/>
              <w:rPr>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0" w:hRule="atLeast"/>
          <w:jc w:val="center"/>
        </w:trPr>
        <w:tc>
          <w:tcPr>
            <w:tcW w:w="4381" w:type="dxa"/>
            <w:vAlign w:val="center"/>
          </w:tcPr>
          <w:p>
            <w:pPr>
              <w:spacing w:line="300" w:lineRule="exact"/>
              <w:jc w:val="left"/>
              <w:rPr>
                <w:rFonts w:ascii="方正书宋_GBK" w:eastAsia="方正书宋_GBK"/>
                <w:sz w:val="24"/>
              </w:rPr>
            </w:pPr>
            <w:r>
              <w:rPr>
                <w:rFonts w:hint="eastAsia" w:ascii="方正书宋_GBK" w:eastAsia="方正书宋_GBK"/>
                <w:sz w:val="24"/>
              </w:rPr>
              <w:t>无极县人民代表大会常务委员会办公室</w:t>
            </w:r>
          </w:p>
        </w:tc>
        <w:tc>
          <w:tcPr>
            <w:tcW w:w="1417" w:type="dxa"/>
            <w:vAlign w:val="center"/>
          </w:tcPr>
          <w:p>
            <w:pPr>
              <w:spacing w:line="300" w:lineRule="exact"/>
              <w:jc w:val="center"/>
              <w:rPr>
                <w:rFonts w:ascii="方正书宋_GBK" w:eastAsia="方正书宋_GBK"/>
                <w:sz w:val="24"/>
              </w:rPr>
            </w:pPr>
            <w:r>
              <w:rPr>
                <w:rFonts w:hint="eastAsia" w:ascii="方正书宋_GBK" w:eastAsia="方正书宋_GBK"/>
                <w:sz w:val="24"/>
              </w:rPr>
              <w:t>行政</w:t>
            </w:r>
          </w:p>
        </w:tc>
        <w:tc>
          <w:tcPr>
            <w:tcW w:w="1276" w:type="dxa"/>
            <w:vAlign w:val="center"/>
          </w:tcPr>
          <w:p>
            <w:pPr>
              <w:spacing w:line="300" w:lineRule="exact"/>
              <w:jc w:val="center"/>
              <w:rPr>
                <w:rFonts w:ascii="方正书宋_GBK" w:eastAsia="方正书宋_GBK"/>
                <w:sz w:val="24"/>
              </w:rPr>
            </w:pPr>
            <w:r>
              <w:rPr>
                <w:rFonts w:hint="eastAsia" w:ascii="方正书宋_GBK" w:eastAsia="方正书宋_GBK"/>
                <w:sz w:val="24"/>
              </w:rPr>
              <w:t>正</w:t>
            </w:r>
            <w:r>
              <w:rPr>
                <w:rFonts w:hint="eastAsia" w:ascii="方正书宋_GBK"/>
                <w:sz w:val="24"/>
              </w:rPr>
              <w:t>科</w:t>
            </w:r>
            <w:r>
              <w:rPr>
                <w:rFonts w:hint="eastAsia" w:ascii="方正书宋_GBK" w:eastAsia="方正书宋_GBK"/>
                <w:sz w:val="24"/>
              </w:rPr>
              <w:t>级</w:t>
            </w:r>
          </w:p>
        </w:tc>
        <w:tc>
          <w:tcPr>
            <w:tcW w:w="4717" w:type="dxa"/>
            <w:vAlign w:val="center"/>
          </w:tcPr>
          <w:p>
            <w:pPr>
              <w:spacing w:line="300" w:lineRule="exact"/>
              <w:jc w:val="center"/>
              <w:rPr>
                <w:rFonts w:ascii="方正书宋_GBK" w:eastAsia="方正书宋_GBK"/>
                <w:sz w:val="24"/>
              </w:rPr>
            </w:pPr>
            <w:r>
              <w:rPr>
                <w:rFonts w:hint="eastAsia" w:ascii="方正书宋_GBK" w:eastAsia="方正书宋_GBK"/>
                <w:sz w:val="24"/>
              </w:rPr>
              <w:t>财政拨款</w:t>
            </w:r>
          </w:p>
        </w:tc>
      </w:tr>
    </w:tbl>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仿宋" w:hAnsi="仿宋" w:eastAsia="仿宋" w:cs="仿宋_GB2312"/>
          <w:sz w:val="32"/>
          <w:szCs w:val="32"/>
        </w:rPr>
      </w:pPr>
      <w:r>
        <w:rPr>
          <w:rFonts w:hint="eastAsia" w:ascii="仿宋" w:hAnsi="仿宋" w:eastAsia="仿宋" w:cs="宋体"/>
          <w:sz w:val="32"/>
          <w:szCs w:val="32"/>
        </w:rPr>
        <w:t>按照预算管理有关规定，目前我县部门预算的编制实行综合预算制度，即全部收入和支出都反映在预算里，我部门及所属单位所有收支都包含在部门预算中</w:t>
      </w:r>
      <w:r>
        <w:rPr>
          <w:rFonts w:hint="eastAsia" w:ascii="仿宋" w:hAnsi="仿宋" w:eastAsia="仿宋" w:cs="仿宋_GB2312"/>
          <w:sz w:val="32"/>
          <w:szCs w:val="32"/>
        </w:rPr>
        <w:t>。</w:t>
      </w:r>
    </w:p>
    <w:p>
      <w:pPr>
        <w:numPr>
          <w:ilvl w:val="0"/>
          <w:numId w:val="2"/>
        </w:numPr>
        <w:ind w:firstLine="640" w:firstLineChars="200"/>
        <w:rPr>
          <w:rFonts w:ascii="楷体" w:hAnsi="楷体" w:eastAsia="楷体" w:cs="仿宋_GB2312"/>
          <w:sz w:val="32"/>
          <w:szCs w:val="32"/>
        </w:rPr>
      </w:pPr>
      <w:r>
        <w:rPr>
          <w:rFonts w:hint="eastAsia" w:ascii="楷体" w:hAnsi="楷体" w:eastAsia="楷体" w:cs="仿宋_GB2312"/>
          <w:sz w:val="32"/>
          <w:szCs w:val="32"/>
        </w:rPr>
        <w:t>收入说明</w:t>
      </w:r>
    </w:p>
    <w:p>
      <w:pPr>
        <w:adjustRightInd w:val="0"/>
        <w:snapToGrid w:val="0"/>
        <w:spacing w:line="600" w:lineRule="exact"/>
        <w:ind w:firstLine="640" w:firstLineChars="200"/>
        <w:jc w:val="left"/>
        <w:rPr>
          <w:rFonts w:ascii="仿宋" w:hAnsi="仿宋" w:eastAsia="仿宋" w:cs="??"/>
          <w:sz w:val="30"/>
          <w:szCs w:val="30"/>
        </w:rPr>
      </w:pPr>
      <w:r>
        <w:rPr>
          <w:rFonts w:hint="eastAsia" w:ascii="仿宋" w:hAnsi="仿宋" w:eastAsia="仿宋" w:cs="宋体"/>
          <w:bCs/>
          <w:sz w:val="32"/>
          <w:szCs w:val="32"/>
        </w:rPr>
        <w:t>无极县人大常委会</w:t>
      </w:r>
      <w:r>
        <w:rPr>
          <w:rFonts w:ascii="仿宋" w:hAnsi="仿宋" w:eastAsia="仿宋" w:cs="??"/>
          <w:bCs/>
          <w:sz w:val="32"/>
          <w:szCs w:val="32"/>
        </w:rPr>
        <w:t>201</w:t>
      </w:r>
      <w:r>
        <w:rPr>
          <w:rFonts w:hint="eastAsia" w:ascii="仿宋" w:hAnsi="仿宋" w:eastAsia="仿宋" w:cs="??"/>
          <w:bCs/>
          <w:sz w:val="32"/>
          <w:szCs w:val="32"/>
        </w:rPr>
        <w:t>8</w:t>
      </w:r>
      <w:r>
        <w:rPr>
          <w:rFonts w:hint="eastAsia" w:ascii="仿宋" w:hAnsi="仿宋" w:eastAsia="仿宋" w:cs="宋体"/>
          <w:bCs/>
          <w:sz w:val="32"/>
          <w:szCs w:val="32"/>
        </w:rPr>
        <w:t>年预算收入总计</w:t>
      </w:r>
      <w:r>
        <w:rPr>
          <w:rFonts w:hint="eastAsia" w:ascii="仿宋" w:hAnsi="仿宋" w:eastAsia="仿宋" w:cs="??"/>
          <w:bCs/>
          <w:sz w:val="32"/>
          <w:szCs w:val="32"/>
        </w:rPr>
        <w:t>445.31</w:t>
      </w:r>
      <w:r>
        <w:rPr>
          <w:rFonts w:hint="eastAsia" w:ascii="仿宋" w:hAnsi="仿宋" w:eastAsia="仿宋" w:cs="宋体"/>
          <w:bCs/>
          <w:sz w:val="32"/>
          <w:szCs w:val="32"/>
        </w:rPr>
        <w:t>万元。其中，一般公共预算收入</w:t>
      </w:r>
      <w:r>
        <w:rPr>
          <w:rFonts w:hint="eastAsia" w:ascii="仿宋" w:hAnsi="仿宋" w:eastAsia="仿宋" w:cs="??"/>
          <w:bCs/>
          <w:sz w:val="32"/>
          <w:szCs w:val="32"/>
        </w:rPr>
        <w:t>445.31</w:t>
      </w:r>
      <w:r>
        <w:rPr>
          <w:rFonts w:hint="eastAsia" w:ascii="仿宋" w:hAnsi="仿宋" w:eastAsia="仿宋" w:cs="宋体"/>
          <w:bCs/>
          <w:sz w:val="32"/>
          <w:szCs w:val="32"/>
        </w:rPr>
        <w:t>万元、政府性基金收入</w:t>
      </w:r>
      <w:r>
        <w:rPr>
          <w:rFonts w:ascii="仿宋" w:hAnsi="仿宋" w:eastAsia="仿宋" w:cs="??"/>
          <w:bCs/>
          <w:sz w:val="32"/>
          <w:szCs w:val="32"/>
        </w:rPr>
        <w:t>0</w:t>
      </w:r>
      <w:r>
        <w:rPr>
          <w:rFonts w:hint="eastAsia" w:ascii="仿宋" w:hAnsi="仿宋" w:eastAsia="仿宋" w:cs="宋体"/>
          <w:bCs/>
          <w:sz w:val="32"/>
          <w:szCs w:val="32"/>
        </w:rPr>
        <w:t>万元、财政专户核拨收入</w:t>
      </w:r>
      <w:r>
        <w:rPr>
          <w:rFonts w:ascii="仿宋" w:hAnsi="仿宋" w:eastAsia="仿宋" w:cs="??"/>
          <w:bCs/>
          <w:sz w:val="32"/>
          <w:szCs w:val="32"/>
        </w:rPr>
        <w:t>0</w:t>
      </w:r>
      <w:r>
        <w:rPr>
          <w:rFonts w:hint="eastAsia" w:ascii="仿宋" w:hAnsi="仿宋" w:eastAsia="仿宋" w:cs="宋体"/>
          <w:bCs/>
          <w:sz w:val="32"/>
          <w:szCs w:val="32"/>
        </w:rPr>
        <w:t>万元，其他来源收入</w:t>
      </w:r>
      <w:r>
        <w:rPr>
          <w:rFonts w:ascii="仿宋" w:hAnsi="仿宋" w:eastAsia="仿宋" w:cs="??"/>
          <w:bCs/>
          <w:sz w:val="32"/>
          <w:szCs w:val="32"/>
        </w:rPr>
        <w:t>0</w:t>
      </w:r>
      <w:r>
        <w:rPr>
          <w:rFonts w:hint="eastAsia" w:ascii="仿宋" w:hAnsi="仿宋" w:eastAsia="仿宋" w:cs="宋体"/>
          <w:bCs/>
          <w:sz w:val="32"/>
          <w:szCs w:val="32"/>
        </w:rPr>
        <w:t>万元。</w:t>
      </w:r>
    </w:p>
    <w:p>
      <w:pPr>
        <w:numPr>
          <w:ilvl w:val="0"/>
          <w:numId w:val="2"/>
        </w:numPr>
        <w:adjustRightInd w:val="0"/>
        <w:snapToGrid w:val="0"/>
        <w:spacing w:line="600" w:lineRule="exact"/>
        <w:ind w:firstLine="640" w:firstLineChars="200"/>
        <w:jc w:val="left"/>
        <w:rPr>
          <w:rFonts w:ascii="楷体" w:hAnsi="楷体" w:eastAsia="楷体"/>
          <w:sz w:val="32"/>
          <w:szCs w:val="32"/>
        </w:rPr>
      </w:pPr>
      <w:r>
        <w:rPr>
          <w:rFonts w:hint="eastAsia" w:ascii="楷体" w:hAnsi="楷体" w:eastAsia="楷体"/>
          <w:sz w:val="32"/>
          <w:szCs w:val="32"/>
        </w:rPr>
        <w:t>支出说明</w:t>
      </w:r>
    </w:p>
    <w:p>
      <w:pPr>
        <w:adjustRightInd w:val="0"/>
        <w:snapToGrid w:val="0"/>
        <w:spacing w:line="600" w:lineRule="exact"/>
        <w:ind w:firstLine="732" w:firstLineChars="229"/>
        <w:jc w:val="left"/>
        <w:rPr>
          <w:rFonts w:ascii="??" w:hAnsi="??" w:cs="??"/>
          <w:sz w:val="32"/>
          <w:szCs w:val="32"/>
        </w:rPr>
      </w:pPr>
      <w:r>
        <w:rPr>
          <w:rFonts w:hint="eastAsia" w:ascii="仿宋" w:hAnsi="仿宋" w:eastAsia="仿宋" w:cs="??"/>
          <w:bCs/>
          <w:sz w:val="32"/>
          <w:szCs w:val="32"/>
        </w:rPr>
        <w:t>2018</w:t>
      </w:r>
      <w:r>
        <w:rPr>
          <w:rFonts w:hint="eastAsia" w:ascii="仿宋" w:hAnsi="仿宋" w:eastAsia="仿宋" w:cs="宋体"/>
          <w:bCs/>
          <w:sz w:val="32"/>
          <w:szCs w:val="32"/>
        </w:rPr>
        <w:t>年预算支出</w:t>
      </w:r>
      <w:r>
        <w:rPr>
          <w:rFonts w:hint="eastAsia" w:ascii="仿宋" w:hAnsi="仿宋" w:eastAsia="仿宋" w:cs="??"/>
          <w:bCs/>
          <w:sz w:val="32"/>
          <w:szCs w:val="32"/>
        </w:rPr>
        <w:t>445.31</w:t>
      </w:r>
      <w:r>
        <w:rPr>
          <w:rFonts w:hint="eastAsia" w:ascii="仿宋" w:hAnsi="仿宋" w:eastAsia="仿宋" w:cs="宋体"/>
          <w:bCs/>
          <w:sz w:val="32"/>
          <w:szCs w:val="32"/>
        </w:rPr>
        <w:t>万元。其中，人员经费支出</w:t>
      </w:r>
      <w:r>
        <w:rPr>
          <w:rFonts w:hint="eastAsia" w:ascii="仿宋" w:hAnsi="仿宋" w:eastAsia="仿宋" w:cs="??"/>
          <w:bCs/>
          <w:sz w:val="32"/>
          <w:szCs w:val="32"/>
        </w:rPr>
        <w:t>323.42</w:t>
      </w:r>
      <w:r>
        <w:rPr>
          <w:rFonts w:hint="eastAsia" w:ascii="仿宋" w:hAnsi="仿宋" w:eastAsia="仿宋" w:cs="宋体"/>
          <w:bCs/>
          <w:sz w:val="32"/>
          <w:szCs w:val="32"/>
        </w:rPr>
        <w:t>万元，正常公用经费</w:t>
      </w:r>
      <w:r>
        <w:rPr>
          <w:rFonts w:hint="eastAsia" w:ascii="仿宋" w:hAnsi="仿宋" w:eastAsia="仿宋" w:cs="??"/>
          <w:bCs/>
          <w:sz w:val="32"/>
          <w:szCs w:val="32"/>
        </w:rPr>
        <w:t>76.89</w:t>
      </w:r>
      <w:r>
        <w:rPr>
          <w:rFonts w:hint="eastAsia" w:ascii="仿宋" w:hAnsi="仿宋" w:eastAsia="仿宋" w:cs="宋体"/>
          <w:bCs/>
          <w:sz w:val="32"/>
          <w:szCs w:val="32"/>
        </w:rPr>
        <w:t>万元，项目支出</w:t>
      </w:r>
      <w:r>
        <w:rPr>
          <w:rFonts w:ascii="仿宋" w:hAnsi="仿宋" w:eastAsia="仿宋" w:cs="??"/>
          <w:bCs/>
          <w:sz w:val="32"/>
          <w:szCs w:val="32"/>
        </w:rPr>
        <w:t>45</w:t>
      </w:r>
      <w:r>
        <w:rPr>
          <w:rFonts w:hint="eastAsia" w:ascii="仿宋" w:hAnsi="仿宋" w:eastAsia="仿宋" w:cs="宋体"/>
          <w:bCs/>
          <w:sz w:val="32"/>
          <w:szCs w:val="32"/>
        </w:rPr>
        <w:t>万元</w:t>
      </w:r>
      <w:r>
        <w:rPr>
          <w:rFonts w:hint="eastAsia" w:ascii="宋体" w:hAnsi="宋体" w:cs="宋体"/>
          <w:bCs/>
          <w:sz w:val="32"/>
          <w:szCs w:val="32"/>
        </w:rPr>
        <w:t>。</w:t>
      </w:r>
    </w:p>
    <w:p>
      <w:pPr>
        <w:numPr>
          <w:ilvl w:val="0"/>
          <w:numId w:val="2"/>
        </w:numPr>
        <w:ind w:firstLine="640" w:firstLineChars="200"/>
        <w:rPr>
          <w:rFonts w:ascii="楷体" w:hAnsi="楷体" w:eastAsia="楷体"/>
          <w:sz w:val="32"/>
          <w:szCs w:val="32"/>
        </w:rPr>
      </w:pPr>
      <w:r>
        <w:rPr>
          <w:rFonts w:hint="eastAsia" w:ascii="楷体" w:hAnsi="楷体" w:eastAsia="楷体"/>
          <w:sz w:val="32"/>
          <w:szCs w:val="32"/>
        </w:rPr>
        <w:t>比上年增减情况</w:t>
      </w:r>
    </w:p>
    <w:p>
      <w:pPr>
        <w:adjustRightInd w:val="0"/>
        <w:snapToGrid w:val="0"/>
        <w:spacing w:line="600" w:lineRule="exact"/>
        <w:ind w:firstLine="640" w:firstLineChars="200"/>
        <w:jc w:val="left"/>
        <w:rPr>
          <w:rFonts w:ascii="仿宋" w:hAnsi="仿宋" w:eastAsia="仿宋" w:cs="??"/>
          <w:sz w:val="30"/>
          <w:szCs w:val="30"/>
        </w:rPr>
      </w:pPr>
      <w:r>
        <w:rPr>
          <w:rFonts w:hint="eastAsia" w:ascii="仿宋" w:hAnsi="仿宋" w:eastAsia="仿宋" w:cs="宋体"/>
          <w:bCs/>
          <w:sz w:val="32"/>
          <w:szCs w:val="32"/>
        </w:rPr>
        <w:t>2018年预算收入总计</w:t>
      </w:r>
      <w:r>
        <w:rPr>
          <w:rFonts w:hint="eastAsia" w:ascii="仿宋" w:hAnsi="仿宋" w:eastAsia="仿宋" w:cs="??"/>
          <w:bCs/>
          <w:sz w:val="32"/>
          <w:szCs w:val="32"/>
        </w:rPr>
        <w:t>445.31</w:t>
      </w:r>
      <w:r>
        <w:rPr>
          <w:rFonts w:hint="eastAsia" w:ascii="仿宋" w:hAnsi="仿宋" w:eastAsia="仿宋" w:cs="宋体"/>
          <w:bCs/>
          <w:sz w:val="32"/>
          <w:szCs w:val="32"/>
        </w:rPr>
        <w:t>万元，与</w:t>
      </w:r>
      <w:r>
        <w:rPr>
          <w:rFonts w:ascii="仿宋" w:hAnsi="仿宋" w:eastAsia="仿宋" w:cs="??"/>
          <w:bCs/>
          <w:sz w:val="32"/>
          <w:szCs w:val="32"/>
        </w:rPr>
        <w:t>201</w:t>
      </w:r>
      <w:r>
        <w:rPr>
          <w:rFonts w:hint="eastAsia" w:ascii="仿宋" w:hAnsi="仿宋" w:eastAsia="仿宋" w:cs="??"/>
          <w:bCs/>
          <w:sz w:val="32"/>
          <w:szCs w:val="32"/>
        </w:rPr>
        <w:t>7</w:t>
      </w:r>
      <w:r>
        <w:rPr>
          <w:rFonts w:hint="eastAsia" w:ascii="仿宋" w:hAnsi="仿宋" w:eastAsia="仿宋" w:cs="宋体"/>
          <w:bCs/>
          <w:sz w:val="32"/>
          <w:szCs w:val="32"/>
        </w:rPr>
        <w:t>年相比增加</w:t>
      </w:r>
      <w:r>
        <w:rPr>
          <w:rFonts w:hint="eastAsia" w:ascii="仿宋" w:hAnsi="仿宋" w:eastAsia="仿宋" w:cs="??"/>
          <w:bCs/>
          <w:sz w:val="32"/>
          <w:szCs w:val="32"/>
        </w:rPr>
        <w:t>54.93</w:t>
      </w:r>
      <w:r>
        <w:rPr>
          <w:rFonts w:hint="eastAsia" w:ascii="仿宋" w:hAnsi="仿宋" w:eastAsia="仿宋" w:cs="宋体"/>
          <w:bCs/>
          <w:sz w:val="32"/>
          <w:szCs w:val="32"/>
        </w:rPr>
        <w:t>万元，增加的原因为正常公用经费增加。</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宋体" w:cs="??"/>
          <w:color w:val="FF0000"/>
          <w:sz w:val="32"/>
          <w:szCs w:val="32"/>
        </w:rPr>
      </w:pPr>
      <w:r>
        <w:rPr>
          <w:rFonts w:ascii="仿宋" w:hAnsi="仿宋" w:eastAsia="仿宋" w:cs="??"/>
          <w:sz w:val="32"/>
          <w:szCs w:val="32"/>
        </w:rPr>
        <w:t>201</w:t>
      </w:r>
      <w:r>
        <w:rPr>
          <w:rFonts w:hint="eastAsia" w:ascii="仿宋" w:hAnsi="仿宋" w:eastAsia="仿宋" w:cs="??"/>
          <w:sz w:val="32"/>
          <w:szCs w:val="32"/>
        </w:rPr>
        <w:t>8</w:t>
      </w:r>
      <w:r>
        <w:rPr>
          <w:rFonts w:hint="eastAsia" w:ascii="仿宋" w:hAnsi="仿宋" w:eastAsia="仿宋" w:cs="宋体"/>
          <w:sz w:val="32"/>
          <w:szCs w:val="32"/>
        </w:rPr>
        <w:t>年机关运行经费共计安排</w:t>
      </w:r>
      <w:r>
        <w:rPr>
          <w:rFonts w:hint="eastAsia" w:ascii="仿宋" w:hAnsi="仿宋" w:eastAsia="仿宋" w:cs="??"/>
          <w:sz w:val="32"/>
          <w:szCs w:val="32"/>
        </w:rPr>
        <w:t>76.89</w:t>
      </w:r>
      <w:r>
        <w:rPr>
          <w:rFonts w:hint="eastAsia" w:ascii="仿宋" w:hAnsi="仿宋" w:eastAsia="仿宋" w:cs="宋体"/>
          <w:sz w:val="32"/>
          <w:szCs w:val="32"/>
        </w:rPr>
        <w:t>万元，</w:t>
      </w:r>
      <w:r>
        <w:rPr>
          <w:rFonts w:hint="eastAsia" w:ascii="仿宋" w:hAnsi="仿宋" w:eastAsia="仿宋" w:cs="仿宋_GB2312"/>
          <w:sz w:val="32"/>
          <w:szCs w:val="32"/>
        </w:rPr>
        <w:t>主要用于我部门日常办公、邮电费及公务用车运行维护费等日常运行支出</w:t>
      </w:r>
      <w:r>
        <w:rPr>
          <w:rFonts w:hint="eastAsia" w:ascii="宋体" w:hAnsi="宋体" w:cs="宋体"/>
          <w:sz w:val="32"/>
          <w:szCs w:val="32"/>
        </w:rPr>
        <w:t>。</w:t>
      </w:r>
    </w:p>
    <w:p>
      <w:pPr>
        <w:numPr>
          <w:ilvl w:val="0"/>
          <w:numId w:val="3"/>
        </w:num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财政拨款“三公”经费预算情况及增减变化原因</w:t>
      </w:r>
    </w:p>
    <w:p>
      <w:pPr>
        <w:ind w:firstLine="640" w:firstLineChars="200"/>
        <w:rPr>
          <w:rFonts w:ascii="仿宋" w:hAnsi="仿宋" w:eastAsia="仿宋" w:cs="??"/>
          <w:sz w:val="32"/>
          <w:szCs w:val="32"/>
        </w:rPr>
      </w:pPr>
      <w:r>
        <w:rPr>
          <w:rFonts w:ascii="仿宋" w:hAnsi="仿宋" w:eastAsia="仿宋" w:cs="??"/>
          <w:sz w:val="32"/>
          <w:szCs w:val="32"/>
        </w:rPr>
        <w:t>201</w:t>
      </w:r>
      <w:r>
        <w:rPr>
          <w:rFonts w:hint="eastAsia" w:ascii="仿宋" w:hAnsi="仿宋" w:eastAsia="仿宋" w:cs="??"/>
          <w:sz w:val="32"/>
          <w:szCs w:val="32"/>
        </w:rPr>
        <w:t>8</w:t>
      </w:r>
      <w:r>
        <w:rPr>
          <w:rFonts w:hint="eastAsia" w:ascii="仿宋" w:hAnsi="仿宋" w:eastAsia="仿宋" w:cs="宋体"/>
          <w:sz w:val="32"/>
          <w:szCs w:val="32"/>
        </w:rPr>
        <w:t>年本部门安排</w:t>
      </w:r>
      <w:r>
        <w:rPr>
          <w:rFonts w:hint="eastAsia" w:ascii="仿宋" w:hAnsi="仿宋" w:eastAsia="仿宋" w:cs="??"/>
          <w:sz w:val="32"/>
          <w:szCs w:val="32"/>
        </w:rPr>
        <w:t>“</w:t>
      </w:r>
      <w:r>
        <w:rPr>
          <w:rFonts w:hint="eastAsia" w:ascii="仿宋" w:hAnsi="仿宋" w:eastAsia="仿宋" w:cs="宋体"/>
          <w:sz w:val="32"/>
          <w:szCs w:val="32"/>
        </w:rPr>
        <w:t>三公</w:t>
      </w:r>
      <w:r>
        <w:rPr>
          <w:rFonts w:hint="eastAsia" w:ascii="仿宋" w:hAnsi="仿宋" w:eastAsia="仿宋" w:cs="??"/>
          <w:sz w:val="32"/>
          <w:szCs w:val="32"/>
        </w:rPr>
        <w:t>”</w:t>
      </w:r>
      <w:r>
        <w:rPr>
          <w:rFonts w:hint="eastAsia" w:ascii="仿宋" w:hAnsi="仿宋" w:eastAsia="仿宋" w:cs="宋体"/>
          <w:sz w:val="32"/>
          <w:szCs w:val="32"/>
        </w:rPr>
        <w:t>经费</w:t>
      </w:r>
      <w:r>
        <w:rPr>
          <w:rFonts w:ascii="仿宋" w:hAnsi="仿宋" w:eastAsia="仿宋" w:cs="??"/>
          <w:sz w:val="32"/>
          <w:szCs w:val="32"/>
        </w:rPr>
        <w:t xml:space="preserve"> 16 </w:t>
      </w:r>
      <w:r>
        <w:rPr>
          <w:rFonts w:hint="eastAsia" w:ascii="仿宋" w:hAnsi="仿宋" w:eastAsia="仿宋" w:cs="??"/>
          <w:sz w:val="32"/>
          <w:szCs w:val="32"/>
        </w:rPr>
        <w:t>.6</w:t>
      </w:r>
      <w:r>
        <w:rPr>
          <w:rFonts w:hint="eastAsia" w:ascii="仿宋" w:hAnsi="仿宋" w:eastAsia="仿宋" w:cs="宋体"/>
          <w:sz w:val="32"/>
          <w:szCs w:val="32"/>
        </w:rPr>
        <w:t>万元，与</w:t>
      </w:r>
      <w:r>
        <w:rPr>
          <w:rFonts w:ascii="仿宋" w:hAnsi="仿宋" w:eastAsia="仿宋" w:cs="??"/>
          <w:sz w:val="32"/>
          <w:szCs w:val="32"/>
        </w:rPr>
        <w:t>201</w:t>
      </w:r>
      <w:r>
        <w:rPr>
          <w:rFonts w:hint="eastAsia" w:ascii="仿宋" w:hAnsi="仿宋" w:eastAsia="仿宋" w:cs="??"/>
          <w:sz w:val="32"/>
          <w:szCs w:val="32"/>
        </w:rPr>
        <w:t>7</w:t>
      </w:r>
      <w:r>
        <w:rPr>
          <w:rFonts w:hint="eastAsia" w:ascii="仿宋" w:hAnsi="仿宋" w:eastAsia="仿宋" w:cs="宋体"/>
          <w:sz w:val="32"/>
          <w:szCs w:val="32"/>
        </w:rPr>
        <w:t>年相比增加0.6万元。其中：</w:t>
      </w:r>
    </w:p>
    <w:p>
      <w:pPr>
        <w:ind w:firstLine="640" w:firstLineChars="200"/>
        <w:outlineLvl w:val="0"/>
        <w:rPr>
          <w:rFonts w:ascii="仿宋" w:hAnsi="仿宋" w:eastAsia="仿宋" w:cs="??"/>
          <w:sz w:val="32"/>
          <w:szCs w:val="32"/>
        </w:rPr>
      </w:pPr>
      <w:r>
        <w:rPr>
          <w:rFonts w:ascii="仿宋" w:hAnsi="仿宋" w:eastAsia="仿宋" w:cs="??"/>
          <w:sz w:val="32"/>
          <w:szCs w:val="32"/>
        </w:rPr>
        <w:t>1</w:t>
      </w:r>
      <w:r>
        <w:rPr>
          <w:rFonts w:hint="eastAsia" w:ascii="仿宋" w:hAnsi="仿宋" w:eastAsia="仿宋" w:cs="宋体"/>
          <w:sz w:val="32"/>
          <w:szCs w:val="32"/>
        </w:rPr>
        <w:t>、因公出国（境）费</w:t>
      </w:r>
      <w:r>
        <w:rPr>
          <w:rFonts w:ascii="仿宋" w:hAnsi="仿宋" w:eastAsia="仿宋" w:cs="??"/>
          <w:sz w:val="32"/>
          <w:szCs w:val="32"/>
        </w:rPr>
        <w:t>0</w:t>
      </w:r>
      <w:r>
        <w:rPr>
          <w:rFonts w:hint="eastAsia" w:ascii="仿宋" w:hAnsi="仿宋" w:eastAsia="仿宋" w:cs="宋体"/>
          <w:sz w:val="32"/>
          <w:szCs w:val="32"/>
        </w:rPr>
        <w:t>万元，与上年持平</w:t>
      </w:r>
      <w:r>
        <w:rPr>
          <w:rFonts w:hint="eastAsia" w:ascii="仿宋" w:hAnsi="仿宋" w:eastAsia="仿宋" w:cs="仿宋_GB2312"/>
          <w:sz w:val="32"/>
          <w:szCs w:val="32"/>
        </w:rPr>
        <w:t>，</w:t>
      </w:r>
      <w:r>
        <w:rPr>
          <w:rFonts w:hint="eastAsia" w:ascii="仿宋" w:hAnsi="仿宋" w:eastAsia="仿宋" w:cs="宋体"/>
          <w:sz w:val="32"/>
          <w:szCs w:val="32"/>
        </w:rPr>
        <w:t>无增减变化。</w:t>
      </w:r>
    </w:p>
    <w:p>
      <w:pPr>
        <w:ind w:firstLine="640" w:firstLineChars="200"/>
        <w:outlineLvl w:val="0"/>
        <w:rPr>
          <w:rFonts w:ascii="仿宋" w:hAnsi="仿宋" w:eastAsia="仿宋" w:cs="??"/>
          <w:sz w:val="32"/>
          <w:szCs w:val="32"/>
        </w:rPr>
      </w:pPr>
      <w:r>
        <w:rPr>
          <w:rFonts w:ascii="仿宋" w:hAnsi="仿宋" w:eastAsia="仿宋" w:cs="??"/>
          <w:sz w:val="32"/>
          <w:szCs w:val="32"/>
        </w:rPr>
        <w:t>2</w:t>
      </w:r>
      <w:r>
        <w:rPr>
          <w:rFonts w:hint="eastAsia" w:ascii="仿宋" w:hAnsi="仿宋" w:eastAsia="仿宋" w:cs="宋体"/>
          <w:sz w:val="32"/>
          <w:szCs w:val="32"/>
        </w:rPr>
        <w:t>、</w:t>
      </w:r>
      <w:r>
        <w:rPr>
          <w:rFonts w:hint="eastAsia" w:ascii="仿宋" w:hAnsi="仿宋" w:eastAsia="仿宋" w:cs="宋体"/>
          <w:bCs/>
          <w:sz w:val="32"/>
          <w:szCs w:val="32"/>
        </w:rPr>
        <w:t>公务用车购置</w:t>
      </w:r>
      <w:r>
        <w:rPr>
          <w:rFonts w:ascii="仿宋" w:hAnsi="仿宋" w:eastAsia="仿宋" w:cs="??"/>
          <w:bCs/>
          <w:sz w:val="32"/>
          <w:szCs w:val="32"/>
        </w:rPr>
        <w:t>0</w:t>
      </w:r>
      <w:r>
        <w:rPr>
          <w:rFonts w:hint="eastAsia" w:ascii="仿宋" w:hAnsi="仿宋" w:eastAsia="仿宋" w:cs="宋体"/>
          <w:bCs/>
          <w:sz w:val="32"/>
          <w:szCs w:val="32"/>
        </w:rPr>
        <w:t>万元</w:t>
      </w:r>
      <w:r>
        <w:rPr>
          <w:rFonts w:hint="eastAsia" w:ascii="仿宋" w:hAnsi="仿宋" w:eastAsia="仿宋" w:cs="宋体"/>
          <w:sz w:val="32"/>
          <w:szCs w:val="32"/>
        </w:rPr>
        <w:t>及运行维护费</w:t>
      </w:r>
      <w:r>
        <w:rPr>
          <w:rFonts w:ascii="仿宋" w:hAnsi="仿宋" w:eastAsia="仿宋" w:cs="??"/>
          <w:sz w:val="32"/>
          <w:szCs w:val="32"/>
        </w:rPr>
        <w:t>16</w:t>
      </w:r>
      <w:r>
        <w:rPr>
          <w:rFonts w:hint="eastAsia" w:ascii="仿宋" w:hAnsi="仿宋" w:eastAsia="仿宋" w:cs="宋体"/>
          <w:sz w:val="32"/>
          <w:szCs w:val="32"/>
        </w:rPr>
        <w:t>万元</w:t>
      </w:r>
      <w:r>
        <w:rPr>
          <w:rFonts w:ascii="仿宋" w:hAnsi="仿宋" w:eastAsia="仿宋" w:cs="仿宋_GB2312"/>
          <w:sz w:val="32"/>
          <w:szCs w:val="32"/>
        </w:rPr>
        <w:t>(</w:t>
      </w:r>
      <w:r>
        <w:rPr>
          <w:rFonts w:hint="eastAsia" w:ascii="仿宋" w:hAnsi="仿宋" w:eastAsia="仿宋" w:cs="仿宋_GB2312"/>
          <w:sz w:val="32"/>
          <w:szCs w:val="32"/>
        </w:rPr>
        <w:t>其中公务用车购置</w:t>
      </w:r>
      <w:r>
        <w:rPr>
          <w:rFonts w:ascii="仿宋" w:hAnsi="仿宋" w:eastAsia="仿宋" w:cs="仿宋_GB2312"/>
          <w:sz w:val="32"/>
          <w:szCs w:val="32"/>
        </w:rPr>
        <w:t>0</w:t>
      </w:r>
      <w:r>
        <w:rPr>
          <w:rFonts w:hint="eastAsia" w:ascii="仿宋" w:hAnsi="仿宋" w:eastAsia="仿宋" w:cs="仿宋_GB2312"/>
          <w:sz w:val="32"/>
          <w:szCs w:val="32"/>
        </w:rPr>
        <w:t>万元，公务用车运行维护费</w:t>
      </w:r>
      <w:r>
        <w:rPr>
          <w:rFonts w:ascii="仿宋" w:hAnsi="仿宋" w:eastAsia="仿宋" w:cs="??"/>
          <w:sz w:val="32"/>
          <w:szCs w:val="32"/>
        </w:rPr>
        <w:t>16</w:t>
      </w:r>
      <w:r>
        <w:rPr>
          <w:rFonts w:hint="eastAsia" w:ascii="仿宋" w:hAnsi="仿宋" w:eastAsia="仿宋" w:cs="宋体"/>
          <w:sz w:val="32"/>
          <w:szCs w:val="32"/>
        </w:rPr>
        <w:t>万元，与</w:t>
      </w:r>
      <w:r>
        <w:rPr>
          <w:rFonts w:hint="eastAsia" w:ascii="仿宋" w:hAnsi="仿宋" w:eastAsia="仿宋" w:cs="??"/>
          <w:sz w:val="32"/>
          <w:szCs w:val="32"/>
        </w:rPr>
        <w:t>去</w:t>
      </w:r>
      <w:r>
        <w:rPr>
          <w:rFonts w:hint="eastAsia" w:ascii="仿宋" w:hAnsi="仿宋" w:eastAsia="仿宋" w:cs="宋体"/>
          <w:sz w:val="32"/>
          <w:szCs w:val="32"/>
        </w:rPr>
        <w:t>年相比持平，无增减变化。</w:t>
      </w:r>
      <w:r>
        <w:rPr>
          <w:rFonts w:hint="eastAsia" w:ascii="仿宋" w:hAnsi="仿宋" w:eastAsia="仿宋" w:cs="仿宋_GB2312"/>
          <w:sz w:val="32"/>
          <w:szCs w:val="32"/>
        </w:rPr>
        <w:t>）</w:t>
      </w:r>
    </w:p>
    <w:p>
      <w:pPr>
        <w:ind w:firstLine="640" w:firstLineChars="200"/>
        <w:outlineLvl w:val="0"/>
        <w:rPr>
          <w:rFonts w:ascii="??" w:hAnsi="??" w:cs="??"/>
          <w:sz w:val="32"/>
          <w:szCs w:val="32"/>
        </w:rPr>
      </w:pPr>
      <w:r>
        <w:rPr>
          <w:rFonts w:ascii="仿宋" w:hAnsi="仿宋" w:eastAsia="仿宋" w:cs="??"/>
          <w:sz w:val="32"/>
          <w:szCs w:val="32"/>
        </w:rPr>
        <w:t>3</w:t>
      </w:r>
      <w:r>
        <w:rPr>
          <w:rFonts w:hint="eastAsia" w:ascii="仿宋" w:hAnsi="仿宋" w:eastAsia="仿宋" w:cs="宋体"/>
          <w:sz w:val="32"/>
          <w:szCs w:val="32"/>
        </w:rPr>
        <w:t>、公务接待费</w:t>
      </w:r>
      <w:r>
        <w:rPr>
          <w:rFonts w:ascii="仿宋" w:hAnsi="仿宋" w:eastAsia="仿宋" w:cs="??"/>
          <w:sz w:val="32"/>
          <w:szCs w:val="32"/>
        </w:rPr>
        <w:t>0</w:t>
      </w:r>
      <w:r>
        <w:rPr>
          <w:rFonts w:hint="eastAsia" w:ascii="仿宋" w:hAnsi="仿宋" w:eastAsia="仿宋" w:cs="??"/>
          <w:sz w:val="32"/>
          <w:szCs w:val="32"/>
        </w:rPr>
        <w:t>.6</w:t>
      </w:r>
      <w:r>
        <w:rPr>
          <w:rFonts w:hint="eastAsia" w:ascii="仿宋" w:hAnsi="仿宋" w:eastAsia="仿宋" w:cs="宋体"/>
          <w:sz w:val="32"/>
          <w:szCs w:val="32"/>
        </w:rPr>
        <w:t>万元，与2017年相比增加0.6万元，原因是项目业务增加。</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560"/>
        <w:rPr>
          <w:rFonts w:ascii="楷体" w:hAnsi="楷体" w:eastAsia="楷体"/>
          <w:sz w:val="32"/>
          <w:szCs w:val="32"/>
        </w:rPr>
      </w:pPr>
      <w:r>
        <w:rPr>
          <w:rFonts w:hint="eastAsia" w:ascii="楷体" w:hAnsi="楷体" w:eastAsia="楷体"/>
          <w:sz w:val="32"/>
          <w:szCs w:val="32"/>
        </w:rPr>
        <w:t>（一）总体绩效目标</w:t>
      </w:r>
    </w:p>
    <w:p>
      <w:pPr>
        <w:ind w:firstLine="627" w:firstLineChars="196"/>
        <w:rPr>
          <w:rFonts w:ascii="仿宋" w:hAnsi="仿宋" w:eastAsia="仿宋" w:cs="??"/>
          <w:sz w:val="32"/>
          <w:szCs w:val="32"/>
        </w:rPr>
      </w:pPr>
      <w:r>
        <w:rPr>
          <w:rFonts w:hint="eastAsia" w:ascii="仿宋" w:hAnsi="仿宋" w:eastAsia="仿宋" w:cs="宋体"/>
          <w:sz w:val="32"/>
          <w:szCs w:val="32"/>
        </w:rPr>
        <w:t>紧紧围绕</w:t>
      </w:r>
      <w:r>
        <w:rPr>
          <w:rFonts w:hint="eastAsia" w:ascii="仿宋" w:hAnsi="仿宋" w:eastAsia="仿宋" w:cs="??"/>
          <w:sz w:val="32"/>
          <w:szCs w:val="32"/>
        </w:rPr>
        <w:t>“</w:t>
      </w:r>
      <w:r>
        <w:rPr>
          <w:rFonts w:hint="eastAsia" w:ascii="仿宋" w:hAnsi="仿宋" w:eastAsia="仿宋" w:cs="宋体"/>
          <w:sz w:val="32"/>
          <w:szCs w:val="32"/>
        </w:rPr>
        <w:t>工业强县、城建靓县、商贸活县、民生惠县、文化育县</w:t>
      </w:r>
      <w:r>
        <w:rPr>
          <w:rFonts w:hint="eastAsia" w:ascii="仿宋" w:hAnsi="仿宋" w:eastAsia="仿宋" w:cs="??"/>
          <w:sz w:val="32"/>
          <w:szCs w:val="32"/>
        </w:rPr>
        <w:t>”</w:t>
      </w:r>
      <w:r>
        <w:rPr>
          <w:rFonts w:hint="eastAsia" w:ascii="仿宋" w:hAnsi="仿宋" w:eastAsia="仿宋" w:cs="宋体"/>
          <w:sz w:val="32"/>
          <w:szCs w:val="32"/>
        </w:rPr>
        <w:t>五大战略，推进全县重大决策工作的落实。</w:t>
      </w:r>
    </w:p>
    <w:p>
      <w:pPr>
        <w:ind w:firstLine="630"/>
        <w:rPr>
          <w:rFonts w:ascii="仿宋" w:hAnsi="仿宋" w:eastAsia="仿宋" w:cs="??"/>
          <w:sz w:val="32"/>
          <w:szCs w:val="32"/>
        </w:rPr>
      </w:pPr>
      <w:r>
        <w:rPr>
          <w:rFonts w:hint="eastAsia" w:ascii="仿宋" w:hAnsi="仿宋" w:eastAsia="仿宋" w:cs="宋体"/>
          <w:sz w:val="32"/>
          <w:szCs w:val="32"/>
        </w:rPr>
        <w:t>围绕人民群众关心的重要民生问题进行监督，践行为民履职，保障民生福祉。</w:t>
      </w:r>
    </w:p>
    <w:p>
      <w:pPr>
        <w:numPr>
          <w:ilvl w:val="0"/>
          <w:numId w:val="4"/>
        </w:numPr>
        <w:ind w:firstLine="645"/>
        <w:rPr>
          <w:rFonts w:ascii="楷体" w:hAnsi="楷体" w:eastAsia="楷体"/>
          <w:sz w:val="32"/>
          <w:szCs w:val="32"/>
        </w:rPr>
      </w:pPr>
      <w:r>
        <w:rPr>
          <w:rFonts w:hint="eastAsia" w:ascii="楷体" w:hAnsi="楷体" w:eastAsia="楷体"/>
          <w:sz w:val="32"/>
          <w:szCs w:val="32"/>
        </w:rPr>
        <w:t>职责分类绩效目标</w:t>
      </w:r>
    </w:p>
    <w:p>
      <w:pPr>
        <w:ind w:firstLine="627" w:firstLineChars="196"/>
        <w:rPr>
          <w:rFonts w:ascii="仿宋" w:hAnsi="仿宋" w:eastAsia="仿宋" w:cs="??"/>
          <w:sz w:val="32"/>
          <w:szCs w:val="32"/>
        </w:rPr>
      </w:pPr>
      <w:r>
        <w:rPr>
          <w:rFonts w:ascii="仿宋" w:hAnsi="仿宋" w:eastAsia="仿宋" w:cs="??"/>
          <w:sz w:val="32"/>
          <w:szCs w:val="32"/>
        </w:rPr>
        <w:t>1</w:t>
      </w:r>
      <w:r>
        <w:rPr>
          <w:rFonts w:hint="eastAsia" w:ascii="仿宋" w:hAnsi="仿宋" w:eastAsia="仿宋" w:cs="宋体"/>
          <w:sz w:val="32"/>
          <w:szCs w:val="32"/>
        </w:rPr>
        <w:t>、监督宪法和法律在我县县行政区域内正确实施。</w:t>
      </w:r>
      <w:r>
        <w:rPr>
          <w:rFonts w:ascii="仿宋" w:hAnsi="仿宋" w:eastAsia="仿宋" w:cs="??"/>
          <w:sz w:val="32"/>
          <w:szCs w:val="32"/>
        </w:rPr>
        <w:t>2</w:t>
      </w:r>
      <w:r>
        <w:rPr>
          <w:rFonts w:hint="eastAsia" w:ascii="仿宋" w:hAnsi="仿宋" w:eastAsia="仿宋" w:cs="宋体"/>
          <w:sz w:val="32"/>
          <w:szCs w:val="32"/>
        </w:rPr>
        <w:t>、监督一府两院依法开展工作。</w:t>
      </w:r>
      <w:r>
        <w:rPr>
          <w:rFonts w:ascii="仿宋" w:hAnsi="仿宋" w:eastAsia="仿宋" w:cs="??"/>
          <w:sz w:val="32"/>
          <w:szCs w:val="32"/>
        </w:rPr>
        <w:t>3</w:t>
      </w:r>
      <w:r>
        <w:rPr>
          <w:rFonts w:hint="eastAsia" w:ascii="仿宋" w:hAnsi="仿宋" w:eastAsia="仿宋" w:cs="宋体"/>
          <w:sz w:val="32"/>
          <w:szCs w:val="32"/>
        </w:rPr>
        <w:t>、监督县本级预算按照县代会通过的预算有效实施。</w:t>
      </w:r>
      <w:r>
        <w:rPr>
          <w:rFonts w:ascii="仿宋" w:hAnsi="仿宋" w:eastAsia="仿宋" w:cs="??"/>
          <w:sz w:val="32"/>
          <w:szCs w:val="32"/>
        </w:rPr>
        <w:t>4</w:t>
      </w:r>
      <w:r>
        <w:rPr>
          <w:rFonts w:hint="eastAsia" w:ascii="仿宋" w:hAnsi="仿宋" w:eastAsia="仿宋" w:cs="宋体"/>
          <w:sz w:val="32"/>
          <w:szCs w:val="32"/>
        </w:rPr>
        <w:t>、监督经济和社会发展计划有效实施。</w:t>
      </w:r>
    </w:p>
    <w:p>
      <w:pPr>
        <w:ind w:firstLine="640" w:firstLineChars="200"/>
        <w:rPr>
          <w:rFonts w:ascii="??" w:hAnsi="??" w:cs="??"/>
          <w:sz w:val="32"/>
          <w:szCs w:val="32"/>
        </w:rPr>
      </w:pPr>
      <w:r>
        <w:rPr>
          <w:rFonts w:ascii="仿宋" w:hAnsi="仿宋" w:eastAsia="仿宋" w:cs="??"/>
          <w:sz w:val="32"/>
          <w:szCs w:val="32"/>
        </w:rPr>
        <w:t>1</w:t>
      </w:r>
      <w:r>
        <w:rPr>
          <w:rFonts w:hint="eastAsia" w:ascii="仿宋" w:hAnsi="仿宋" w:eastAsia="仿宋" w:cs="宋体"/>
          <w:sz w:val="32"/>
          <w:szCs w:val="32"/>
        </w:rPr>
        <w:t>、在人大代表和县人大常委</w:t>
      </w:r>
      <w:r>
        <w:rPr>
          <w:rFonts w:hint="eastAsia" w:ascii="仿宋" w:hAnsi="仿宋" w:eastAsia="仿宋" w:cs="宋体"/>
          <w:sz w:val="32"/>
          <w:szCs w:val="32"/>
          <w:lang w:val="en-US" w:eastAsia="zh-CN"/>
        </w:rPr>
        <w:t>会</w:t>
      </w:r>
      <w:r>
        <w:rPr>
          <w:rFonts w:hint="eastAsia" w:ascii="仿宋" w:hAnsi="仿宋" w:eastAsia="仿宋" w:cs="宋体"/>
          <w:sz w:val="32"/>
          <w:szCs w:val="32"/>
        </w:rPr>
        <w:t>充分发表审议意见的基础上，作出我县县经济社会发展计划、县总预算和县本级预算等决议。</w:t>
      </w:r>
      <w:r>
        <w:rPr>
          <w:rFonts w:ascii="仿宋" w:hAnsi="仿宋" w:eastAsia="仿宋" w:cs="??"/>
          <w:sz w:val="32"/>
          <w:szCs w:val="32"/>
        </w:rPr>
        <w:t>2</w:t>
      </w:r>
      <w:r>
        <w:rPr>
          <w:rFonts w:hint="eastAsia" w:ascii="仿宋" w:hAnsi="仿宋" w:eastAsia="仿宋" w:cs="宋体"/>
          <w:sz w:val="32"/>
          <w:szCs w:val="32"/>
        </w:rPr>
        <w:t>、通过听取和审议一府两院等工作报告，作出有关报告的决议。</w:t>
      </w:r>
      <w:r>
        <w:rPr>
          <w:rFonts w:ascii="仿宋" w:hAnsi="仿宋" w:eastAsia="仿宋" w:cs="??"/>
          <w:sz w:val="32"/>
          <w:szCs w:val="32"/>
        </w:rPr>
        <w:t>3</w:t>
      </w:r>
      <w:r>
        <w:rPr>
          <w:rFonts w:hint="eastAsia" w:ascii="仿宋" w:hAnsi="仿宋" w:eastAsia="仿宋" w:cs="宋体"/>
          <w:sz w:val="32"/>
          <w:szCs w:val="32"/>
        </w:rPr>
        <w:t>、通过质询、专题询问和工作评议的方式就一府两院的工作进行监督。</w:t>
      </w:r>
      <w:r>
        <w:rPr>
          <w:rFonts w:ascii="仿宋" w:hAnsi="仿宋" w:eastAsia="仿宋" w:cs="??"/>
          <w:sz w:val="32"/>
          <w:szCs w:val="32"/>
        </w:rPr>
        <w:t>4</w:t>
      </w:r>
      <w:r>
        <w:rPr>
          <w:rFonts w:hint="eastAsia" w:ascii="仿宋" w:hAnsi="仿宋" w:eastAsia="仿宋" w:cs="宋体"/>
          <w:sz w:val="32"/>
          <w:szCs w:val="32"/>
        </w:rPr>
        <w:t>、为保证我县重大决策的科学性和法定性，实施作出有关我县重大问题的决定。</w:t>
      </w:r>
      <w:r>
        <w:rPr>
          <w:rFonts w:ascii="仿宋" w:hAnsi="仿宋" w:eastAsia="仿宋" w:cs="??"/>
          <w:sz w:val="32"/>
          <w:szCs w:val="32"/>
        </w:rPr>
        <w:t>5</w:t>
      </w:r>
      <w:r>
        <w:rPr>
          <w:rFonts w:hint="eastAsia" w:ascii="仿宋" w:hAnsi="仿宋" w:eastAsia="仿宋" w:cs="宋体"/>
          <w:sz w:val="32"/>
          <w:szCs w:val="32"/>
        </w:rPr>
        <w:t>、高效、精细的筹备县人大会。</w:t>
      </w:r>
    </w:p>
    <w:p>
      <w:pPr>
        <w:ind w:firstLine="645"/>
        <w:rPr>
          <w:rFonts w:ascii="楷体" w:hAnsi="楷体" w:eastAsia="楷体"/>
          <w:sz w:val="32"/>
          <w:szCs w:val="32"/>
        </w:rPr>
      </w:pPr>
      <w:r>
        <w:rPr>
          <w:rFonts w:hint="eastAsia" w:ascii="楷体" w:hAnsi="楷体" w:eastAsia="楷体"/>
          <w:sz w:val="32"/>
          <w:szCs w:val="32"/>
        </w:rPr>
        <w:t>（三）部门职责</w:t>
      </w:r>
      <w:r>
        <w:rPr>
          <w:rFonts w:ascii="楷体" w:hAnsi="楷体" w:eastAsia="楷体"/>
          <w:sz w:val="32"/>
          <w:szCs w:val="32"/>
        </w:rPr>
        <w:t>-</w:t>
      </w:r>
      <w:r>
        <w:rPr>
          <w:rFonts w:hint="eastAsia" w:ascii="楷体" w:hAnsi="楷体" w:eastAsia="楷体"/>
          <w:sz w:val="32"/>
          <w:szCs w:val="32"/>
        </w:rPr>
        <w:t>工作活动绩效目标</w:t>
      </w:r>
    </w:p>
    <w:p>
      <w:pPr>
        <w:ind w:firstLine="645"/>
        <w:jc w:val="center"/>
        <w:rPr>
          <w:rFonts w:ascii="宋体" w:hAnsi="宋体" w:cs="宋体"/>
          <w:sz w:val="32"/>
          <w:szCs w:val="32"/>
        </w:rPr>
      </w:pPr>
    </w:p>
    <w:p>
      <w:pPr>
        <w:ind w:firstLine="645"/>
        <w:jc w:val="center"/>
        <w:rPr>
          <w:rFonts w:ascii="宋体" w:hAnsi="宋体" w:cs="宋体"/>
          <w:sz w:val="32"/>
          <w:szCs w:val="32"/>
        </w:rPr>
      </w:pPr>
    </w:p>
    <w:p>
      <w:pPr>
        <w:ind w:firstLine="645"/>
        <w:jc w:val="center"/>
        <w:rPr>
          <w:rFonts w:ascii="??" w:hAnsi="??"/>
          <w:sz w:val="32"/>
          <w:szCs w:val="32"/>
        </w:rPr>
      </w:pPr>
      <w:r>
        <w:rPr>
          <w:rFonts w:hint="eastAsia" w:ascii="宋体" w:hAnsi="宋体" w:cs="宋体"/>
          <w:sz w:val="32"/>
          <w:szCs w:val="32"/>
        </w:rPr>
        <w:t>部门职责</w:t>
      </w:r>
      <w:r>
        <w:rPr>
          <w:rFonts w:ascii="??" w:hAnsi="??"/>
          <w:sz w:val="32"/>
          <w:szCs w:val="32"/>
        </w:rPr>
        <w:t>-</w:t>
      </w:r>
      <w:r>
        <w:rPr>
          <w:rFonts w:hint="eastAsia" w:ascii="宋体" w:hAnsi="宋体" w:cs="宋体"/>
          <w:sz w:val="32"/>
          <w:szCs w:val="32"/>
        </w:rPr>
        <w:t>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101</w:t>
            </w:r>
            <w:r>
              <w:rPr>
                <w:rFonts w:hint="eastAsia" w:ascii="方正小标宋_GBK" w:eastAsia="方正小标宋_GBK"/>
                <w:sz w:val="24"/>
              </w:rPr>
              <w:t>人大</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_GBK" w:eastAsia="Times New Roman"/>
                <w:sz w:val="24"/>
              </w:rPr>
            </w:pPr>
            <w:r>
              <w:rPr>
                <w:rFonts w:ascii="????_GBK" w:eastAsia="Times New Roman"/>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_GBK" w:eastAsia="Times New Roman"/>
                <w:b/>
              </w:rPr>
            </w:pPr>
            <w:r>
              <w:rPr>
                <w:rFonts w:ascii="????_GBK" w:eastAsia="Times New Roman"/>
                <w:b/>
              </w:rPr>
              <w:t>职责活动</w:t>
            </w:r>
          </w:p>
        </w:tc>
        <w:tc>
          <w:tcPr>
            <w:tcW w:w="1276" w:type="dxa"/>
            <w:vMerge w:val="restart"/>
            <w:vAlign w:val="center"/>
          </w:tcPr>
          <w:p>
            <w:pPr>
              <w:spacing w:line="300" w:lineRule="exact"/>
              <w:jc w:val="center"/>
              <w:rPr>
                <w:rFonts w:ascii="????_GBK" w:eastAsia="Times New Roman"/>
                <w:b/>
              </w:rPr>
            </w:pPr>
            <w:r>
              <w:rPr>
                <w:rFonts w:ascii="????_GBK" w:eastAsia="Times New Roman"/>
                <w:b/>
              </w:rPr>
              <w:t>年度预算数</w:t>
            </w:r>
          </w:p>
        </w:tc>
        <w:tc>
          <w:tcPr>
            <w:tcW w:w="2976" w:type="dxa"/>
            <w:vMerge w:val="restart"/>
            <w:vAlign w:val="center"/>
          </w:tcPr>
          <w:p>
            <w:pPr>
              <w:spacing w:line="300" w:lineRule="exact"/>
              <w:jc w:val="center"/>
              <w:rPr>
                <w:rFonts w:ascii="????_GBK" w:eastAsia="Times New Roman"/>
                <w:b/>
              </w:rPr>
            </w:pPr>
            <w:r>
              <w:rPr>
                <w:rFonts w:ascii="????_GBK" w:eastAsia="Times New Roman"/>
                <w:b/>
              </w:rPr>
              <w:t>内容描述</w:t>
            </w:r>
          </w:p>
        </w:tc>
        <w:tc>
          <w:tcPr>
            <w:tcW w:w="2976" w:type="dxa"/>
            <w:vMerge w:val="restart"/>
            <w:vAlign w:val="center"/>
          </w:tcPr>
          <w:p>
            <w:pPr>
              <w:spacing w:line="300" w:lineRule="exact"/>
              <w:jc w:val="center"/>
              <w:rPr>
                <w:rFonts w:ascii="????_GBK" w:eastAsia="Times New Roman"/>
                <w:b/>
              </w:rPr>
            </w:pPr>
            <w:r>
              <w:rPr>
                <w:rFonts w:ascii="????_GBK" w:eastAsia="Times New Roman"/>
                <w:b/>
              </w:rPr>
              <w:t>绩效目标</w:t>
            </w:r>
          </w:p>
        </w:tc>
        <w:tc>
          <w:tcPr>
            <w:tcW w:w="1417" w:type="dxa"/>
            <w:vMerge w:val="restart"/>
            <w:vAlign w:val="center"/>
          </w:tcPr>
          <w:p>
            <w:pPr>
              <w:spacing w:line="300" w:lineRule="exact"/>
              <w:jc w:val="center"/>
              <w:rPr>
                <w:rFonts w:ascii="????_GBK" w:eastAsia="Times New Roman"/>
                <w:b/>
              </w:rPr>
            </w:pPr>
            <w:r>
              <w:rPr>
                <w:rFonts w:ascii="????_GBK" w:eastAsia="Times New Roman"/>
                <w:b/>
              </w:rPr>
              <w:t>绩效指标</w:t>
            </w:r>
          </w:p>
        </w:tc>
        <w:tc>
          <w:tcPr>
            <w:tcW w:w="2948" w:type="dxa"/>
            <w:gridSpan w:val="4"/>
            <w:vAlign w:val="center"/>
          </w:tcPr>
          <w:p>
            <w:pPr>
              <w:spacing w:line="300" w:lineRule="exact"/>
              <w:jc w:val="center"/>
              <w:rPr>
                <w:rFonts w:ascii="????_GBK" w:eastAsia="Times New Roman"/>
                <w:b/>
              </w:rPr>
            </w:pPr>
            <w:r>
              <w:rPr>
                <w:rFonts w:ascii="????_GBK" w:eastAsia="Times New Roman"/>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_GBK" w:eastAsia="Times New Roman"/>
                <w:b/>
              </w:rPr>
            </w:pPr>
            <w:r>
              <w:rPr>
                <w:rFonts w:ascii="????_GBK" w:eastAsia="Times New Roman"/>
                <w:b/>
              </w:rPr>
              <w:t>优</w:t>
            </w:r>
          </w:p>
        </w:tc>
        <w:tc>
          <w:tcPr>
            <w:tcW w:w="737" w:type="dxa"/>
            <w:vAlign w:val="center"/>
          </w:tcPr>
          <w:p>
            <w:pPr>
              <w:spacing w:line="300" w:lineRule="exact"/>
              <w:jc w:val="center"/>
              <w:rPr>
                <w:rFonts w:ascii="????_GBK" w:eastAsia="Times New Roman"/>
                <w:b/>
              </w:rPr>
            </w:pPr>
            <w:r>
              <w:rPr>
                <w:rFonts w:ascii="????_GBK" w:eastAsia="Times New Roman"/>
                <w:b/>
              </w:rPr>
              <w:t>良</w:t>
            </w:r>
          </w:p>
        </w:tc>
        <w:tc>
          <w:tcPr>
            <w:tcW w:w="737" w:type="dxa"/>
            <w:vAlign w:val="center"/>
          </w:tcPr>
          <w:p>
            <w:pPr>
              <w:spacing w:line="300" w:lineRule="exact"/>
              <w:jc w:val="center"/>
              <w:rPr>
                <w:rFonts w:ascii="????_GBK" w:eastAsia="Times New Roman"/>
                <w:b/>
              </w:rPr>
            </w:pPr>
            <w:r>
              <w:rPr>
                <w:rFonts w:ascii="????_GBK" w:eastAsia="Times New Roman"/>
                <w:b/>
              </w:rPr>
              <w:t>中</w:t>
            </w:r>
          </w:p>
        </w:tc>
        <w:tc>
          <w:tcPr>
            <w:tcW w:w="737" w:type="dxa"/>
            <w:vAlign w:val="center"/>
          </w:tcPr>
          <w:p>
            <w:pPr>
              <w:spacing w:line="300" w:lineRule="exact"/>
              <w:jc w:val="center"/>
              <w:rPr>
                <w:rFonts w:ascii="????_GBK" w:eastAsia="Times New Roman"/>
                <w:b/>
              </w:rPr>
            </w:pPr>
            <w:r>
              <w:rPr>
                <w:rFonts w:ascii="????_GBK" w:eastAsia="Times New Roman"/>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b/>
              </w:rPr>
            </w:pPr>
            <w:r>
              <w:rPr>
                <w:rFonts w:ascii="????_GBK" w:eastAsia="Times New Roman"/>
                <w:b/>
              </w:rPr>
              <w:t>人大监督</w:t>
            </w:r>
          </w:p>
        </w:tc>
        <w:tc>
          <w:tcPr>
            <w:tcW w:w="1276" w:type="dxa"/>
            <w:vAlign w:val="center"/>
          </w:tcPr>
          <w:p>
            <w:pPr>
              <w:spacing w:line="300" w:lineRule="exact"/>
              <w:jc w:val="left"/>
              <w:rPr>
                <w:rFonts w:ascii="????_GBK" w:eastAsia="Times New Roman"/>
              </w:rPr>
            </w:pPr>
          </w:p>
        </w:tc>
        <w:tc>
          <w:tcPr>
            <w:tcW w:w="2976" w:type="dxa"/>
            <w:vAlign w:val="center"/>
          </w:tcPr>
          <w:p>
            <w:pPr>
              <w:spacing w:line="300" w:lineRule="exact"/>
              <w:jc w:val="left"/>
              <w:rPr>
                <w:rFonts w:ascii="????_GBK" w:eastAsia="Times New Roman"/>
              </w:rPr>
            </w:pPr>
            <w:r>
              <w:rPr>
                <w:rFonts w:ascii="????_GBK" w:eastAsia="Times New Roman"/>
              </w:rPr>
              <w:t>进行执法调研和执法检查；围绕政府工作报告和“一府两院”专项工作报告涉及内容开展调查研究，开展专题询问和工作评议；对“一府两院”进行监督。</w:t>
            </w:r>
          </w:p>
        </w:tc>
        <w:tc>
          <w:tcPr>
            <w:tcW w:w="2976" w:type="dxa"/>
            <w:vAlign w:val="center"/>
          </w:tcPr>
          <w:p>
            <w:pPr>
              <w:spacing w:line="300" w:lineRule="exact"/>
              <w:jc w:val="left"/>
              <w:rPr>
                <w:rFonts w:ascii="????_GBK" w:eastAsia="Times New Roman"/>
              </w:rPr>
            </w:pPr>
            <w:r>
              <w:rPr>
                <w:rFonts w:ascii="????_GBK" w:eastAsia="Times New Roman"/>
              </w:rPr>
              <w:t>促进各项法律法规、人大决议、报告等的落实；促进“一府两院”改进工作；提高规范性文件质量；促进社会和谐稳定。</w:t>
            </w:r>
          </w:p>
        </w:tc>
        <w:tc>
          <w:tcPr>
            <w:tcW w:w="1417" w:type="dxa"/>
            <w:vAlign w:val="center"/>
          </w:tcPr>
          <w:p>
            <w:pPr>
              <w:spacing w:line="300" w:lineRule="exact"/>
              <w:jc w:val="left"/>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_GBK" w:eastAsia="Times New Roman"/>
                <w:b/>
              </w:rPr>
            </w:pPr>
            <w:r>
              <w:rPr>
                <w:rFonts w:ascii="????_GBK" w:eastAsia="Times New Roman"/>
                <w:b/>
              </w:rPr>
              <w:t>　　专门委员会、常委及代表活动</w:t>
            </w:r>
          </w:p>
        </w:tc>
        <w:tc>
          <w:tcPr>
            <w:tcW w:w="1276" w:type="dxa"/>
            <w:vMerge w:val="restart"/>
            <w:vAlign w:val="center"/>
          </w:tcPr>
          <w:p>
            <w:pPr>
              <w:spacing w:line="300" w:lineRule="exact"/>
              <w:jc w:val="left"/>
              <w:rPr>
                <w:rFonts w:ascii="????_GBK" w:eastAsia="Times New Roman"/>
              </w:rPr>
            </w:pPr>
          </w:p>
        </w:tc>
        <w:tc>
          <w:tcPr>
            <w:tcW w:w="2976" w:type="dxa"/>
            <w:vMerge w:val="restart"/>
            <w:vAlign w:val="center"/>
          </w:tcPr>
          <w:p>
            <w:pPr>
              <w:spacing w:line="300" w:lineRule="exact"/>
              <w:jc w:val="left"/>
              <w:rPr>
                <w:rFonts w:ascii="????_GBK" w:eastAsia="Times New Roman"/>
              </w:rPr>
            </w:pPr>
            <w:r>
              <w:rPr>
                <w:rFonts w:ascii="????_GBK" w:eastAsia="Times New Roman"/>
              </w:rPr>
              <w:t>组织专门委员会委员、各工作委员会及特聘专家进行对法律实施情况进行执法检查；组织县人大常委</w:t>
            </w:r>
            <w:r>
              <w:rPr>
                <w:rFonts w:hint="eastAsia" w:ascii="????_GBK"/>
                <w:lang w:val="en-US" w:eastAsia="zh-CN"/>
              </w:rPr>
              <w:t>会</w:t>
            </w:r>
            <w:r>
              <w:rPr>
                <w:rFonts w:ascii="????_GBK" w:eastAsia="Times New Roman"/>
              </w:rPr>
              <w:t>及县人大代表进行执法检查和集中视察；开展代表建议督办；组织对常委及代表培训。</w:t>
            </w:r>
          </w:p>
        </w:tc>
        <w:tc>
          <w:tcPr>
            <w:tcW w:w="2976" w:type="dxa"/>
            <w:vMerge w:val="restart"/>
            <w:vAlign w:val="center"/>
          </w:tcPr>
          <w:p>
            <w:pPr>
              <w:spacing w:line="300" w:lineRule="exact"/>
              <w:jc w:val="left"/>
              <w:rPr>
                <w:rFonts w:ascii="????_GBK" w:eastAsia="Times New Roman"/>
              </w:rPr>
            </w:pPr>
            <w:r>
              <w:rPr>
                <w:rFonts w:ascii="????_GBK" w:eastAsia="Times New Roman"/>
              </w:rPr>
              <w:t>发挥常委及代表的作用，集中反映民意，促进依法履职。</w:t>
            </w:r>
          </w:p>
        </w:tc>
        <w:tc>
          <w:tcPr>
            <w:tcW w:w="1417" w:type="dxa"/>
            <w:vAlign w:val="center"/>
          </w:tcPr>
          <w:p>
            <w:pPr>
              <w:spacing w:line="300" w:lineRule="exact"/>
              <w:jc w:val="left"/>
              <w:rPr>
                <w:rFonts w:ascii="????_GBK" w:eastAsia="Times New Roman"/>
              </w:rPr>
            </w:pPr>
            <w:r>
              <w:rPr>
                <w:rFonts w:ascii="????_GBK" w:eastAsia="Times New Roman"/>
              </w:rPr>
              <w:t>建议督办完成率</w:t>
            </w:r>
          </w:p>
        </w:tc>
        <w:tc>
          <w:tcPr>
            <w:tcW w:w="737" w:type="dxa"/>
            <w:vAlign w:val="center"/>
          </w:tcPr>
          <w:p>
            <w:pPr>
              <w:spacing w:line="300" w:lineRule="exact"/>
              <w:jc w:val="center"/>
              <w:rPr>
                <w:rFonts w:ascii="????_GBK" w:eastAsia="Times New Roman"/>
              </w:rPr>
            </w:pPr>
            <w:r>
              <w:rPr>
                <w:rFonts w:ascii="????_GBK" w:eastAsia="Times New Roman"/>
              </w:rPr>
              <w:t>≥90%</w:t>
            </w:r>
          </w:p>
        </w:tc>
        <w:tc>
          <w:tcPr>
            <w:tcW w:w="737" w:type="dxa"/>
            <w:vAlign w:val="center"/>
          </w:tcPr>
          <w:p>
            <w:pPr>
              <w:spacing w:line="300" w:lineRule="exact"/>
              <w:jc w:val="center"/>
              <w:rPr>
                <w:rFonts w:ascii="????_GBK" w:eastAsia="Times New Roman"/>
              </w:rPr>
            </w:pPr>
            <w:r>
              <w:rPr>
                <w:rFonts w:ascii="????_GBK" w:eastAsia="Times New Roman"/>
              </w:rPr>
              <w:t>≥80%</w:t>
            </w:r>
          </w:p>
        </w:tc>
        <w:tc>
          <w:tcPr>
            <w:tcW w:w="737" w:type="dxa"/>
            <w:vAlign w:val="center"/>
          </w:tcPr>
          <w:p>
            <w:pPr>
              <w:spacing w:line="300" w:lineRule="exact"/>
              <w:jc w:val="center"/>
              <w:rPr>
                <w:rFonts w:ascii="????_GBK" w:eastAsia="Times New Roman"/>
              </w:rPr>
            </w:pPr>
            <w:r>
              <w:rPr>
                <w:rFonts w:ascii="????_GBK" w:eastAsia="Times New Roman"/>
              </w:rPr>
              <w:t>≥70%</w:t>
            </w:r>
          </w:p>
        </w:tc>
        <w:tc>
          <w:tcPr>
            <w:tcW w:w="737" w:type="dxa"/>
            <w:vAlign w:val="center"/>
          </w:tcPr>
          <w:p>
            <w:pPr>
              <w:spacing w:line="300" w:lineRule="exact"/>
              <w:jc w:val="center"/>
              <w:rPr>
                <w:rFonts w:ascii="????_GBK" w:eastAsia="Times New Roman"/>
              </w:rPr>
            </w:pPr>
            <w:r>
              <w:rPr>
                <w:rFonts w:ascii="????_GBK" w:eastAsia="Times New Roman"/>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执法检查任务完成率</w:t>
            </w:r>
          </w:p>
        </w:tc>
        <w:tc>
          <w:tcPr>
            <w:tcW w:w="737" w:type="dxa"/>
            <w:vAlign w:val="center"/>
          </w:tcPr>
          <w:p>
            <w:pPr>
              <w:spacing w:line="300" w:lineRule="exact"/>
              <w:jc w:val="center"/>
              <w:rPr>
                <w:rFonts w:ascii="????_GBK" w:eastAsia="Times New Roman"/>
              </w:rPr>
            </w:pPr>
            <w:r>
              <w:rPr>
                <w:rFonts w:ascii="????_GBK" w:eastAsia="Times New Roman"/>
              </w:rPr>
              <w:t>≥90%</w:t>
            </w:r>
          </w:p>
        </w:tc>
        <w:tc>
          <w:tcPr>
            <w:tcW w:w="737" w:type="dxa"/>
            <w:vAlign w:val="center"/>
          </w:tcPr>
          <w:p>
            <w:pPr>
              <w:spacing w:line="300" w:lineRule="exact"/>
              <w:jc w:val="center"/>
              <w:rPr>
                <w:rFonts w:ascii="????_GBK" w:eastAsia="Times New Roman"/>
              </w:rPr>
            </w:pPr>
            <w:r>
              <w:rPr>
                <w:rFonts w:ascii="????_GBK" w:eastAsia="Times New Roman"/>
              </w:rPr>
              <w:t>≥80%</w:t>
            </w:r>
          </w:p>
        </w:tc>
        <w:tc>
          <w:tcPr>
            <w:tcW w:w="737" w:type="dxa"/>
            <w:vAlign w:val="center"/>
          </w:tcPr>
          <w:p>
            <w:pPr>
              <w:spacing w:line="300" w:lineRule="exact"/>
              <w:jc w:val="center"/>
              <w:rPr>
                <w:rFonts w:ascii="????_GBK" w:eastAsia="Times New Roman"/>
              </w:rPr>
            </w:pPr>
            <w:r>
              <w:rPr>
                <w:rFonts w:ascii="????_GBK" w:eastAsia="Times New Roman"/>
              </w:rPr>
              <w:t>≥70%</w:t>
            </w:r>
          </w:p>
        </w:tc>
        <w:tc>
          <w:tcPr>
            <w:tcW w:w="737" w:type="dxa"/>
            <w:vAlign w:val="center"/>
          </w:tcPr>
          <w:p>
            <w:pPr>
              <w:spacing w:line="300" w:lineRule="exact"/>
              <w:jc w:val="center"/>
              <w:rPr>
                <w:rFonts w:ascii="????_GBK" w:eastAsia="Times New Roman"/>
              </w:rPr>
            </w:pPr>
            <w:r>
              <w:rPr>
                <w:rFonts w:ascii="????_GBK" w:eastAsia="Times New Roman"/>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b/>
              </w:rPr>
            </w:pPr>
            <w:r>
              <w:rPr>
                <w:rFonts w:ascii="????_GBK" w:eastAsia="Times New Roman"/>
                <w:b/>
              </w:rPr>
              <w:t>人大会议</w:t>
            </w:r>
          </w:p>
        </w:tc>
        <w:tc>
          <w:tcPr>
            <w:tcW w:w="1276" w:type="dxa"/>
            <w:vAlign w:val="center"/>
          </w:tcPr>
          <w:p>
            <w:pPr>
              <w:spacing w:line="300" w:lineRule="exact"/>
              <w:jc w:val="left"/>
              <w:rPr>
                <w:rFonts w:ascii="????_GBK" w:eastAsia="Times New Roman"/>
              </w:rPr>
            </w:pPr>
            <w:r>
              <w:rPr>
                <w:rFonts w:ascii="????_GBK" w:eastAsia="Times New Roman"/>
              </w:rPr>
              <w:t>25.00</w:t>
            </w:r>
          </w:p>
        </w:tc>
        <w:tc>
          <w:tcPr>
            <w:tcW w:w="2976" w:type="dxa"/>
            <w:vAlign w:val="center"/>
          </w:tcPr>
          <w:p>
            <w:pPr>
              <w:spacing w:line="300" w:lineRule="exact"/>
              <w:jc w:val="left"/>
              <w:rPr>
                <w:rFonts w:ascii="????_GBK" w:eastAsia="Times New Roman"/>
              </w:rPr>
            </w:pPr>
            <w:r>
              <w:rPr>
                <w:rFonts w:ascii="????_GBK" w:eastAsia="Times New Roman"/>
              </w:rPr>
              <w:t>县人民代表大会和常务委员会各种会议的筹备、会务工作，负责常委会文件起草、审核把关，常委会会议、主任会议及常委会党组会议决定事项、工作部署、重要文件及领导批示的传达和督办。</w:t>
            </w:r>
          </w:p>
        </w:tc>
        <w:tc>
          <w:tcPr>
            <w:tcW w:w="2976" w:type="dxa"/>
            <w:vAlign w:val="center"/>
          </w:tcPr>
          <w:p>
            <w:pPr>
              <w:spacing w:line="300" w:lineRule="exact"/>
              <w:jc w:val="left"/>
              <w:rPr>
                <w:rFonts w:ascii="????_GBK" w:eastAsia="Times New Roman"/>
              </w:rPr>
            </w:pPr>
            <w:r>
              <w:rPr>
                <w:rFonts w:ascii="????_GBK" w:eastAsia="Times New Roman"/>
              </w:rPr>
              <w:t>完善各项会议制度，规范会议程序，提高会议质量，提高人大代表及常委会审议水平。</w:t>
            </w:r>
          </w:p>
        </w:tc>
        <w:tc>
          <w:tcPr>
            <w:tcW w:w="1417" w:type="dxa"/>
            <w:vAlign w:val="center"/>
          </w:tcPr>
          <w:p>
            <w:pPr>
              <w:spacing w:line="300" w:lineRule="exact"/>
              <w:jc w:val="left"/>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b/>
              </w:rPr>
            </w:pPr>
            <w:r>
              <w:rPr>
                <w:rFonts w:ascii="????_GBK" w:eastAsia="Times New Roman"/>
                <w:b/>
              </w:rPr>
              <w:t>　　人大会议</w:t>
            </w:r>
          </w:p>
        </w:tc>
        <w:tc>
          <w:tcPr>
            <w:tcW w:w="1276" w:type="dxa"/>
            <w:vAlign w:val="center"/>
          </w:tcPr>
          <w:p>
            <w:pPr>
              <w:spacing w:line="300" w:lineRule="exact"/>
              <w:jc w:val="left"/>
              <w:rPr>
                <w:rFonts w:ascii="????_GBK" w:eastAsia="Times New Roman"/>
              </w:rPr>
            </w:pPr>
            <w:r>
              <w:rPr>
                <w:rFonts w:ascii="????_GBK" w:eastAsia="Times New Roman"/>
              </w:rPr>
              <w:t>25.00</w:t>
            </w:r>
          </w:p>
        </w:tc>
        <w:tc>
          <w:tcPr>
            <w:tcW w:w="2976" w:type="dxa"/>
            <w:vAlign w:val="center"/>
          </w:tcPr>
          <w:p>
            <w:pPr>
              <w:spacing w:line="300" w:lineRule="exact"/>
              <w:jc w:val="left"/>
              <w:rPr>
                <w:rFonts w:ascii="????_GBK" w:eastAsia="Times New Roman"/>
              </w:rPr>
            </w:pPr>
            <w:r>
              <w:rPr>
                <w:rFonts w:ascii="????_GBK" w:eastAsia="Times New Roman"/>
              </w:rPr>
              <w:t>承担县人民代表大会和常务委员会各种会议的筹备、会务工作，负责常委会文件起草、审核把关，常委会会议、主任会议及常委会党组会议决定事项、工作部署、重要文件及领导批示的传达和督办。</w:t>
            </w:r>
          </w:p>
        </w:tc>
        <w:tc>
          <w:tcPr>
            <w:tcW w:w="2976" w:type="dxa"/>
            <w:vAlign w:val="center"/>
          </w:tcPr>
          <w:p>
            <w:pPr>
              <w:spacing w:line="300" w:lineRule="exact"/>
              <w:jc w:val="left"/>
              <w:rPr>
                <w:rFonts w:ascii="????_GBK" w:eastAsia="Times New Roman"/>
              </w:rPr>
            </w:pPr>
            <w:r>
              <w:rPr>
                <w:rFonts w:ascii="????_GBK" w:eastAsia="Times New Roman"/>
              </w:rPr>
              <w:t>完善各项会议制度，规范会议程序，提高会议质量，提高人大代表及常委会审议水平。</w:t>
            </w:r>
          </w:p>
        </w:tc>
        <w:tc>
          <w:tcPr>
            <w:tcW w:w="1417" w:type="dxa"/>
            <w:vAlign w:val="center"/>
          </w:tcPr>
          <w:p>
            <w:pPr>
              <w:spacing w:line="300" w:lineRule="exact"/>
              <w:jc w:val="left"/>
              <w:rPr>
                <w:rFonts w:ascii="????_GBK" w:eastAsia="Times New Roman"/>
              </w:rPr>
            </w:pPr>
            <w:r>
              <w:rPr>
                <w:rFonts w:ascii="????_GBK" w:eastAsia="Times New Roman"/>
              </w:rPr>
              <w:t>会议筹备及会务工作的完成率</w:t>
            </w:r>
          </w:p>
        </w:tc>
        <w:tc>
          <w:tcPr>
            <w:tcW w:w="737" w:type="dxa"/>
            <w:vAlign w:val="center"/>
          </w:tcPr>
          <w:p>
            <w:pPr>
              <w:spacing w:line="300" w:lineRule="exact"/>
              <w:jc w:val="center"/>
              <w:rPr>
                <w:rFonts w:ascii="????_GBK" w:eastAsia="Times New Roman"/>
              </w:rPr>
            </w:pPr>
            <w:r>
              <w:rPr>
                <w:rFonts w:ascii="????_GBK" w:eastAsia="Times New Roman"/>
              </w:rPr>
              <w:t>≥100%</w:t>
            </w:r>
          </w:p>
        </w:tc>
        <w:tc>
          <w:tcPr>
            <w:tcW w:w="737" w:type="dxa"/>
            <w:vAlign w:val="center"/>
          </w:tcPr>
          <w:p>
            <w:pPr>
              <w:spacing w:line="300" w:lineRule="exact"/>
              <w:jc w:val="center"/>
              <w:rPr>
                <w:rFonts w:ascii="????_GBK" w:eastAsia="Times New Roman"/>
              </w:rPr>
            </w:pPr>
            <w:r>
              <w:rPr>
                <w:rFonts w:ascii="????_GBK" w:eastAsia="Times New Roman"/>
              </w:rPr>
              <w:t>≥95%</w:t>
            </w:r>
          </w:p>
        </w:tc>
        <w:tc>
          <w:tcPr>
            <w:tcW w:w="737" w:type="dxa"/>
            <w:vAlign w:val="center"/>
          </w:tcPr>
          <w:p>
            <w:pPr>
              <w:spacing w:line="300" w:lineRule="exact"/>
              <w:jc w:val="center"/>
              <w:rPr>
                <w:rFonts w:ascii="????_GBK" w:eastAsia="Times New Roman"/>
              </w:rPr>
            </w:pPr>
            <w:r>
              <w:rPr>
                <w:rFonts w:ascii="????_GBK" w:eastAsia="Times New Roman"/>
              </w:rPr>
              <w:t>≥90%</w:t>
            </w:r>
          </w:p>
        </w:tc>
        <w:tc>
          <w:tcPr>
            <w:tcW w:w="737" w:type="dxa"/>
            <w:vAlign w:val="center"/>
          </w:tcPr>
          <w:p>
            <w:pPr>
              <w:spacing w:line="300" w:lineRule="exact"/>
              <w:jc w:val="center"/>
              <w:rPr>
                <w:rFonts w:ascii="????_GBK" w:eastAsia="Times New Roman"/>
              </w:rPr>
            </w:pPr>
            <w:r>
              <w:rPr>
                <w:rFonts w:ascii="????_GBK" w:eastAsia="Times New Roman"/>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b/>
              </w:rPr>
            </w:pPr>
            <w:r>
              <w:rPr>
                <w:rFonts w:ascii="????_GBK" w:eastAsia="Times New Roman"/>
                <w:b/>
              </w:rPr>
              <w:t>选举和任免</w:t>
            </w:r>
          </w:p>
        </w:tc>
        <w:tc>
          <w:tcPr>
            <w:tcW w:w="1276" w:type="dxa"/>
            <w:vAlign w:val="center"/>
          </w:tcPr>
          <w:p>
            <w:pPr>
              <w:spacing w:line="300" w:lineRule="exact"/>
              <w:jc w:val="left"/>
              <w:rPr>
                <w:rFonts w:ascii="????_GBK" w:eastAsia="Times New Roman"/>
              </w:rPr>
            </w:pPr>
          </w:p>
        </w:tc>
        <w:tc>
          <w:tcPr>
            <w:tcW w:w="2976" w:type="dxa"/>
            <w:vAlign w:val="center"/>
          </w:tcPr>
          <w:p>
            <w:pPr>
              <w:spacing w:line="300" w:lineRule="exact"/>
              <w:jc w:val="left"/>
              <w:rPr>
                <w:rFonts w:ascii="????_GBK" w:eastAsia="Times New Roman"/>
              </w:rPr>
            </w:pPr>
            <w:r>
              <w:rPr>
                <w:rFonts w:ascii="????_GBK" w:eastAsia="Times New Roman"/>
              </w:rPr>
              <w:t>检查监督代表法、选举法及其实施办法的贯彻实施；承担人大换届选举及人事任免服务工作；负责对县政府组成人员和县级人民法院、县人民检察院主要负责人的目标责任书、述职报告的督办工作。</w:t>
            </w:r>
          </w:p>
        </w:tc>
        <w:tc>
          <w:tcPr>
            <w:tcW w:w="2976" w:type="dxa"/>
            <w:vAlign w:val="center"/>
          </w:tcPr>
          <w:p>
            <w:pPr>
              <w:spacing w:line="300" w:lineRule="exact"/>
              <w:jc w:val="left"/>
              <w:rPr>
                <w:rFonts w:ascii="????_GBK" w:eastAsia="Times New Roman"/>
              </w:rPr>
            </w:pPr>
            <w:r>
              <w:rPr>
                <w:rFonts w:ascii="????_GBK" w:eastAsia="Times New Roman"/>
              </w:rPr>
              <w:t>确保换届选举工作顺利完成，实现省市和县委人事安排部署；提高组织换届选举工作水平。</w:t>
            </w:r>
          </w:p>
        </w:tc>
        <w:tc>
          <w:tcPr>
            <w:tcW w:w="1417" w:type="dxa"/>
            <w:vAlign w:val="center"/>
          </w:tcPr>
          <w:p>
            <w:pPr>
              <w:spacing w:line="300" w:lineRule="exact"/>
              <w:jc w:val="left"/>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_GBK" w:eastAsia="Times New Roman"/>
                <w:b/>
              </w:rPr>
            </w:pPr>
            <w:r>
              <w:rPr>
                <w:rFonts w:ascii="????_GBK" w:eastAsia="Times New Roman"/>
                <w:b/>
              </w:rPr>
              <w:t>　　换届选举及人事任免</w:t>
            </w:r>
          </w:p>
        </w:tc>
        <w:tc>
          <w:tcPr>
            <w:tcW w:w="1276" w:type="dxa"/>
            <w:vMerge w:val="restart"/>
            <w:vAlign w:val="center"/>
          </w:tcPr>
          <w:p>
            <w:pPr>
              <w:spacing w:line="300" w:lineRule="exact"/>
              <w:jc w:val="left"/>
              <w:rPr>
                <w:rFonts w:ascii="????_GBK" w:eastAsia="Times New Roman"/>
              </w:rPr>
            </w:pPr>
          </w:p>
        </w:tc>
        <w:tc>
          <w:tcPr>
            <w:tcW w:w="2976" w:type="dxa"/>
            <w:vMerge w:val="restart"/>
            <w:vAlign w:val="center"/>
          </w:tcPr>
          <w:p>
            <w:pPr>
              <w:spacing w:line="300" w:lineRule="exact"/>
              <w:jc w:val="left"/>
              <w:rPr>
                <w:rFonts w:ascii="????_GBK" w:eastAsia="Times New Roman"/>
              </w:rPr>
            </w:pPr>
            <w:r>
              <w:rPr>
                <w:rFonts w:ascii="????_GBK" w:eastAsia="Times New Roman"/>
              </w:rPr>
              <w:t>承担县人大换届选举、县级国家机关领导人的选举和常委会人事任免的服务工作；指导市、县、乡人大换届选举工作；负责对县政府组成人员和县高级人民法院、县人民检察院主要负责人的目标责任书、述职报告的督办工作；对换届选举人员进行培训。</w:t>
            </w:r>
          </w:p>
        </w:tc>
        <w:tc>
          <w:tcPr>
            <w:tcW w:w="2976" w:type="dxa"/>
            <w:vMerge w:val="restart"/>
            <w:vAlign w:val="center"/>
          </w:tcPr>
          <w:p>
            <w:pPr>
              <w:spacing w:line="300" w:lineRule="exact"/>
              <w:jc w:val="left"/>
              <w:rPr>
                <w:rFonts w:ascii="????_GBK" w:eastAsia="Times New Roman"/>
              </w:rPr>
            </w:pPr>
            <w:r>
              <w:rPr>
                <w:rFonts w:ascii="????_GBK" w:eastAsia="Times New Roman"/>
              </w:rPr>
              <w:t>确保县人大和乡人大换届选举工作顺利完成，提高组织换届选举工作水平；高质量完成国家机关领导人选举和常委会人事任免服务工作；高效督办有关部门负责人的目标责任书和述职报告。</w:t>
            </w:r>
          </w:p>
        </w:tc>
        <w:tc>
          <w:tcPr>
            <w:tcW w:w="1417" w:type="dxa"/>
            <w:vAlign w:val="center"/>
          </w:tcPr>
          <w:p>
            <w:pPr>
              <w:spacing w:line="300" w:lineRule="exact"/>
              <w:jc w:val="left"/>
              <w:rPr>
                <w:rFonts w:ascii="????_GBK" w:eastAsia="Times New Roman"/>
              </w:rPr>
            </w:pPr>
            <w:r>
              <w:rPr>
                <w:rFonts w:ascii="????_GBK" w:eastAsia="Times New Roman"/>
              </w:rPr>
              <w:t>政治任务实现率</w:t>
            </w:r>
          </w:p>
        </w:tc>
        <w:tc>
          <w:tcPr>
            <w:tcW w:w="737" w:type="dxa"/>
            <w:vAlign w:val="center"/>
          </w:tcPr>
          <w:p>
            <w:pPr>
              <w:spacing w:line="300" w:lineRule="exact"/>
              <w:jc w:val="center"/>
              <w:rPr>
                <w:rFonts w:ascii="????_GBK" w:eastAsia="Times New Roman"/>
              </w:rPr>
            </w:pPr>
            <w:r>
              <w:rPr>
                <w:rFonts w:ascii="????_GBK" w:eastAsia="Times New Roman"/>
              </w:rPr>
              <w:t>≥100%</w:t>
            </w:r>
          </w:p>
        </w:tc>
        <w:tc>
          <w:tcPr>
            <w:tcW w:w="737" w:type="dxa"/>
            <w:vAlign w:val="center"/>
          </w:tcPr>
          <w:p>
            <w:pPr>
              <w:spacing w:line="300" w:lineRule="exact"/>
              <w:jc w:val="center"/>
              <w:rPr>
                <w:rFonts w:ascii="????_GBK" w:eastAsia="Times New Roman"/>
              </w:rPr>
            </w:pPr>
            <w:r>
              <w:rPr>
                <w:rFonts w:ascii="????_GBK" w:eastAsia="Times New Roman"/>
              </w:rPr>
              <w:t>≥95%</w:t>
            </w:r>
          </w:p>
        </w:tc>
        <w:tc>
          <w:tcPr>
            <w:tcW w:w="737" w:type="dxa"/>
            <w:vAlign w:val="center"/>
          </w:tcPr>
          <w:p>
            <w:pPr>
              <w:spacing w:line="300" w:lineRule="exact"/>
              <w:jc w:val="center"/>
              <w:rPr>
                <w:rFonts w:ascii="????_GBK" w:eastAsia="Times New Roman"/>
              </w:rPr>
            </w:pPr>
            <w:r>
              <w:rPr>
                <w:rFonts w:ascii="????_GBK" w:eastAsia="Times New Roman"/>
              </w:rPr>
              <w:t>≥90%</w:t>
            </w:r>
          </w:p>
        </w:tc>
        <w:tc>
          <w:tcPr>
            <w:tcW w:w="737" w:type="dxa"/>
            <w:vAlign w:val="center"/>
          </w:tcPr>
          <w:p>
            <w:pPr>
              <w:spacing w:line="300" w:lineRule="exact"/>
              <w:jc w:val="center"/>
              <w:rPr>
                <w:rFonts w:ascii="????_GBK" w:eastAsia="Times New Roman"/>
              </w:rPr>
            </w:pPr>
            <w:r>
              <w:rPr>
                <w:rFonts w:ascii="????_GBK" w:eastAsia="Times New Roman"/>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换届选举工作完成率</w:t>
            </w:r>
          </w:p>
        </w:tc>
        <w:tc>
          <w:tcPr>
            <w:tcW w:w="737" w:type="dxa"/>
            <w:vAlign w:val="center"/>
          </w:tcPr>
          <w:p>
            <w:pPr>
              <w:spacing w:line="300" w:lineRule="exact"/>
              <w:jc w:val="center"/>
              <w:rPr>
                <w:rFonts w:ascii="????_GBK" w:eastAsia="Times New Roman"/>
              </w:rPr>
            </w:pPr>
            <w:r>
              <w:rPr>
                <w:rFonts w:ascii="????_GBK" w:eastAsia="Times New Roman"/>
              </w:rPr>
              <w:t>100%</w:t>
            </w:r>
          </w:p>
        </w:tc>
        <w:tc>
          <w:tcPr>
            <w:tcW w:w="737" w:type="dxa"/>
            <w:vAlign w:val="center"/>
          </w:tcPr>
          <w:p>
            <w:pPr>
              <w:spacing w:line="300" w:lineRule="exact"/>
              <w:jc w:val="center"/>
              <w:rPr>
                <w:rFonts w:ascii="????_GBK" w:eastAsia="Times New Roman"/>
              </w:rPr>
            </w:pPr>
            <w:r>
              <w:rPr>
                <w:rFonts w:ascii="????_GBK" w:eastAsia="Times New Roman"/>
              </w:rPr>
              <w:t>≥95%</w:t>
            </w:r>
          </w:p>
        </w:tc>
        <w:tc>
          <w:tcPr>
            <w:tcW w:w="737" w:type="dxa"/>
            <w:vAlign w:val="center"/>
          </w:tcPr>
          <w:p>
            <w:pPr>
              <w:spacing w:line="300" w:lineRule="exact"/>
              <w:jc w:val="center"/>
              <w:rPr>
                <w:rFonts w:ascii="????_GBK" w:eastAsia="Times New Roman"/>
              </w:rPr>
            </w:pPr>
            <w:r>
              <w:rPr>
                <w:rFonts w:ascii="????_GBK" w:eastAsia="Times New Roman"/>
              </w:rPr>
              <w:t>≥90%</w:t>
            </w:r>
          </w:p>
        </w:tc>
        <w:tc>
          <w:tcPr>
            <w:tcW w:w="737" w:type="dxa"/>
            <w:vAlign w:val="center"/>
          </w:tcPr>
          <w:p>
            <w:pPr>
              <w:spacing w:line="300" w:lineRule="exact"/>
              <w:jc w:val="center"/>
              <w:rPr>
                <w:rFonts w:ascii="????_GBK" w:eastAsia="Times New Roman"/>
              </w:rPr>
            </w:pPr>
            <w:r>
              <w:rPr>
                <w:rFonts w:ascii="????_GBK" w:eastAsia="Times New Roman"/>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b/>
              </w:rPr>
            </w:pPr>
            <w:r>
              <w:rPr>
                <w:rFonts w:ascii="????_GBK" w:eastAsia="Times New Roman"/>
                <w:b/>
              </w:rPr>
              <w:t>人大事务管理</w:t>
            </w:r>
          </w:p>
        </w:tc>
        <w:tc>
          <w:tcPr>
            <w:tcW w:w="1276" w:type="dxa"/>
            <w:vAlign w:val="center"/>
          </w:tcPr>
          <w:p>
            <w:pPr>
              <w:spacing w:line="300" w:lineRule="exact"/>
              <w:jc w:val="left"/>
              <w:rPr>
                <w:rFonts w:ascii="????_GBK" w:eastAsia="Times New Roman"/>
              </w:rPr>
            </w:pPr>
            <w:r>
              <w:rPr>
                <w:rFonts w:ascii="????_GBK" w:eastAsia="Times New Roman"/>
              </w:rPr>
              <w:t>20.00</w:t>
            </w:r>
          </w:p>
        </w:tc>
        <w:tc>
          <w:tcPr>
            <w:tcW w:w="2976" w:type="dxa"/>
            <w:vAlign w:val="center"/>
          </w:tcPr>
          <w:p>
            <w:pPr>
              <w:spacing w:line="300" w:lineRule="exact"/>
              <w:jc w:val="left"/>
              <w:rPr>
                <w:rFonts w:ascii="????_GBK" w:eastAsia="Times New Roman"/>
              </w:rPr>
            </w:pPr>
            <w:r>
              <w:rPr>
                <w:rFonts w:ascii="????_GBK" w:eastAsia="Times New Roman"/>
              </w:rPr>
              <w:t>新闻宣传和机关信息化建设与维护；人代会及常委会会议表决系统、机关基础设施建设与维护；县</w:t>
            </w:r>
            <w:r>
              <w:rPr>
                <w:rFonts w:hint="eastAsia" w:ascii="????_GBK"/>
                <w:lang w:eastAsia="zh-CN"/>
              </w:rPr>
              <w:t>人大常委会机关</w:t>
            </w:r>
            <w:r>
              <w:rPr>
                <w:rFonts w:ascii="????_GBK" w:eastAsia="Times New Roman"/>
              </w:rPr>
              <w:t>日常管理事务；公报、年检的编辑印刷；信访工作。</w:t>
            </w:r>
          </w:p>
        </w:tc>
        <w:tc>
          <w:tcPr>
            <w:tcW w:w="2976" w:type="dxa"/>
            <w:vAlign w:val="center"/>
          </w:tcPr>
          <w:p>
            <w:pPr>
              <w:spacing w:line="300" w:lineRule="exact"/>
              <w:jc w:val="left"/>
              <w:rPr>
                <w:rFonts w:ascii="????_GBK" w:eastAsia="Times New Roman"/>
              </w:rPr>
            </w:pPr>
            <w:r>
              <w:rPr>
                <w:rFonts w:ascii="????_GBK" w:eastAsia="Times New Roman"/>
              </w:rPr>
              <w:t>促进机关自身建设、服务保障能力进一步提升。</w:t>
            </w:r>
          </w:p>
        </w:tc>
        <w:tc>
          <w:tcPr>
            <w:tcW w:w="1417" w:type="dxa"/>
            <w:vAlign w:val="center"/>
          </w:tcPr>
          <w:p>
            <w:pPr>
              <w:spacing w:line="300" w:lineRule="exact"/>
              <w:jc w:val="left"/>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_GBK" w:eastAsia="Times New Roman"/>
                <w:b/>
              </w:rPr>
            </w:pPr>
            <w:r>
              <w:rPr>
                <w:rFonts w:ascii="????_GBK" w:eastAsia="Times New Roman"/>
                <w:b/>
              </w:rPr>
              <w:t>　　综合业务管理</w:t>
            </w:r>
          </w:p>
        </w:tc>
        <w:tc>
          <w:tcPr>
            <w:tcW w:w="1276" w:type="dxa"/>
            <w:vMerge w:val="restart"/>
            <w:vAlign w:val="center"/>
          </w:tcPr>
          <w:p>
            <w:pPr>
              <w:spacing w:line="300" w:lineRule="exact"/>
              <w:jc w:val="left"/>
              <w:rPr>
                <w:rFonts w:ascii="????_GBK" w:eastAsia="Times New Roman"/>
              </w:rPr>
            </w:pPr>
          </w:p>
        </w:tc>
        <w:tc>
          <w:tcPr>
            <w:tcW w:w="2976" w:type="dxa"/>
            <w:vMerge w:val="restart"/>
            <w:vAlign w:val="center"/>
          </w:tcPr>
          <w:p>
            <w:pPr>
              <w:spacing w:line="300" w:lineRule="exact"/>
              <w:jc w:val="left"/>
              <w:rPr>
                <w:rFonts w:ascii="????_GBK" w:eastAsia="Times New Roman"/>
              </w:rPr>
            </w:pPr>
            <w:r>
              <w:rPr>
                <w:rFonts w:ascii="????_GBK" w:eastAsia="Times New Roman"/>
              </w:rPr>
              <w:t>办理来信来访，日常外事活动和县人大代表团出访事务，内外宾接待，常委会新闻发布和对外宣传，人大系列工作的宣传报道；会议表决系统建设与维护；代表大会和常委会会议公报、人大工作年鉴、大事记和组织史的编写及印刷；负责县内外人大常委会联系；重大课题调研。</w:t>
            </w:r>
          </w:p>
        </w:tc>
        <w:tc>
          <w:tcPr>
            <w:tcW w:w="2976" w:type="dxa"/>
            <w:vMerge w:val="restart"/>
            <w:vAlign w:val="center"/>
          </w:tcPr>
          <w:p>
            <w:pPr>
              <w:spacing w:line="300" w:lineRule="exact"/>
              <w:jc w:val="left"/>
              <w:rPr>
                <w:rFonts w:ascii="????_GBK" w:eastAsia="Times New Roman"/>
              </w:rPr>
            </w:pPr>
            <w:r>
              <w:rPr>
                <w:rFonts w:ascii="????_GBK" w:eastAsia="Times New Roman"/>
              </w:rPr>
              <w:t>保障新闻宣传与新闻发布工作正常开展，提高人大信息透明度和影响力；保障会议表决系统正常运转；网络与办公平台正常运行；促进社会和谐稳定。</w:t>
            </w:r>
          </w:p>
        </w:tc>
        <w:tc>
          <w:tcPr>
            <w:tcW w:w="1417" w:type="dxa"/>
            <w:vAlign w:val="center"/>
          </w:tcPr>
          <w:p>
            <w:pPr>
              <w:spacing w:line="300" w:lineRule="exact"/>
              <w:jc w:val="left"/>
              <w:rPr>
                <w:rFonts w:ascii="????_GBK" w:eastAsia="Times New Roman"/>
              </w:rPr>
            </w:pPr>
            <w:r>
              <w:rPr>
                <w:rFonts w:ascii="????_GBK" w:eastAsia="Times New Roman"/>
              </w:rPr>
              <w:t>表决系统完好率</w:t>
            </w:r>
          </w:p>
        </w:tc>
        <w:tc>
          <w:tcPr>
            <w:tcW w:w="737" w:type="dxa"/>
            <w:vAlign w:val="center"/>
          </w:tcPr>
          <w:p>
            <w:pPr>
              <w:spacing w:line="300" w:lineRule="exact"/>
              <w:jc w:val="center"/>
              <w:rPr>
                <w:rFonts w:ascii="????_GBK" w:eastAsia="Times New Roman"/>
              </w:rPr>
            </w:pPr>
            <w:r>
              <w:rPr>
                <w:rFonts w:ascii="????_GBK" w:eastAsia="Times New Roman"/>
              </w:rPr>
              <w:t>≥100%</w:t>
            </w:r>
          </w:p>
        </w:tc>
        <w:tc>
          <w:tcPr>
            <w:tcW w:w="737" w:type="dxa"/>
            <w:vAlign w:val="center"/>
          </w:tcPr>
          <w:p>
            <w:pPr>
              <w:spacing w:line="300" w:lineRule="exact"/>
              <w:jc w:val="center"/>
              <w:rPr>
                <w:rFonts w:ascii="????_GBK" w:eastAsia="Times New Roman"/>
              </w:rPr>
            </w:pPr>
            <w:r>
              <w:rPr>
                <w:rFonts w:ascii="????_GBK" w:eastAsia="Times New Roman"/>
              </w:rPr>
              <w:t>≥95%</w:t>
            </w:r>
          </w:p>
        </w:tc>
        <w:tc>
          <w:tcPr>
            <w:tcW w:w="737" w:type="dxa"/>
            <w:vAlign w:val="center"/>
          </w:tcPr>
          <w:p>
            <w:pPr>
              <w:spacing w:line="300" w:lineRule="exact"/>
              <w:jc w:val="center"/>
              <w:rPr>
                <w:rFonts w:ascii="????_GBK" w:eastAsia="Times New Roman"/>
              </w:rPr>
            </w:pPr>
            <w:r>
              <w:rPr>
                <w:rFonts w:ascii="????_GBK" w:eastAsia="Times New Roman"/>
              </w:rPr>
              <w:t>≥90%</w:t>
            </w:r>
          </w:p>
        </w:tc>
        <w:tc>
          <w:tcPr>
            <w:tcW w:w="737" w:type="dxa"/>
            <w:vAlign w:val="center"/>
          </w:tcPr>
          <w:p>
            <w:pPr>
              <w:spacing w:line="300" w:lineRule="exact"/>
              <w:jc w:val="center"/>
              <w:rPr>
                <w:rFonts w:ascii="????_GBK" w:eastAsia="Times New Roman"/>
              </w:rPr>
            </w:pPr>
            <w:r>
              <w:rPr>
                <w:rFonts w:ascii="????_GBK" w:eastAsia="Times New Roman"/>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会议表决系统建设与维护工作完成率</w:t>
            </w:r>
          </w:p>
        </w:tc>
        <w:tc>
          <w:tcPr>
            <w:tcW w:w="737" w:type="dxa"/>
            <w:vAlign w:val="center"/>
          </w:tcPr>
          <w:p>
            <w:pPr>
              <w:spacing w:line="300" w:lineRule="exact"/>
              <w:jc w:val="center"/>
              <w:rPr>
                <w:rFonts w:ascii="????_GBK" w:eastAsia="Times New Roman"/>
              </w:rPr>
            </w:pPr>
            <w:r>
              <w:rPr>
                <w:rFonts w:ascii="????_GBK" w:eastAsia="Times New Roman"/>
              </w:rPr>
              <w:t>≥100%</w:t>
            </w:r>
          </w:p>
        </w:tc>
        <w:tc>
          <w:tcPr>
            <w:tcW w:w="737" w:type="dxa"/>
            <w:vAlign w:val="center"/>
          </w:tcPr>
          <w:p>
            <w:pPr>
              <w:spacing w:line="300" w:lineRule="exact"/>
              <w:jc w:val="center"/>
              <w:rPr>
                <w:rFonts w:ascii="????_GBK" w:eastAsia="Times New Roman"/>
              </w:rPr>
            </w:pPr>
            <w:r>
              <w:rPr>
                <w:rFonts w:ascii="????_GBK" w:eastAsia="Times New Roman"/>
              </w:rPr>
              <w:t>≥95%</w:t>
            </w:r>
          </w:p>
        </w:tc>
        <w:tc>
          <w:tcPr>
            <w:tcW w:w="737" w:type="dxa"/>
            <w:vAlign w:val="center"/>
          </w:tcPr>
          <w:p>
            <w:pPr>
              <w:spacing w:line="300" w:lineRule="exact"/>
              <w:jc w:val="center"/>
              <w:rPr>
                <w:rFonts w:ascii="????_GBK" w:eastAsia="Times New Roman"/>
              </w:rPr>
            </w:pPr>
            <w:r>
              <w:rPr>
                <w:rFonts w:ascii="????_GBK" w:eastAsia="Times New Roman"/>
              </w:rPr>
              <w:t>≥90%</w:t>
            </w:r>
          </w:p>
        </w:tc>
        <w:tc>
          <w:tcPr>
            <w:tcW w:w="737" w:type="dxa"/>
            <w:vAlign w:val="center"/>
          </w:tcPr>
          <w:p>
            <w:pPr>
              <w:spacing w:line="300" w:lineRule="exact"/>
              <w:jc w:val="center"/>
              <w:rPr>
                <w:rFonts w:ascii="????_GBK" w:eastAsia="Times New Roman"/>
              </w:rPr>
            </w:pPr>
            <w:r>
              <w:rPr>
                <w:rFonts w:ascii="????_GBK" w:eastAsia="Times New Roman"/>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综合业务管理工作完成率</w:t>
            </w:r>
          </w:p>
        </w:tc>
        <w:tc>
          <w:tcPr>
            <w:tcW w:w="737" w:type="dxa"/>
            <w:vAlign w:val="center"/>
          </w:tcPr>
          <w:p>
            <w:pPr>
              <w:spacing w:line="300" w:lineRule="exact"/>
              <w:jc w:val="center"/>
              <w:rPr>
                <w:rFonts w:ascii="????_GBK" w:eastAsia="Times New Roman"/>
              </w:rPr>
            </w:pPr>
            <w:r>
              <w:rPr>
                <w:rFonts w:ascii="????_GBK" w:eastAsia="Times New Roman"/>
              </w:rPr>
              <w:t>100%</w:t>
            </w:r>
          </w:p>
        </w:tc>
        <w:tc>
          <w:tcPr>
            <w:tcW w:w="737" w:type="dxa"/>
            <w:vAlign w:val="center"/>
          </w:tcPr>
          <w:p>
            <w:pPr>
              <w:spacing w:line="300" w:lineRule="exact"/>
              <w:jc w:val="center"/>
              <w:rPr>
                <w:rFonts w:ascii="????_GBK" w:eastAsia="Times New Roman"/>
              </w:rPr>
            </w:pPr>
            <w:r>
              <w:rPr>
                <w:rFonts w:ascii="????_GBK" w:eastAsia="Times New Roman"/>
              </w:rPr>
              <w:t>≥95%</w:t>
            </w:r>
          </w:p>
        </w:tc>
        <w:tc>
          <w:tcPr>
            <w:tcW w:w="737" w:type="dxa"/>
            <w:vAlign w:val="center"/>
          </w:tcPr>
          <w:p>
            <w:pPr>
              <w:spacing w:line="300" w:lineRule="exact"/>
              <w:jc w:val="center"/>
              <w:rPr>
                <w:rFonts w:ascii="????_GBK" w:eastAsia="Times New Roman"/>
              </w:rPr>
            </w:pPr>
            <w:r>
              <w:rPr>
                <w:rFonts w:ascii="????_GBK" w:eastAsia="Times New Roman"/>
              </w:rPr>
              <w:t>≥90%</w:t>
            </w:r>
          </w:p>
        </w:tc>
        <w:tc>
          <w:tcPr>
            <w:tcW w:w="737" w:type="dxa"/>
            <w:vAlign w:val="center"/>
          </w:tcPr>
          <w:p>
            <w:pPr>
              <w:spacing w:line="300" w:lineRule="exact"/>
              <w:jc w:val="center"/>
              <w:rPr>
                <w:rFonts w:ascii="????_GBK" w:eastAsia="Times New Roman"/>
              </w:rPr>
            </w:pPr>
            <w:r>
              <w:rPr>
                <w:rFonts w:ascii="????_GBK" w:eastAsia="Times New Roman"/>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b/>
              </w:rPr>
            </w:pPr>
            <w:r>
              <w:rPr>
                <w:rFonts w:ascii="????_GBK" w:eastAsia="Times New Roman"/>
                <w:b/>
              </w:rPr>
              <w:t>　　综合事务管理</w:t>
            </w:r>
          </w:p>
        </w:tc>
        <w:tc>
          <w:tcPr>
            <w:tcW w:w="1276" w:type="dxa"/>
            <w:vAlign w:val="center"/>
          </w:tcPr>
          <w:p>
            <w:pPr>
              <w:spacing w:line="300" w:lineRule="exact"/>
              <w:jc w:val="left"/>
              <w:rPr>
                <w:rFonts w:ascii="????_GBK" w:eastAsia="Times New Roman"/>
              </w:rPr>
            </w:pPr>
            <w:r>
              <w:rPr>
                <w:rFonts w:ascii="????_GBK" w:eastAsia="Times New Roman"/>
              </w:rPr>
              <w:t>20.00</w:t>
            </w:r>
          </w:p>
        </w:tc>
        <w:tc>
          <w:tcPr>
            <w:tcW w:w="2976" w:type="dxa"/>
            <w:vAlign w:val="center"/>
          </w:tcPr>
          <w:p>
            <w:pPr>
              <w:spacing w:line="300" w:lineRule="exact"/>
              <w:jc w:val="left"/>
              <w:rPr>
                <w:rFonts w:ascii="????_GBK" w:eastAsia="Times New Roman"/>
              </w:rPr>
            </w:pPr>
            <w:r>
              <w:rPr>
                <w:rFonts w:ascii="????_GBK" w:eastAsia="Times New Roman"/>
              </w:rPr>
              <w:t>负责机关文书档案印信管理和保密，机关人事、离退休人员服务，财务、基建、后勤服务及警卫工作；机关信息建设和办公自动化建设；负责对全县人大系统信息建设和办公自动化建设的指导、规划、组织、协调和人员培训工作；纪检组办案及培训；领导交办的其他工作。</w:t>
            </w:r>
          </w:p>
        </w:tc>
        <w:tc>
          <w:tcPr>
            <w:tcW w:w="2976" w:type="dxa"/>
            <w:vAlign w:val="center"/>
          </w:tcPr>
          <w:p>
            <w:pPr>
              <w:spacing w:line="300" w:lineRule="exact"/>
              <w:jc w:val="left"/>
              <w:rPr>
                <w:rFonts w:ascii="????_GBK" w:eastAsia="Times New Roman"/>
              </w:rPr>
            </w:pPr>
            <w:r>
              <w:rPr>
                <w:rFonts w:ascii="????_GBK" w:eastAsia="Times New Roman"/>
              </w:rPr>
              <w:t>机关基础设施设备正常运转，信息化保障、老干部服务保障能力进一步提高。</w:t>
            </w:r>
          </w:p>
        </w:tc>
        <w:tc>
          <w:tcPr>
            <w:tcW w:w="1417" w:type="dxa"/>
            <w:vAlign w:val="center"/>
          </w:tcPr>
          <w:p>
            <w:pPr>
              <w:spacing w:line="300" w:lineRule="exact"/>
              <w:jc w:val="left"/>
              <w:rPr>
                <w:rFonts w:ascii="????_GBK" w:eastAsia="Times New Roman"/>
              </w:rPr>
            </w:pPr>
            <w:r>
              <w:rPr>
                <w:rFonts w:ascii="????_GBK" w:eastAsia="Times New Roman"/>
              </w:rPr>
              <w:t>综合事务管理工作完成率</w:t>
            </w:r>
          </w:p>
        </w:tc>
        <w:tc>
          <w:tcPr>
            <w:tcW w:w="737" w:type="dxa"/>
            <w:vAlign w:val="center"/>
          </w:tcPr>
          <w:p>
            <w:pPr>
              <w:spacing w:line="300" w:lineRule="exact"/>
              <w:jc w:val="center"/>
              <w:rPr>
                <w:rFonts w:ascii="????_GBK" w:eastAsia="Times New Roman"/>
              </w:rPr>
            </w:pPr>
            <w:r>
              <w:rPr>
                <w:rFonts w:ascii="????_GBK" w:eastAsia="Times New Roman"/>
              </w:rPr>
              <w:t>100%</w:t>
            </w:r>
          </w:p>
        </w:tc>
        <w:tc>
          <w:tcPr>
            <w:tcW w:w="737" w:type="dxa"/>
            <w:vAlign w:val="center"/>
          </w:tcPr>
          <w:p>
            <w:pPr>
              <w:spacing w:line="300" w:lineRule="exact"/>
              <w:jc w:val="center"/>
              <w:rPr>
                <w:rFonts w:ascii="????_GBK" w:eastAsia="Times New Roman"/>
              </w:rPr>
            </w:pPr>
            <w:r>
              <w:rPr>
                <w:rFonts w:ascii="????_GBK" w:eastAsia="Times New Roman"/>
              </w:rPr>
              <w:t>≥95%</w:t>
            </w:r>
          </w:p>
        </w:tc>
        <w:tc>
          <w:tcPr>
            <w:tcW w:w="737" w:type="dxa"/>
            <w:vAlign w:val="center"/>
          </w:tcPr>
          <w:p>
            <w:pPr>
              <w:spacing w:line="300" w:lineRule="exact"/>
              <w:jc w:val="center"/>
              <w:rPr>
                <w:rFonts w:ascii="????_GBK" w:eastAsia="Times New Roman"/>
              </w:rPr>
            </w:pPr>
            <w:r>
              <w:rPr>
                <w:rFonts w:ascii="????_GBK" w:eastAsia="Times New Roman"/>
              </w:rPr>
              <w:t>≥90%</w:t>
            </w:r>
          </w:p>
        </w:tc>
        <w:tc>
          <w:tcPr>
            <w:tcW w:w="737" w:type="dxa"/>
            <w:vAlign w:val="center"/>
          </w:tcPr>
          <w:p>
            <w:pPr>
              <w:spacing w:line="300" w:lineRule="exact"/>
              <w:jc w:val="center"/>
              <w:rPr>
                <w:rFonts w:ascii="????_GBK" w:eastAsia="Times New Roman"/>
              </w:rPr>
            </w:pPr>
            <w:r>
              <w:rPr>
                <w:rFonts w:ascii="????_GBK" w:eastAsia="Times New Roman"/>
              </w:rPr>
              <w:t>&lt;90%</w:t>
            </w:r>
          </w:p>
        </w:tc>
      </w:tr>
    </w:tbl>
    <w:p>
      <w:pPr>
        <w:autoSpaceDE w:val="0"/>
        <w:autoSpaceDN w:val="0"/>
        <w:adjustRightInd w:val="0"/>
        <w:jc w:val="left"/>
        <w:rPr>
          <w:rFonts w:ascii="??" w:hAnsi="??"/>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88" w:firstLineChars="215"/>
        <w:rPr>
          <w:rFonts w:ascii="仿宋" w:hAnsi="仿宋" w:eastAsia="仿宋" w:cs="??"/>
          <w:sz w:val="32"/>
          <w:szCs w:val="32"/>
        </w:rPr>
      </w:pPr>
      <w:r>
        <w:rPr>
          <w:rFonts w:ascii="仿宋" w:hAnsi="仿宋" w:eastAsia="仿宋" w:cs="??"/>
          <w:sz w:val="32"/>
          <w:szCs w:val="32"/>
        </w:rPr>
        <w:t>201</w:t>
      </w:r>
      <w:r>
        <w:rPr>
          <w:rFonts w:hint="eastAsia" w:ascii="仿宋" w:hAnsi="仿宋" w:eastAsia="仿宋" w:cs="??"/>
          <w:sz w:val="32"/>
          <w:szCs w:val="32"/>
        </w:rPr>
        <w:t>8</w:t>
      </w:r>
      <w:r>
        <w:rPr>
          <w:rFonts w:hint="eastAsia" w:ascii="仿宋" w:hAnsi="仿宋" w:eastAsia="仿宋" w:cs="宋体"/>
          <w:sz w:val="32"/>
          <w:szCs w:val="32"/>
        </w:rPr>
        <w:t>年我部门安排政府采购预算</w:t>
      </w:r>
      <w:r>
        <w:rPr>
          <w:rFonts w:ascii="仿宋" w:hAnsi="仿宋" w:eastAsia="仿宋" w:cs="??"/>
          <w:sz w:val="32"/>
          <w:szCs w:val="32"/>
        </w:rPr>
        <w:t>0</w:t>
      </w:r>
      <w:r>
        <w:rPr>
          <w:rFonts w:hint="eastAsia" w:ascii="仿宋" w:hAnsi="仿宋" w:eastAsia="仿宋" w:cs="宋体"/>
          <w:sz w:val="32"/>
          <w:szCs w:val="32"/>
        </w:rPr>
        <w:t>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pStyle w:val="9"/>
        <w:ind w:firstLine="640" w:firstLineChars="200"/>
        <w:rPr>
          <w:rFonts w:ascii="仿宋" w:hAnsi="仿宋" w:eastAsia="仿宋"/>
          <w:bCs/>
          <w:sz w:val="32"/>
          <w:szCs w:val="32"/>
          <w:lang w:eastAsia="zh-CN"/>
        </w:rPr>
      </w:pPr>
      <w:r>
        <w:rPr>
          <w:rFonts w:hint="eastAsia" w:ascii="仿宋_GB2312" w:hAnsi="仿宋_GB2312" w:eastAsia="仿宋_GB2312" w:cs="仿宋_GB2312"/>
          <w:sz w:val="32"/>
          <w:szCs w:val="32"/>
          <w:lang w:eastAsia="zh-CN"/>
        </w:rPr>
        <w:t>无极县人大办上年末固定资产为78万元（详见下表）。本年度拟购置固定资产为0万元。</w:t>
      </w:r>
    </w:p>
    <w:p>
      <w:pPr>
        <w:autoSpaceDE w:val="0"/>
        <w:autoSpaceDN w:val="0"/>
        <w:adjustRightInd w:val="0"/>
        <w:ind w:firstLine="4800" w:firstLineChars="1500"/>
        <w:rPr>
          <w:rFonts w:ascii="仿宋" w:hAnsi="仿宋" w:eastAsia="仿宋"/>
          <w:sz w:val="32"/>
        </w:rPr>
      </w:pPr>
      <w:r>
        <w:rPr>
          <w:rFonts w:hint="eastAsia" w:ascii="仿宋" w:hAnsi="仿宋" w:eastAsia="仿宋" w:cs="宋体"/>
          <w:sz w:val="32"/>
        </w:rPr>
        <w:t>无极县人大办固定资产占用情况表</w:t>
      </w:r>
    </w:p>
    <w:tbl>
      <w:tblPr>
        <w:tblStyle w:val="4"/>
        <w:tblpPr w:leftFromText="180" w:rightFromText="180" w:vertAnchor="text" w:horzAnchor="margin" w:tblpXSpec="center" w:tblpY="500"/>
        <w:tblW w:w="9271" w:type="dxa"/>
        <w:tblInd w:w="0" w:type="dxa"/>
        <w:tblLayout w:type="fixed"/>
        <w:tblCellMar>
          <w:top w:w="0" w:type="dxa"/>
          <w:left w:w="108" w:type="dxa"/>
          <w:bottom w:w="0" w:type="dxa"/>
          <w:right w:w="108" w:type="dxa"/>
        </w:tblCellMar>
      </w:tblPr>
      <w:tblGrid>
        <w:gridCol w:w="3527"/>
        <w:gridCol w:w="1785"/>
        <w:gridCol w:w="3959"/>
      </w:tblGrid>
      <w:tr>
        <w:tblPrEx>
          <w:tblCellMar>
            <w:top w:w="0" w:type="dxa"/>
            <w:left w:w="108" w:type="dxa"/>
            <w:bottom w:w="0" w:type="dxa"/>
            <w:right w:w="108" w:type="dxa"/>
          </w:tblCellMar>
        </w:tblPrEx>
        <w:trPr>
          <w:trHeight w:val="510" w:hRule="atLeast"/>
        </w:trPr>
        <w:tc>
          <w:tcPr>
            <w:tcW w:w="5312" w:type="dxa"/>
            <w:gridSpan w:val="2"/>
            <w:tcBorders>
              <w:top w:val="nil"/>
              <w:left w:val="nil"/>
              <w:bottom w:val="nil"/>
              <w:right w:val="nil"/>
            </w:tcBorders>
            <w:vAlign w:val="center"/>
          </w:tcPr>
          <w:p>
            <w:pPr>
              <w:widowControl/>
              <w:jc w:val="left"/>
              <w:rPr>
                <w:rFonts w:ascii="宋体"/>
                <w:kern w:val="0"/>
                <w:sz w:val="22"/>
              </w:rPr>
            </w:pPr>
            <w:r>
              <w:rPr>
                <w:rFonts w:hint="eastAsia" w:ascii="宋体" w:hAnsi="宋体" w:cs="宋体"/>
                <w:kern w:val="0"/>
                <w:sz w:val="22"/>
              </w:rPr>
              <w:t>编制部门：</w:t>
            </w:r>
            <w:r>
              <w:rPr>
                <w:rFonts w:hint="eastAsia" w:cs="宋体"/>
              </w:rPr>
              <w:t>无极县人民代表大会常务委员会办公室</w:t>
            </w:r>
          </w:p>
        </w:tc>
        <w:tc>
          <w:tcPr>
            <w:tcW w:w="3959" w:type="dxa"/>
            <w:tcBorders>
              <w:top w:val="nil"/>
              <w:left w:val="nil"/>
              <w:bottom w:val="nil"/>
              <w:right w:val="nil"/>
            </w:tcBorders>
            <w:vAlign w:val="center"/>
          </w:tcPr>
          <w:p>
            <w:pPr>
              <w:widowControl/>
              <w:ind w:firstLine="1080" w:firstLineChars="600"/>
              <w:jc w:val="left"/>
              <w:rPr>
                <w:rFonts w:ascii="宋体"/>
                <w:kern w:val="0"/>
                <w:sz w:val="18"/>
                <w:szCs w:val="18"/>
              </w:rPr>
            </w:pPr>
            <w:r>
              <w:rPr>
                <w:rFonts w:hint="eastAsia" w:ascii="宋体" w:hAnsi="宋体" w:cs="宋体"/>
                <w:kern w:val="0"/>
                <w:sz w:val="18"/>
                <w:szCs w:val="18"/>
              </w:rPr>
              <w:t>截止时间：</w:t>
            </w:r>
            <w:r>
              <w:rPr>
                <w:rFonts w:ascii="宋体" w:hAnsi="宋体" w:cs="宋体"/>
                <w:kern w:val="0"/>
                <w:sz w:val="18"/>
                <w:szCs w:val="18"/>
              </w:rPr>
              <w:t>201</w:t>
            </w:r>
            <w:r>
              <w:rPr>
                <w:rFonts w:hint="eastAsia" w:ascii="宋体" w:hAnsi="宋体" w:cs="宋体"/>
                <w:kern w:val="0"/>
                <w:sz w:val="18"/>
                <w:szCs w:val="18"/>
              </w:rPr>
              <w:t>7年</w:t>
            </w:r>
            <w:r>
              <w:rPr>
                <w:rFonts w:ascii="宋体" w:hAnsi="宋体" w:cs="宋体"/>
                <w:kern w:val="0"/>
                <w:sz w:val="18"/>
                <w:szCs w:val="18"/>
              </w:rPr>
              <w:t>12</w:t>
            </w:r>
            <w:r>
              <w:rPr>
                <w:rFonts w:hint="eastAsia" w:ascii="宋体" w:hAnsi="宋体" w:cs="宋体"/>
                <w:kern w:val="0"/>
                <w:sz w:val="18"/>
                <w:szCs w:val="18"/>
              </w:rPr>
              <w:t>月</w:t>
            </w:r>
            <w:r>
              <w:rPr>
                <w:rFonts w:ascii="宋体" w:hAnsi="宋体" w:cs="宋体"/>
                <w:kern w:val="0"/>
                <w:sz w:val="18"/>
                <w:szCs w:val="18"/>
              </w:rPr>
              <w:t>31</w:t>
            </w:r>
            <w:r>
              <w:rPr>
                <w:rFonts w:hint="eastAsia" w:ascii="宋体" w:hAnsi="宋体" w:cs="宋体"/>
                <w:kern w:val="0"/>
                <w:sz w:val="18"/>
                <w:szCs w:val="18"/>
              </w:rPr>
              <w:t>日</w:t>
            </w:r>
            <w:r>
              <w:rPr>
                <w:rFonts w:ascii="宋体" w:hAnsi="宋体" w:cs="宋体"/>
                <w:kern w:val="0"/>
                <w:sz w:val="18"/>
                <w:szCs w:val="18"/>
              </w:rPr>
              <w:t xml:space="preserve">  </w:t>
            </w:r>
          </w:p>
        </w:tc>
      </w:tr>
      <w:tr>
        <w:tblPrEx>
          <w:tblCellMar>
            <w:top w:w="0" w:type="dxa"/>
            <w:left w:w="108" w:type="dxa"/>
            <w:bottom w:w="0" w:type="dxa"/>
            <w:right w:w="108" w:type="dxa"/>
          </w:tblCellMar>
        </w:tblPrEx>
        <w:trPr>
          <w:trHeight w:val="645" w:hRule="atLeast"/>
        </w:trPr>
        <w:tc>
          <w:tcPr>
            <w:tcW w:w="3527"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b/>
                <w:bCs/>
                <w:kern w:val="0"/>
                <w:sz w:val="22"/>
              </w:rPr>
            </w:pPr>
            <w:r>
              <w:rPr>
                <w:rFonts w:hint="eastAsia" w:ascii="宋体" w:hAnsi="宋体" w:cs="宋体"/>
                <w:b/>
                <w:bCs/>
                <w:kern w:val="0"/>
                <w:sz w:val="22"/>
              </w:rPr>
              <w:t>项</w:t>
            </w:r>
            <w:r>
              <w:rPr>
                <w:rFonts w:ascii="宋体" w:hAnsi="宋体" w:cs="宋体"/>
                <w:b/>
                <w:bCs/>
                <w:kern w:val="0"/>
                <w:sz w:val="22"/>
              </w:rPr>
              <w:t xml:space="preserve">   </w:t>
            </w:r>
            <w:r>
              <w:rPr>
                <w:rFonts w:hint="eastAsia" w:ascii="宋体" w:hAnsi="宋体" w:cs="宋体"/>
                <w:b/>
                <w:bCs/>
                <w:kern w:val="0"/>
                <w:sz w:val="22"/>
              </w:rPr>
              <w:t>目</w:t>
            </w:r>
          </w:p>
        </w:tc>
        <w:tc>
          <w:tcPr>
            <w:tcW w:w="1785"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rPr>
            </w:pPr>
            <w:r>
              <w:rPr>
                <w:rFonts w:hint="eastAsia" w:ascii="宋体" w:hAnsi="宋体" w:cs="宋体"/>
                <w:b/>
                <w:bCs/>
                <w:kern w:val="0"/>
                <w:sz w:val="22"/>
              </w:rPr>
              <w:t>数量</w:t>
            </w:r>
          </w:p>
        </w:tc>
        <w:tc>
          <w:tcPr>
            <w:tcW w:w="3959"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525" w:hRule="atLeast"/>
        </w:trPr>
        <w:tc>
          <w:tcPr>
            <w:tcW w:w="3527" w:type="dxa"/>
            <w:tcBorders>
              <w:top w:val="nil"/>
              <w:left w:val="single" w:color="auto" w:sz="4" w:space="0"/>
              <w:bottom w:val="single" w:color="auto" w:sz="4" w:space="0"/>
              <w:right w:val="single" w:color="auto" w:sz="4" w:space="0"/>
            </w:tcBorders>
            <w:vAlign w:val="center"/>
          </w:tcPr>
          <w:p>
            <w:pPr>
              <w:widowControl/>
              <w:jc w:val="center"/>
              <w:rPr>
                <w:rFonts w:ascii="宋体"/>
                <w:kern w:val="0"/>
                <w:sz w:val="22"/>
              </w:rPr>
            </w:pPr>
            <w:r>
              <w:rPr>
                <w:rFonts w:hint="eastAsia" w:ascii="宋体" w:hAnsi="宋体" w:cs="宋体"/>
                <w:kern w:val="0"/>
                <w:sz w:val="22"/>
              </w:rPr>
              <w:t>资产总额</w:t>
            </w: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hAnsi="宋体" w:cs="宋体"/>
                <w:kern w:val="0"/>
                <w:sz w:val="22"/>
              </w:rPr>
              <w:t>——</w:t>
            </w:r>
          </w:p>
        </w:tc>
        <w:tc>
          <w:tcPr>
            <w:tcW w:w="3959"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kern w:val="0"/>
                <w:sz w:val="22"/>
              </w:rPr>
              <w:t>78</w:t>
            </w:r>
          </w:p>
        </w:tc>
      </w:tr>
      <w:tr>
        <w:tblPrEx>
          <w:tblCellMar>
            <w:top w:w="0" w:type="dxa"/>
            <w:left w:w="108" w:type="dxa"/>
            <w:bottom w:w="0" w:type="dxa"/>
            <w:right w:w="108" w:type="dxa"/>
          </w:tblCellMar>
        </w:tblPrEx>
        <w:trPr>
          <w:trHeight w:val="525" w:hRule="atLeast"/>
        </w:trPr>
        <w:tc>
          <w:tcPr>
            <w:tcW w:w="3527"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1</w:t>
            </w:r>
            <w:r>
              <w:rPr>
                <w:rFonts w:hint="eastAsia" w:ascii="宋体" w:hAnsi="宋体" w:cs="宋体"/>
                <w:kern w:val="0"/>
                <w:sz w:val="22"/>
              </w:rPr>
              <w:t>、房屋（平方米）</w:t>
            </w: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rPr>
            </w:pPr>
          </w:p>
        </w:tc>
        <w:tc>
          <w:tcPr>
            <w:tcW w:w="3959" w:type="dxa"/>
            <w:tcBorders>
              <w:top w:val="nil"/>
              <w:left w:val="nil"/>
              <w:bottom w:val="single" w:color="auto" w:sz="4" w:space="0"/>
              <w:right w:val="single" w:color="auto" w:sz="4" w:space="0"/>
            </w:tcBorders>
            <w:vAlign w:val="center"/>
          </w:tcPr>
          <w:p>
            <w:pPr>
              <w:widowControl/>
              <w:jc w:val="center"/>
              <w:rPr>
                <w:rFonts w:ascii="宋体"/>
                <w:kern w:val="0"/>
                <w:sz w:val="22"/>
              </w:rPr>
            </w:pPr>
          </w:p>
        </w:tc>
      </w:tr>
      <w:tr>
        <w:tblPrEx>
          <w:tblCellMar>
            <w:top w:w="0" w:type="dxa"/>
            <w:left w:w="108" w:type="dxa"/>
            <w:bottom w:w="0" w:type="dxa"/>
            <w:right w:w="108" w:type="dxa"/>
          </w:tblCellMar>
        </w:tblPrEx>
        <w:trPr>
          <w:trHeight w:val="525" w:hRule="atLeast"/>
        </w:trPr>
        <w:tc>
          <w:tcPr>
            <w:tcW w:w="3527"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 xml:space="preserve">  </w:t>
            </w:r>
            <w:r>
              <w:rPr>
                <w:rFonts w:hint="eastAsia" w:ascii="宋体" w:hAnsi="宋体" w:cs="宋体"/>
                <w:kern w:val="0"/>
                <w:sz w:val="22"/>
              </w:rPr>
              <w:t>其中：办公用房（平方米）</w:t>
            </w: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rPr>
            </w:pPr>
          </w:p>
        </w:tc>
        <w:tc>
          <w:tcPr>
            <w:tcW w:w="3959" w:type="dxa"/>
            <w:tcBorders>
              <w:top w:val="nil"/>
              <w:left w:val="nil"/>
              <w:bottom w:val="single" w:color="auto" w:sz="4" w:space="0"/>
              <w:right w:val="single" w:color="auto" w:sz="4" w:space="0"/>
            </w:tcBorders>
            <w:vAlign w:val="center"/>
          </w:tcPr>
          <w:p>
            <w:pPr>
              <w:widowControl/>
              <w:jc w:val="center"/>
              <w:rPr>
                <w:rFonts w:ascii="宋体"/>
                <w:kern w:val="0"/>
                <w:sz w:val="22"/>
              </w:rPr>
            </w:pPr>
          </w:p>
        </w:tc>
      </w:tr>
      <w:tr>
        <w:tblPrEx>
          <w:tblCellMar>
            <w:top w:w="0" w:type="dxa"/>
            <w:left w:w="108" w:type="dxa"/>
            <w:bottom w:w="0" w:type="dxa"/>
            <w:right w:w="108" w:type="dxa"/>
          </w:tblCellMar>
        </w:tblPrEx>
        <w:trPr>
          <w:trHeight w:val="510" w:hRule="atLeast"/>
        </w:trPr>
        <w:tc>
          <w:tcPr>
            <w:tcW w:w="3527"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2</w:t>
            </w:r>
            <w:r>
              <w:rPr>
                <w:rFonts w:hint="eastAsia" w:ascii="宋体" w:hAnsi="宋体" w:cs="宋体"/>
                <w:kern w:val="0"/>
                <w:sz w:val="22"/>
              </w:rPr>
              <w:t>、车辆（台、辆）</w:t>
            </w: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kern w:val="0"/>
                <w:sz w:val="22"/>
              </w:rPr>
              <w:t>4</w:t>
            </w:r>
          </w:p>
        </w:tc>
        <w:tc>
          <w:tcPr>
            <w:tcW w:w="3959"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kern w:val="0"/>
                <w:sz w:val="22"/>
              </w:rPr>
              <w:t>69</w:t>
            </w:r>
          </w:p>
        </w:tc>
      </w:tr>
      <w:tr>
        <w:tblPrEx>
          <w:tblCellMar>
            <w:top w:w="0" w:type="dxa"/>
            <w:left w:w="108" w:type="dxa"/>
            <w:bottom w:w="0" w:type="dxa"/>
            <w:right w:w="108" w:type="dxa"/>
          </w:tblCellMar>
        </w:tblPrEx>
        <w:trPr>
          <w:trHeight w:val="555" w:hRule="atLeast"/>
        </w:trPr>
        <w:tc>
          <w:tcPr>
            <w:tcW w:w="3527"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万元以上设备</w:t>
            </w: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hAnsi="宋体" w:cs="宋体"/>
                <w:kern w:val="0"/>
                <w:sz w:val="22"/>
              </w:rPr>
              <w:t>——</w:t>
            </w:r>
          </w:p>
        </w:tc>
        <w:tc>
          <w:tcPr>
            <w:tcW w:w="3959" w:type="dxa"/>
            <w:tcBorders>
              <w:top w:val="nil"/>
              <w:left w:val="nil"/>
              <w:bottom w:val="single" w:color="auto" w:sz="4" w:space="0"/>
              <w:right w:val="single" w:color="auto" w:sz="4" w:space="0"/>
            </w:tcBorders>
            <w:vAlign w:val="center"/>
          </w:tcPr>
          <w:p>
            <w:pPr>
              <w:widowControl/>
              <w:jc w:val="center"/>
              <w:rPr>
                <w:rFonts w:ascii="宋体"/>
                <w:kern w:val="0"/>
                <w:sz w:val="22"/>
              </w:rPr>
            </w:pPr>
          </w:p>
        </w:tc>
      </w:tr>
      <w:tr>
        <w:tblPrEx>
          <w:tblCellMar>
            <w:top w:w="0" w:type="dxa"/>
            <w:left w:w="108" w:type="dxa"/>
            <w:bottom w:w="0" w:type="dxa"/>
            <w:right w:w="108" w:type="dxa"/>
          </w:tblCellMar>
        </w:tblPrEx>
        <w:trPr>
          <w:trHeight w:val="580" w:hRule="atLeast"/>
        </w:trPr>
        <w:tc>
          <w:tcPr>
            <w:tcW w:w="3527"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4</w:t>
            </w:r>
            <w:r>
              <w:rPr>
                <w:rFonts w:hint="eastAsia" w:ascii="宋体" w:hAnsi="宋体" w:cs="宋体"/>
                <w:kern w:val="0"/>
                <w:sz w:val="22"/>
              </w:rPr>
              <w:t>、其他固定资产</w:t>
            </w: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hAnsi="宋体" w:cs="宋体"/>
                <w:kern w:val="0"/>
                <w:sz w:val="22"/>
              </w:rPr>
              <w:t>——</w:t>
            </w:r>
          </w:p>
        </w:tc>
        <w:tc>
          <w:tcPr>
            <w:tcW w:w="3959"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kern w:val="0"/>
                <w:sz w:val="22"/>
              </w:rPr>
              <w:t>9</w:t>
            </w:r>
          </w:p>
        </w:tc>
      </w:tr>
    </w:tbl>
    <w:p>
      <w:pPr>
        <w:autoSpaceDE w:val="0"/>
        <w:autoSpaceDN w:val="0"/>
        <w:adjustRightInd w:val="0"/>
        <w:rPr>
          <w:rFonts w:ascii="??" w:hAnsi="??"/>
          <w:sz w:val="32"/>
        </w:rPr>
      </w:pPr>
    </w:p>
    <w:p>
      <w:pPr>
        <w:autoSpaceDE w:val="0"/>
        <w:autoSpaceDN w:val="0"/>
        <w:adjustRightInd w:val="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spacing w:line="560" w:lineRule="exact"/>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spacing w:line="560" w:lineRule="exact"/>
        <w:ind w:firstLine="720"/>
        <w:rPr>
          <w:rFonts w:ascii="仿宋" w:hAnsi="仿宋" w:eastAsia="仿宋"/>
          <w:sz w:val="32"/>
          <w:szCs w:val="32"/>
        </w:rPr>
      </w:pPr>
      <w:r>
        <w:rPr>
          <w:rFonts w:ascii="仿宋" w:hAnsi="仿宋" w:eastAsia="仿宋"/>
          <w:sz w:val="32"/>
          <w:szCs w:val="32"/>
        </w:rPr>
        <w:t>1.</w:t>
      </w:r>
      <w:r>
        <w:rPr>
          <w:rFonts w:hint="eastAsia" w:ascii="仿宋" w:hAnsi="仿宋" w:eastAsia="仿宋" w:cs="宋体"/>
          <w:sz w:val="32"/>
          <w:szCs w:val="32"/>
        </w:rPr>
        <w:t>财政拨款收入</w:t>
      </w:r>
    </w:p>
    <w:p>
      <w:pPr>
        <w:spacing w:line="560" w:lineRule="exact"/>
        <w:ind w:firstLine="720"/>
        <w:rPr>
          <w:rFonts w:ascii="仿宋" w:hAnsi="仿宋" w:eastAsia="仿宋"/>
          <w:sz w:val="32"/>
          <w:szCs w:val="32"/>
        </w:rPr>
      </w:pPr>
      <w:r>
        <w:rPr>
          <w:rFonts w:hint="eastAsia" w:ascii="仿宋" w:hAnsi="仿宋" w:eastAsia="仿宋" w:cs="宋体"/>
          <w:sz w:val="32"/>
          <w:szCs w:val="32"/>
        </w:rPr>
        <w:t>财政拨款收入是指财政部门按照批复的预算核拨给单位的财政预算资金。</w:t>
      </w:r>
    </w:p>
    <w:p>
      <w:pPr>
        <w:spacing w:line="560" w:lineRule="exact"/>
        <w:ind w:firstLine="720"/>
        <w:rPr>
          <w:rFonts w:ascii="仿宋" w:hAnsi="仿宋" w:eastAsia="仿宋"/>
          <w:sz w:val="32"/>
          <w:szCs w:val="32"/>
        </w:rPr>
      </w:pPr>
      <w:r>
        <w:rPr>
          <w:rFonts w:ascii="仿宋" w:hAnsi="仿宋" w:eastAsia="仿宋"/>
          <w:sz w:val="32"/>
          <w:szCs w:val="32"/>
        </w:rPr>
        <w:t>2.</w:t>
      </w:r>
      <w:r>
        <w:rPr>
          <w:rFonts w:hint="eastAsia" w:ascii="仿宋" w:hAnsi="仿宋" w:eastAsia="仿宋" w:cs="宋体"/>
          <w:sz w:val="32"/>
          <w:szCs w:val="32"/>
        </w:rPr>
        <w:t>基本支出、项目支出</w:t>
      </w:r>
    </w:p>
    <w:p>
      <w:pPr>
        <w:spacing w:line="560" w:lineRule="exact"/>
        <w:ind w:firstLine="720"/>
        <w:rPr>
          <w:rFonts w:ascii="仿宋" w:hAnsi="仿宋" w:eastAsia="仿宋"/>
          <w:sz w:val="32"/>
          <w:szCs w:val="32"/>
        </w:rPr>
      </w:pPr>
      <w:r>
        <w:rPr>
          <w:rFonts w:hint="eastAsia" w:ascii="仿宋" w:hAnsi="仿宋" w:eastAsia="仿宋" w:cs="宋体"/>
          <w:sz w:val="32"/>
          <w:szCs w:val="32"/>
        </w:rPr>
        <w:t>基本支出是指预算单位为保障机构正常运转和完成日常工作而发生的各项支出，包括人员经费和日常公用经费。</w:t>
      </w:r>
    </w:p>
    <w:p>
      <w:pPr>
        <w:spacing w:line="560" w:lineRule="exact"/>
        <w:ind w:firstLine="720"/>
        <w:rPr>
          <w:rFonts w:ascii="仿宋" w:hAnsi="仿宋" w:eastAsia="仿宋"/>
          <w:sz w:val="32"/>
          <w:szCs w:val="32"/>
        </w:rPr>
      </w:pPr>
      <w:r>
        <w:rPr>
          <w:rFonts w:hint="eastAsia" w:ascii="仿宋" w:hAnsi="仿宋" w:eastAsia="仿宋" w:cs="宋体"/>
          <w:sz w:val="32"/>
          <w:szCs w:val="32"/>
        </w:rPr>
        <w:t>项目支出是指在基本支出之外完成特定行政任务和事业发展目标所发生的支出。</w:t>
      </w:r>
    </w:p>
    <w:p>
      <w:pPr>
        <w:spacing w:line="560" w:lineRule="exact"/>
        <w:ind w:firstLine="720"/>
        <w:rPr>
          <w:rFonts w:ascii="仿宋" w:hAnsi="仿宋" w:eastAsia="仿宋"/>
          <w:sz w:val="32"/>
          <w:szCs w:val="32"/>
        </w:rPr>
      </w:pPr>
      <w:r>
        <w:rPr>
          <w:rFonts w:ascii="仿宋" w:hAnsi="仿宋" w:eastAsia="仿宋"/>
          <w:sz w:val="32"/>
          <w:szCs w:val="32"/>
        </w:rPr>
        <w:t>3.</w:t>
      </w:r>
      <w:r>
        <w:rPr>
          <w:rFonts w:hint="eastAsia" w:ascii="仿宋" w:hAnsi="仿宋" w:eastAsia="仿宋" w:cs="宋体"/>
          <w:sz w:val="32"/>
          <w:szCs w:val="32"/>
        </w:rPr>
        <w:t>一般公共服务支出</w:t>
      </w:r>
    </w:p>
    <w:p>
      <w:pPr>
        <w:spacing w:line="560" w:lineRule="exact"/>
        <w:ind w:firstLine="720"/>
        <w:rPr>
          <w:rFonts w:ascii="仿宋" w:hAnsi="仿宋" w:eastAsia="仿宋"/>
          <w:sz w:val="32"/>
          <w:szCs w:val="32"/>
        </w:rPr>
      </w:pPr>
      <w:r>
        <w:rPr>
          <w:rFonts w:hint="eastAsia" w:ascii="仿宋" w:hAnsi="仿宋" w:eastAsia="仿宋" w:cs="宋体"/>
          <w:sz w:val="32"/>
          <w:szCs w:val="32"/>
        </w:rPr>
        <w:t>一般公共服务支出是指反映预算单位一般公共服务的支出。</w:t>
      </w:r>
    </w:p>
    <w:p>
      <w:pPr>
        <w:spacing w:line="560" w:lineRule="exact"/>
        <w:ind w:firstLine="720"/>
        <w:rPr>
          <w:rFonts w:ascii="仿宋" w:hAnsi="仿宋" w:eastAsia="仿宋"/>
          <w:sz w:val="32"/>
          <w:szCs w:val="32"/>
        </w:rPr>
      </w:pPr>
      <w:r>
        <w:rPr>
          <w:rFonts w:ascii="仿宋" w:hAnsi="仿宋" w:eastAsia="仿宋"/>
          <w:sz w:val="32"/>
          <w:szCs w:val="32"/>
        </w:rPr>
        <w:t>4.</w:t>
      </w:r>
      <w:r>
        <w:rPr>
          <w:rFonts w:hint="eastAsia" w:ascii="仿宋" w:hAnsi="仿宋" w:eastAsia="仿宋" w:cs="宋体"/>
          <w:sz w:val="32"/>
          <w:szCs w:val="32"/>
        </w:rPr>
        <w:t>文化体育与传媒支出</w:t>
      </w:r>
    </w:p>
    <w:p>
      <w:pPr>
        <w:spacing w:line="560" w:lineRule="exact"/>
        <w:ind w:firstLine="720"/>
        <w:rPr>
          <w:rFonts w:ascii="仿宋" w:hAnsi="仿宋" w:eastAsia="仿宋"/>
          <w:sz w:val="32"/>
          <w:szCs w:val="32"/>
        </w:rPr>
      </w:pPr>
      <w:r>
        <w:rPr>
          <w:rFonts w:hint="eastAsia" w:ascii="仿宋" w:hAnsi="仿宋" w:eastAsia="仿宋" w:cs="宋体"/>
          <w:sz w:val="32"/>
          <w:szCs w:val="32"/>
        </w:rPr>
        <w:t>文化体育与传媒支出是指反映预算单位在文化、文物、体育、广播影视、新闻出版等方面的支出。</w:t>
      </w:r>
    </w:p>
    <w:p>
      <w:pPr>
        <w:spacing w:line="560" w:lineRule="exact"/>
        <w:ind w:firstLine="720"/>
        <w:rPr>
          <w:rFonts w:ascii="仿宋" w:hAnsi="仿宋" w:eastAsia="仿宋"/>
          <w:sz w:val="32"/>
          <w:szCs w:val="32"/>
        </w:rPr>
      </w:pPr>
      <w:r>
        <w:rPr>
          <w:rFonts w:ascii="仿宋" w:hAnsi="仿宋" w:eastAsia="仿宋"/>
          <w:sz w:val="32"/>
          <w:szCs w:val="32"/>
        </w:rPr>
        <w:t>5.</w:t>
      </w:r>
      <w:r>
        <w:rPr>
          <w:rFonts w:hint="eastAsia" w:ascii="仿宋" w:hAnsi="仿宋" w:eastAsia="仿宋" w:cs="宋体"/>
          <w:sz w:val="32"/>
          <w:szCs w:val="32"/>
        </w:rPr>
        <w:t>社会保障和就业支出</w:t>
      </w:r>
    </w:p>
    <w:p>
      <w:pPr>
        <w:spacing w:line="560" w:lineRule="exact"/>
        <w:ind w:firstLine="720"/>
        <w:rPr>
          <w:rFonts w:ascii="仿宋" w:hAnsi="仿宋" w:eastAsia="仿宋"/>
          <w:sz w:val="32"/>
          <w:szCs w:val="32"/>
        </w:rPr>
      </w:pPr>
      <w:r>
        <w:rPr>
          <w:rFonts w:hint="eastAsia" w:ascii="仿宋" w:hAnsi="仿宋" w:eastAsia="仿宋" w:cs="宋体"/>
          <w:sz w:val="32"/>
          <w:szCs w:val="32"/>
        </w:rPr>
        <w:t>社会保障和就业支出是指预算单位在社会保障和就业方面的支出。</w:t>
      </w:r>
    </w:p>
    <w:p>
      <w:pPr>
        <w:spacing w:line="560" w:lineRule="exact"/>
        <w:ind w:firstLine="720"/>
        <w:rPr>
          <w:rFonts w:ascii="仿宋" w:hAnsi="仿宋" w:eastAsia="仿宋"/>
          <w:sz w:val="32"/>
          <w:szCs w:val="32"/>
        </w:rPr>
      </w:pPr>
      <w:r>
        <w:rPr>
          <w:rFonts w:ascii="仿宋" w:hAnsi="仿宋" w:eastAsia="仿宋"/>
          <w:sz w:val="32"/>
          <w:szCs w:val="32"/>
        </w:rPr>
        <w:t>6.</w:t>
      </w:r>
      <w:r>
        <w:rPr>
          <w:rFonts w:hint="eastAsia" w:ascii="仿宋" w:hAnsi="仿宋" w:eastAsia="仿宋" w:cs="宋体"/>
          <w:sz w:val="32"/>
          <w:szCs w:val="32"/>
        </w:rPr>
        <w:t>机关运行经费</w:t>
      </w:r>
    </w:p>
    <w:p>
      <w:pPr>
        <w:spacing w:line="560" w:lineRule="exact"/>
        <w:ind w:firstLine="720"/>
        <w:rPr>
          <w:rFonts w:ascii="仿宋" w:hAnsi="仿宋" w:eastAsia="仿宋"/>
          <w:sz w:val="32"/>
          <w:szCs w:val="32"/>
        </w:rPr>
      </w:pPr>
      <w:r>
        <w:rPr>
          <w:rFonts w:hint="eastAsia" w:ascii="仿宋" w:hAnsi="仿宋" w:eastAsia="仿宋" w:cs="宋体"/>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spacing w:line="560" w:lineRule="exact"/>
        <w:ind w:firstLine="720"/>
        <w:rPr>
          <w:rFonts w:ascii="仿宋" w:hAnsi="仿宋" w:eastAsia="仿宋"/>
          <w:sz w:val="32"/>
          <w:szCs w:val="32"/>
        </w:rPr>
      </w:pPr>
      <w:r>
        <w:rPr>
          <w:rFonts w:ascii="仿宋" w:hAnsi="仿宋" w:eastAsia="仿宋"/>
          <w:sz w:val="32"/>
          <w:szCs w:val="32"/>
        </w:rPr>
        <w:t>7.</w:t>
      </w:r>
      <w:r>
        <w:rPr>
          <w:rFonts w:hint="eastAsia" w:ascii="仿宋" w:hAnsi="仿宋" w:eastAsia="仿宋"/>
          <w:sz w:val="32"/>
          <w:szCs w:val="32"/>
        </w:rPr>
        <w:t>“</w:t>
      </w:r>
      <w:r>
        <w:rPr>
          <w:rFonts w:hint="eastAsia" w:ascii="仿宋" w:hAnsi="仿宋" w:eastAsia="仿宋" w:cs="宋体"/>
          <w:sz w:val="32"/>
          <w:szCs w:val="32"/>
        </w:rPr>
        <w:t>三公</w:t>
      </w:r>
      <w:r>
        <w:rPr>
          <w:rFonts w:hint="eastAsia" w:ascii="仿宋" w:hAnsi="仿宋" w:eastAsia="仿宋"/>
          <w:sz w:val="32"/>
          <w:szCs w:val="32"/>
        </w:rPr>
        <w:t>”</w:t>
      </w:r>
      <w:r>
        <w:rPr>
          <w:rFonts w:hint="eastAsia" w:ascii="仿宋" w:hAnsi="仿宋" w:eastAsia="仿宋" w:cs="宋体"/>
          <w:sz w:val="32"/>
          <w:szCs w:val="32"/>
        </w:rPr>
        <w:t>经费</w:t>
      </w:r>
    </w:p>
    <w:p>
      <w:pPr>
        <w:spacing w:line="560" w:lineRule="exact"/>
        <w:ind w:firstLine="720"/>
        <w:rPr>
          <w:rFonts w:ascii="仿宋" w:hAnsi="仿宋" w:eastAsia="仿宋"/>
          <w:sz w:val="32"/>
          <w:szCs w:val="32"/>
        </w:rPr>
      </w:pPr>
      <w:r>
        <w:rPr>
          <w:rFonts w:hint="eastAsia" w:ascii="仿宋" w:hAnsi="仿宋" w:eastAsia="仿宋"/>
          <w:sz w:val="32"/>
          <w:szCs w:val="32"/>
        </w:rPr>
        <w:t>“</w:t>
      </w:r>
      <w:r>
        <w:rPr>
          <w:rFonts w:hint="eastAsia" w:ascii="仿宋" w:hAnsi="仿宋" w:eastAsia="仿宋" w:cs="宋体"/>
          <w:sz w:val="32"/>
          <w:szCs w:val="32"/>
        </w:rPr>
        <w:t>三公</w:t>
      </w:r>
      <w:r>
        <w:rPr>
          <w:rFonts w:hint="eastAsia" w:ascii="仿宋" w:hAnsi="仿宋" w:eastAsia="仿宋"/>
          <w:sz w:val="32"/>
          <w:szCs w:val="32"/>
        </w:rPr>
        <w:t>”</w:t>
      </w:r>
      <w:r>
        <w:rPr>
          <w:rFonts w:hint="eastAsia" w:ascii="仿宋" w:hAnsi="仿宋" w:eastAsia="仿宋" w:cs="宋体"/>
          <w:sz w:val="32"/>
          <w:szCs w:val="32"/>
        </w:rPr>
        <w:t>经费是指因公出国（境）费、公务用车购置及运行维护费和公务接待费。</w:t>
      </w:r>
    </w:p>
    <w:p>
      <w:pPr>
        <w:spacing w:line="560" w:lineRule="exact"/>
        <w:ind w:firstLine="720"/>
        <w:rPr>
          <w:rFonts w:ascii="仿宋" w:hAnsi="仿宋" w:eastAsia="仿宋"/>
          <w:sz w:val="32"/>
          <w:szCs w:val="32"/>
        </w:rPr>
      </w:pPr>
      <w:r>
        <w:rPr>
          <w:rFonts w:hint="eastAsia" w:ascii="仿宋" w:hAnsi="仿宋" w:eastAsia="仿宋" w:cs="宋体"/>
          <w:sz w:val="32"/>
          <w:szCs w:val="32"/>
        </w:rPr>
        <w:t>因公出国（境）费是指单位公务出国（境）的国际旅费、国外城市间交通费、住宿费、伙食费、培训费、公杂费等支出。</w:t>
      </w:r>
    </w:p>
    <w:p>
      <w:pPr>
        <w:spacing w:line="560" w:lineRule="exact"/>
        <w:ind w:firstLine="720"/>
        <w:rPr>
          <w:rFonts w:ascii="仿宋" w:hAnsi="仿宋" w:eastAsia="仿宋"/>
          <w:sz w:val="32"/>
          <w:szCs w:val="32"/>
        </w:rPr>
      </w:pPr>
      <w:r>
        <w:rPr>
          <w:rFonts w:hint="eastAsia" w:ascii="仿宋" w:hAnsi="仿宋" w:eastAsia="仿宋" w:cs="宋体"/>
          <w:sz w:val="32"/>
          <w:szCs w:val="32"/>
        </w:rPr>
        <w:t>公务用车购置及运行维护费是指单位购置公务用车及公务用车租用费、燃料费、维修费、路桥费、保险费等支出。</w:t>
      </w:r>
    </w:p>
    <w:p>
      <w:pPr>
        <w:spacing w:line="560" w:lineRule="exact"/>
        <w:ind w:firstLine="720"/>
        <w:rPr>
          <w:rFonts w:ascii="仿宋" w:hAnsi="仿宋" w:eastAsia="仿宋"/>
          <w:sz w:val="32"/>
          <w:szCs w:val="32"/>
        </w:rPr>
      </w:pPr>
      <w:r>
        <w:rPr>
          <w:rFonts w:hint="eastAsia" w:ascii="仿宋" w:hAnsi="仿宋" w:eastAsia="仿宋" w:cs="宋体"/>
          <w:sz w:val="32"/>
          <w:szCs w:val="32"/>
        </w:rPr>
        <w:t>公务接待费是指单位按规定开支的各类公务接待（含外宾接待）费用。</w:t>
      </w:r>
    </w:p>
    <w:p>
      <w:pPr>
        <w:autoSpaceDE w:val="0"/>
        <w:autoSpaceDN w:val="0"/>
        <w:adjustRightInd w:val="0"/>
        <w:spacing w:line="560" w:lineRule="exact"/>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spacing w:line="560" w:lineRule="exact"/>
        <w:ind w:firstLine="320" w:firstLineChars="100"/>
        <w:rPr>
          <w:rFonts w:ascii="??" w:hAnsi="??"/>
          <w:sz w:val="32"/>
          <w:szCs w:val="32"/>
        </w:rPr>
      </w:pPr>
      <w:r>
        <w:rPr>
          <w:rFonts w:hint="eastAsia" w:ascii="宋体" w:hAnsi="宋体" w:cs="宋体"/>
          <w:sz w:val="32"/>
          <w:szCs w:val="32"/>
        </w:rPr>
        <w:t>我部门无其他需要说明的事项。</w:t>
      </w:r>
    </w:p>
    <w:sectPr>
      <w:head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
    <w:altName w:val="Times New Roman"/>
    <w:panose1 w:val="00000000000000000000"/>
    <w:charset w:val="00"/>
    <w:family w:val="auto"/>
    <w:pitch w:val="default"/>
    <w:sig w:usb0="00000000" w:usb1="00000000" w:usb2="00000000" w:usb3="00000000" w:csb0="00000001" w:csb1="00000000"/>
  </w:font>
  <w:font w:name="楷体">
    <w:panose1 w:val="02010609060101010101"/>
    <w:charset w:val="86"/>
    <w:family w:val="modern"/>
    <w:pitch w:val="default"/>
    <w:sig w:usb0="800002BF" w:usb1="38CF7CFA"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_GBK">
    <w:altName w:val="Times New Roman"/>
    <w:panose1 w:val="00000000000000000000"/>
    <w:charset w:val="00"/>
    <w:family w:val="auto"/>
    <w:pitch w:val="default"/>
    <w:sig w:usb0="00000000" w:usb1="00000000" w:usb2="00000000" w:usb3="00000000" w:csb0="0000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4"/>
    <w:multiLevelType w:val="singleLevel"/>
    <w:tmpl w:val="00000004"/>
    <w:lvl w:ilvl="0" w:tentative="0">
      <w:start w:val="4"/>
      <w:numFmt w:val="chineseCounting"/>
      <w:suff w:val="nothing"/>
      <w:lvlText w:val="%1、"/>
      <w:lvlJc w:val="left"/>
      <w:rPr>
        <w:rFonts w:cs="Times New Roman"/>
      </w:rPr>
    </w:lvl>
  </w:abstractNum>
  <w:abstractNum w:abstractNumId="1">
    <w:nsid w:val="0000000C"/>
    <w:multiLevelType w:val="singleLevel"/>
    <w:tmpl w:val="0000000C"/>
    <w:lvl w:ilvl="0" w:tentative="0">
      <w:start w:val="2"/>
      <w:numFmt w:val="chineseCounting"/>
      <w:suff w:val="nothing"/>
      <w:lvlText w:val="（%1）"/>
      <w:lvlJc w:val="left"/>
      <w:rPr>
        <w:rFonts w:cs="Times New Roman"/>
      </w:rPr>
    </w:lvl>
  </w:abstractNum>
  <w:abstractNum w:abstractNumId="2">
    <w:nsid w:val="0000000D"/>
    <w:multiLevelType w:val="singleLevel"/>
    <w:tmpl w:val="0000000D"/>
    <w:lvl w:ilvl="0" w:tentative="0">
      <w:start w:val="2"/>
      <w:numFmt w:val="chineseCounting"/>
      <w:suff w:val="nothing"/>
      <w:lvlText w:val="（%1）"/>
      <w:lvlJc w:val="left"/>
      <w:rPr>
        <w:rFonts w:cs="Times New Roman"/>
      </w:rPr>
    </w:lvl>
  </w:abstractNum>
  <w:abstractNum w:abstractNumId="3">
    <w:nsid w:val="0053208E"/>
    <w:multiLevelType w:val="singleLevel"/>
    <w:tmpl w:val="0053208E"/>
    <w:lvl w:ilvl="0" w:tentative="0">
      <w:start w:val="1"/>
      <w:numFmt w:val="chineseCounting"/>
      <w:suff w:val="nothing"/>
      <w:lvlText w:val="（%1）"/>
      <w:lvlJc w:val="left"/>
      <w:rPr>
        <w:rFonts w:cs="Times New Roman"/>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F265C"/>
    <w:rsid w:val="001B632C"/>
    <w:rsid w:val="001F265C"/>
    <w:rsid w:val="00701B51"/>
    <w:rsid w:val="0EDD33B8"/>
    <w:rsid w:val="75A751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6"/>
    <w:uiPriority w:val="0"/>
    <w:pPr>
      <w:tabs>
        <w:tab w:val="center" w:pos="4153"/>
        <w:tab w:val="right" w:pos="8306"/>
      </w:tabs>
      <w:snapToGrid w:val="0"/>
      <w:jc w:val="left"/>
    </w:pPr>
    <w:rPr>
      <w:sz w:val="18"/>
      <w:szCs w:val="18"/>
    </w:rPr>
  </w:style>
  <w:style w:type="paragraph" w:styleId="3">
    <w:name w:val="header"/>
    <w:basedOn w:val="1"/>
    <w:link w:val="7"/>
    <w:uiPriority w:val="0"/>
    <w:pPr>
      <w:pBdr>
        <w:bottom w:val="single" w:color="auto" w:sz="6" w:space="1"/>
      </w:pBdr>
      <w:tabs>
        <w:tab w:val="center" w:pos="4153"/>
        <w:tab w:val="right" w:pos="8306"/>
      </w:tabs>
      <w:snapToGrid w:val="0"/>
      <w:jc w:val="center"/>
    </w:pPr>
    <w:rPr>
      <w:sz w:val="18"/>
      <w:szCs w:val="18"/>
    </w:rPr>
  </w:style>
  <w:style w:type="character" w:customStyle="1" w:styleId="6">
    <w:name w:val="页脚 字符"/>
    <w:link w:val="2"/>
    <w:semiHidden/>
    <w:uiPriority w:val="0"/>
    <w:rPr>
      <w:rFonts w:ascii="Times New Roman" w:hAnsi="Times New Roman" w:eastAsia="宋体" w:cs="Times New Roman"/>
      <w:sz w:val="18"/>
      <w:szCs w:val="18"/>
    </w:rPr>
  </w:style>
  <w:style w:type="character" w:customStyle="1" w:styleId="7">
    <w:name w:val="页眉 字符"/>
    <w:link w:val="3"/>
    <w:semiHidden/>
    <w:uiPriority w:val="0"/>
    <w:rPr>
      <w:rFonts w:ascii="Times New Roman" w:hAnsi="Times New Roman" w:eastAsia="宋体" w:cs="Times New Roman"/>
      <w:sz w:val="18"/>
      <w:szCs w:val="18"/>
    </w:rPr>
  </w:style>
  <w:style w:type="paragraph" w:customStyle="1" w:styleId="8">
    <w:name w:val="List Paragraph1"/>
    <w:basedOn w:val="1"/>
    <w:uiPriority w:val="0"/>
    <w:pPr>
      <w:ind w:firstLine="420" w:firstLineChars="200"/>
    </w:pPr>
  </w:style>
  <w:style w:type="paragraph" w:customStyle="1" w:styleId="9">
    <w:name w:val="[Normal]"/>
    <w:uiPriority w:val="0"/>
    <w:rPr>
      <w:rFonts w:ascii="宋体" w:hAnsi="Times New Roman" w:eastAsia="宋体" w:cs="Calibri"/>
      <w:sz w:val="24"/>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11</Pages>
  <Words>614</Words>
  <Characters>3501</Characters>
  <Lines>29</Lines>
  <Paragraphs>8</Paragraphs>
  <TotalTime>6</TotalTime>
  <ScaleCrop>false</ScaleCrop>
  <LinksUpToDate>false</LinksUpToDate>
  <CharactersWithSpaces>4107</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2017-08-22T17:42:00Z</dcterms:created>
  <dc:creator>微软用户</dc:creator>
  <cp:lastModifiedBy>Administrator</cp:lastModifiedBy>
  <dcterms:modified xsi:type="dcterms:W3CDTF">2024-06-20T13:49:01Z</dcterms:modified>
  <dc:title>微软用户</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0FD6CE29745F4AE8AB5A13E889A9F4AB</vt:lpwstr>
  </property>
</Properties>
</file>