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bookmarkStart w:id="1" w:name="_GoBack"/>
      <w:bookmarkEnd w:id="1"/>
    </w:p>
    <w:p>
      <w:pPr>
        <w:jc w:val="center"/>
        <w:rPr>
          <w:rFonts w:ascii="宋体"/>
          <w:b/>
          <w:bCs/>
          <w:sz w:val="44"/>
          <w:szCs w:val="44"/>
        </w:rPr>
      </w:pPr>
      <w:r>
        <w:rPr>
          <w:rFonts w:hint="eastAsia" w:ascii="宋体" w:hAnsi="宋体" w:cs="宋体"/>
          <w:b/>
          <w:bCs/>
          <w:sz w:val="44"/>
          <w:szCs w:val="44"/>
        </w:rPr>
        <w:t>中国共产党无极县委员会办公室</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 w:eastAsia="仿宋_GB2312"/>
          <w:sz w:val="32"/>
          <w:szCs w:val="32"/>
        </w:rPr>
      </w:pPr>
      <w:r>
        <w:rPr>
          <w:rFonts w:hint="eastAsia" w:ascii="仿宋_GB2312" w:hAnsi="??" w:eastAsia="仿宋_GB2312" w:cs="仿宋_GB2312"/>
          <w:sz w:val="32"/>
          <w:szCs w:val="32"/>
        </w:rPr>
        <w:t>按照《预算法》、《地方预决算公开操作规程》和《河北省省级预算公开办法》规定，现将无极县县委办</w:t>
      </w:r>
      <w:r>
        <w:rPr>
          <w:rFonts w:ascii="仿宋_GB2312" w:hAnsi="??" w:eastAsia="仿宋_GB2312" w:cs="仿宋_GB2312"/>
          <w:sz w:val="32"/>
          <w:szCs w:val="32"/>
        </w:rPr>
        <w:t>2017</w:t>
      </w:r>
      <w:r>
        <w:rPr>
          <w:rFonts w:hint="eastAsia" w:ascii="仿宋_GB2312" w:hAnsi="??" w:eastAsia="仿宋_GB2312" w:cs="仿宋_GB2312"/>
          <w:sz w:val="32"/>
          <w:szCs w:val="32"/>
        </w:rPr>
        <w:t>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（一）部门职责</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县委办公室是县委的办事机构。主要职能是：</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、负责县委与县人大、县政府、县政协各班子及各乡镇、各县直单位之间的关系协调及上传下达工作；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、负责县委召开的各类会议和各项活动的组织安排工作；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、负责县委重大决策的调查研究和参谋服务，领导讲话的起草、文件制发、撰写汇报、请示、报告等项工作；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、负责搞好为上级党委、同级党委和下级党委的信息服务工作；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、负责上级和县委重大决策的督查落实及领导批示、新闻媒介反映问题的督办、催办工作；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、负责来信来访、文书档案的管理、机要文件的传阅办理及密码通信工作；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、负责全县矛盾纠纷排查调处工作；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、负责党和国家关于国家安全工作方针、政策、工作部署的贯彻落实；</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9</w:t>
      </w:r>
      <w:r>
        <w:rPr>
          <w:rFonts w:hint="eastAsia" w:ascii="仿宋_GB2312" w:hAnsi="仿宋_GB2312" w:eastAsia="仿宋_GB2312" w:cs="仿宋_GB2312"/>
          <w:sz w:val="32"/>
          <w:szCs w:val="32"/>
        </w:rPr>
        <w:t>、负责县委机关行政服务和后勤保障工作。</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（二）机构设置</w:t>
      </w:r>
    </w:p>
    <w:p>
      <w:pPr>
        <w:jc w:val="center"/>
        <w:rPr>
          <w:rFonts w:ascii="仿宋_GB2312" w:hAnsi="仿宋_GB2312" w:eastAsia="仿宋_GB2312"/>
          <w:sz w:val="32"/>
          <w:szCs w:val="32"/>
        </w:rPr>
      </w:pPr>
      <w:r>
        <w:rPr>
          <w:rFonts w:hint="eastAsia" w:ascii="仿宋_GB2312" w:hAnsi="仿宋_GB2312" w:eastAsia="仿宋_GB2312" w:cs="仿宋_GB2312"/>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center"/>
              <w:rPr>
                <w:rFonts w:ascii="仿宋_GB2312" w:hAnsi="仿宋_GB2312" w:eastAsia="仿宋_GB2312"/>
                <w:sz w:val="32"/>
                <w:szCs w:val="32"/>
              </w:rPr>
            </w:pPr>
            <w:r>
              <w:rPr>
                <w:rFonts w:hint="eastAsia" w:ascii="仿宋_GB2312" w:hAnsi="仿宋_GB2312" w:eastAsia="仿宋_GB2312" w:cs="仿宋_GB2312"/>
                <w:b/>
                <w:bCs/>
                <w:sz w:val="32"/>
                <w:szCs w:val="32"/>
              </w:rPr>
              <w:t>单位名称</w:t>
            </w:r>
          </w:p>
        </w:tc>
        <w:tc>
          <w:tcPr>
            <w:tcW w:w="2220"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单位性质</w:t>
            </w:r>
          </w:p>
        </w:tc>
        <w:tc>
          <w:tcPr>
            <w:tcW w:w="1965"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单位规格</w:t>
            </w:r>
          </w:p>
        </w:tc>
        <w:tc>
          <w:tcPr>
            <w:tcW w:w="1956" w:type="dxa"/>
            <w:vAlign w:val="center"/>
          </w:tcPr>
          <w:p>
            <w:pPr>
              <w:spacing w:line="300" w:lineRule="exact"/>
              <w:jc w:val="center"/>
              <w:rPr>
                <w:rFonts w:ascii="仿宋_GB2312" w:hAnsi="仿宋_GB2312" w:eastAsia="仿宋_GB2312"/>
                <w:b/>
                <w:bCs/>
                <w:sz w:val="32"/>
                <w:szCs w:val="32"/>
              </w:rPr>
            </w:pPr>
            <w:r>
              <w:rPr>
                <w:rFonts w:hint="eastAsia" w:ascii="仿宋_GB2312" w:hAnsi="仿宋_GB2312" w:eastAsia="仿宋_GB2312" w:cs="仿宋_GB2312"/>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无极县县委办</w:t>
            </w:r>
          </w:p>
        </w:tc>
        <w:tc>
          <w:tcPr>
            <w:tcW w:w="2220"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行政</w:t>
            </w:r>
          </w:p>
        </w:tc>
        <w:tc>
          <w:tcPr>
            <w:tcW w:w="1965"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正科级</w:t>
            </w:r>
          </w:p>
        </w:tc>
        <w:tc>
          <w:tcPr>
            <w:tcW w:w="1956" w:type="dxa"/>
            <w:vAlign w:val="center"/>
          </w:tcPr>
          <w:p>
            <w:pPr>
              <w:spacing w:line="30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财政拨款</w:t>
            </w:r>
          </w:p>
        </w:tc>
      </w:tr>
    </w:tbl>
    <w:p>
      <w:pPr>
        <w:jc w:val="center"/>
        <w:rPr>
          <w:rFonts w:ascii="??" w:hAnsi="??" w:cs="??"/>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numPr>
          <w:ilvl w:val="0"/>
          <w:numId w:val="1"/>
        </w:num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收入说明</w:t>
      </w:r>
    </w:p>
    <w:p>
      <w:pPr>
        <w:adjustRightInd w:val="0"/>
        <w:snapToGrid w:val="0"/>
        <w:spacing w:line="600" w:lineRule="exact"/>
        <w:ind w:firstLine="640" w:firstLineChars="200"/>
        <w:jc w:val="left"/>
        <w:rPr>
          <w:rFonts w:ascii="??" w:hAnsi="??" w:cs="??"/>
          <w:sz w:val="32"/>
          <w:szCs w:val="32"/>
        </w:rPr>
      </w:pPr>
      <w:r>
        <w:rPr>
          <w:rFonts w:hint="eastAsia" w:ascii="仿宋_GB2312" w:eastAsia="仿宋_GB2312" w:cs="仿宋_GB2312"/>
          <w:sz w:val="32"/>
          <w:szCs w:val="32"/>
        </w:rPr>
        <w:t>无极县县委办</w:t>
      </w:r>
      <w:r>
        <w:rPr>
          <w:rFonts w:ascii="仿宋_GB2312" w:eastAsia="仿宋_GB2312" w:cs="仿宋_GB2312"/>
          <w:sz w:val="32"/>
          <w:szCs w:val="32"/>
        </w:rPr>
        <w:t>2017</w:t>
      </w:r>
      <w:r>
        <w:rPr>
          <w:rFonts w:hint="eastAsia" w:ascii="仿宋_GB2312" w:eastAsia="仿宋_GB2312" w:cs="仿宋_GB2312"/>
          <w:sz w:val="32"/>
          <w:szCs w:val="32"/>
        </w:rPr>
        <w:t>年预算收入总计</w:t>
      </w:r>
      <w:r>
        <w:rPr>
          <w:rFonts w:ascii="仿宋_GB2312" w:eastAsia="仿宋_GB2312" w:cs="仿宋_GB2312"/>
          <w:sz w:val="32"/>
          <w:szCs w:val="32"/>
        </w:rPr>
        <w:t>504.41</w:t>
      </w:r>
      <w:r>
        <w:rPr>
          <w:rFonts w:hint="eastAsia" w:ascii="仿宋_GB2312" w:eastAsia="仿宋_GB2312" w:cs="仿宋_GB2312"/>
          <w:sz w:val="32"/>
          <w:szCs w:val="32"/>
        </w:rPr>
        <w:t>万元</w:t>
      </w:r>
      <w:r>
        <w:rPr>
          <w:rFonts w:ascii="仿宋_GB2312" w:eastAsia="仿宋_GB2312" w:cs="仿宋_GB2312"/>
          <w:sz w:val="32"/>
          <w:szCs w:val="32"/>
        </w:rPr>
        <w:t>,</w:t>
      </w:r>
      <w:r>
        <w:rPr>
          <w:rFonts w:hint="eastAsia" w:ascii="仿宋_GB2312" w:eastAsia="仿宋_GB2312" w:cs="仿宋_GB2312"/>
          <w:sz w:val="32"/>
          <w:szCs w:val="32"/>
        </w:rPr>
        <w:t>其中，一般公共预算收入</w:t>
      </w:r>
      <w:r>
        <w:rPr>
          <w:rFonts w:ascii="仿宋_GB2312" w:eastAsia="仿宋_GB2312" w:cs="仿宋_GB2312"/>
          <w:sz w:val="32"/>
          <w:szCs w:val="32"/>
        </w:rPr>
        <w:t>504.41</w:t>
      </w:r>
      <w:r>
        <w:rPr>
          <w:rFonts w:hint="eastAsia" w:ascii="仿宋_GB2312" w:eastAsia="仿宋_GB2312" w:cs="仿宋_GB2312"/>
          <w:sz w:val="32"/>
          <w:szCs w:val="32"/>
        </w:rPr>
        <w:t>万元、政府性基金收入</w:t>
      </w:r>
      <w:r>
        <w:rPr>
          <w:rFonts w:ascii="仿宋_GB2312" w:eastAsia="仿宋_GB2312" w:cs="仿宋_GB2312"/>
          <w:sz w:val="32"/>
          <w:szCs w:val="32"/>
        </w:rPr>
        <w:t>0</w:t>
      </w:r>
      <w:r>
        <w:rPr>
          <w:rFonts w:hint="eastAsia" w:ascii="仿宋_GB2312" w:eastAsia="仿宋_GB2312" w:cs="仿宋_GB2312"/>
          <w:sz w:val="32"/>
          <w:szCs w:val="32"/>
        </w:rPr>
        <w:t>万元、财政专户核拨收入</w:t>
      </w:r>
      <w:r>
        <w:rPr>
          <w:rFonts w:ascii="仿宋_GB2312" w:eastAsia="仿宋_GB2312" w:cs="仿宋_GB2312"/>
          <w:sz w:val="32"/>
          <w:szCs w:val="32"/>
        </w:rPr>
        <w:t>0</w:t>
      </w:r>
      <w:r>
        <w:rPr>
          <w:rFonts w:hint="eastAsia" w:ascii="仿宋_GB2312" w:eastAsia="仿宋_GB2312" w:cs="仿宋_GB2312"/>
          <w:sz w:val="32"/>
          <w:szCs w:val="32"/>
        </w:rPr>
        <w:t>万元，其他来源收入</w:t>
      </w:r>
      <w:r>
        <w:rPr>
          <w:rFonts w:ascii="仿宋_GB2312" w:eastAsia="仿宋_GB2312" w:cs="仿宋_GB2312"/>
          <w:sz w:val="32"/>
          <w:szCs w:val="32"/>
        </w:rPr>
        <w:t>0</w:t>
      </w:r>
      <w:r>
        <w:rPr>
          <w:rFonts w:hint="eastAsia" w:ascii="仿宋_GB2312" w:eastAsia="仿宋_GB2312" w:cs="仿宋_GB2312"/>
          <w:sz w:val="32"/>
          <w:szCs w:val="32"/>
        </w:rPr>
        <w:t>万元。</w:t>
      </w:r>
    </w:p>
    <w:p>
      <w:pPr>
        <w:numPr>
          <w:ilvl w:val="0"/>
          <w:numId w:val="2"/>
        </w:numPr>
        <w:ind w:firstLine="645"/>
        <w:rPr>
          <w:rFonts w:ascii="楷体_GB2312" w:hAnsi="楷体_GB2312" w:eastAsia="楷体_GB2312"/>
          <w:sz w:val="32"/>
          <w:szCs w:val="32"/>
        </w:rPr>
      </w:pPr>
      <w:r>
        <w:rPr>
          <w:rFonts w:hint="eastAsia" w:ascii="楷体_GB2312" w:hAnsi="楷体_GB2312" w:eastAsia="楷体_GB2312" w:cs="楷体_GB2312"/>
          <w:sz w:val="32"/>
          <w:szCs w:val="32"/>
        </w:rPr>
        <w:t>支出说明</w:t>
      </w:r>
    </w:p>
    <w:p>
      <w:pPr>
        <w:adjustRightInd w:val="0"/>
        <w:snapToGrid w:val="0"/>
        <w:spacing w:line="600" w:lineRule="exact"/>
        <w:ind w:firstLine="640" w:firstLineChars="200"/>
        <w:jc w:val="left"/>
        <w:rPr>
          <w:rFonts w:ascii="??" w:hAnsi="??" w:cs="??"/>
          <w:sz w:val="32"/>
          <w:szCs w:val="32"/>
        </w:rPr>
      </w:pPr>
      <w:r>
        <w:rPr>
          <w:rFonts w:ascii="仿宋_GB2312" w:eastAsia="仿宋_GB2312" w:cs="仿宋_GB2312"/>
          <w:sz w:val="32"/>
          <w:szCs w:val="32"/>
        </w:rPr>
        <w:t>2017</w:t>
      </w:r>
      <w:r>
        <w:rPr>
          <w:rFonts w:hint="eastAsia" w:ascii="仿宋_GB2312" w:eastAsia="仿宋_GB2312" w:cs="仿宋_GB2312"/>
          <w:sz w:val="32"/>
          <w:szCs w:val="32"/>
        </w:rPr>
        <w:t>年预算支出</w:t>
      </w:r>
      <w:r>
        <w:rPr>
          <w:rFonts w:ascii="仿宋_GB2312" w:eastAsia="仿宋_GB2312" w:cs="仿宋_GB2312"/>
          <w:sz w:val="32"/>
          <w:szCs w:val="32"/>
        </w:rPr>
        <w:t>504.41</w:t>
      </w:r>
      <w:r>
        <w:rPr>
          <w:rFonts w:hint="eastAsia" w:ascii="仿宋_GB2312" w:eastAsia="仿宋_GB2312" w:cs="仿宋_GB2312"/>
          <w:sz w:val="32"/>
          <w:szCs w:val="32"/>
        </w:rPr>
        <w:t>万元。其中，人员经费支出</w:t>
      </w:r>
      <w:r>
        <w:rPr>
          <w:rFonts w:ascii="仿宋_GB2312" w:eastAsia="仿宋_GB2312" w:cs="仿宋_GB2312"/>
          <w:sz w:val="32"/>
          <w:szCs w:val="32"/>
        </w:rPr>
        <w:t>291.41</w:t>
      </w:r>
      <w:r>
        <w:rPr>
          <w:rFonts w:hint="eastAsia" w:ascii="仿宋_GB2312" w:eastAsia="仿宋_GB2312" w:cs="仿宋_GB2312"/>
          <w:sz w:val="32"/>
          <w:szCs w:val="32"/>
        </w:rPr>
        <w:t>万元，正常公用经费</w:t>
      </w:r>
      <w:r>
        <w:rPr>
          <w:rFonts w:ascii="仿宋_GB2312" w:eastAsia="仿宋_GB2312" w:cs="仿宋_GB2312"/>
          <w:sz w:val="32"/>
          <w:szCs w:val="32"/>
        </w:rPr>
        <w:t>88</w:t>
      </w:r>
      <w:r>
        <w:rPr>
          <w:rFonts w:hint="eastAsia" w:ascii="仿宋_GB2312" w:eastAsia="仿宋_GB2312" w:cs="仿宋_GB2312"/>
          <w:sz w:val="32"/>
          <w:szCs w:val="32"/>
        </w:rPr>
        <w:t>万元，项目支出</w:t>
      </w:r>
      <w:r>
        <w:rPr>
          <w:rFonts w:ascii="仿宋_GB2312" w:eastAsia="仿宋_GB2312" w:cs="仿宋_GB2312"/>
          <w:sz w:val="32"/>
          <w:szCs w:val="32"/>
        </w:rPr>
        <w:t>125</w:t>
      </w:r>
      <w:r>
        <w:rPr>
          <w:rFonts w:hint="eastAsia" w:ascii="仿宋_GB2312" w:eastAsia="仿宋_GB2312" w:cs="仿宋_GB2312"/>
          <w:sz w:val="32"/>
          <w:szCs w:val="32"/>
        </w:rPr>
        <w:t>万元。</w:t>
      </w:r>
    </w:p>
    <w:p>
      <w:pPr>
        <w:ind w:firstLine="645"/>
        <w:rPr>
          <w:rFonts w:ascii="楷体_GB2312" w:hAnsi="楷体_GB2312" w:eastAsia="楷体_GB2312"/>
          <w:sz w:val="32"/>
          <w:szCs w:val="32"/>
        </w:rPr>
      </w:pPr>
      <w:r>
        <w:rPr>
          <w:rFonts w:hint="eastAsia" w:ascii="楷体_GB2312" w:hAnsi="楷体_GB2312" w:eastAsia="楷体_GB2312" w:cs="楷体_GB2312"/>
          <w:sz w:val="32"/>
          <w:szCs w:val="32"/>
        </w:rPr>
        <w:t>（三）比上年增减情况</w:t>
      </w:r>
    </w:p>
    <w:p>
      <w:pPr>
        <w:ind w:firstLine="645"/>
        <w:rPr>
          <w:rFonts w:ascii="??" w:hAnsi="??" w:cs="??"/>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年预算收支安排</w:t>
      </w:r>
      <w:r>
        <w:rPr>
          <w:rFonts w:hint="eastAsia" w:ascii="仿宋_GB2312" w:eastAsia="仿宋_GB2312" w:cs="仿宋_GB2312"/>
          <w:sz w:val="32"/>
          <w:szCs w:val="32"/>
        </w:rPr>
        <w:t>与</w:t>
      </w:r>
      <w:r>
        <w:rPr>
          <w:rFonts w:ascii="仿宋_GB2312" w:eastAsia="仿宋_GB2312" w:cs="仿宋_GB2312"/>
          <w:sz w:val="32"/>
          <w:szCs w:val="32"/>
        </w:rPr>
        <w:t>2016</w:t>
      </w:r>
      <w:r>
        <w:rPr>
          <w:rFonts w:hint="eastAsia" w:ascii="仿宋_GB2312" w:eastAsia="仿宋_GB2312" w:cs="仿宋_GB2312"/>
          <w:sz w:val="32"/>
          <w:szCs w:val="32"/>
        </w:rPr>
        <w:t>年相比减少</w:t>
      </w:r>
      <w:r>
        <w:rPr>
          <w:rFonts w:ascii="仿宋_GB2312" w:eastAsia="仿宋_GB2312" w:cs="仿宋_GB2312"/>
          <w:sz w:val="32"/>
          <w:szCs w:val="32"/>
        </w:rPr>
        <w:t>8.34</w:t>
      </w:r>
      <w:r>
        <w:rPr>
          <w:rFonts w:hint="eastAsia" w:ascii="仿宋_GB2312" w:eastAsia="仿宋_GB2312" w:cs="仿宋_GB2312"/>
          <w:sz w:val="32"/>
          <w:szCs w:val="32"/>
        </w:rPr>
        <w:t>万元</w:t>
      </w:r>
      <w:r>
        <w:rPr>
          <w:rFonts w:ascii="仿宋_GB2312" w:eastAsia="仿宋_GB2312" w:cs="仿宋_GB2312"/>
          <w:sz w:val="32"/>
          <w:szCs w:val="32"/>
        </w:rPr>
        <w:t>,</w:t>
      </w:r>
      <w:r>
        <w:rPr>
          <w:rFonts w:hint="eastAsia" w:ascii="仿宋_GB2312" w:eastAsia="仿宋_GB2312" w:cs="仿宋_GB2312"/>
          <w:sz w:val="32"/>
          <w:szCs w:val="32"/>
        </w:rPr>
        <w:t>减少原因为正常公用经费减少。</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 w:hAnsi="??" w:cs="??"/>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37.25</w:t>
      </w:r>
      <w:r>
        <w:rPr>
          <w:rFonts w:hint="eastAsia" w:ascii="仿宋_GB2312" w:hAnsi="仿宋_GB2312" w:eastAsia="仿宋_GB2312" w:cs="仿宋_GB2312"/>
          <w:sz w:val="32"/>
          <w:szCs w:val="32"/>
        </w:rPr>
        <w:t>万元，主要用于我部门日常办公、日常维修等日常运行支出。</w:t>
      </w:r>
    </w:p>
    <w:p>
      <w:pPr>
        <w:numPr>
          <w:ilvl w:val="0"/>
          <w:numId w:val="3"/>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财政拨款“三公”经费预算情况及增减变化原因</w:t>
      </w:r>
    </w:p>
    <w:p>
      <w:pPr>
        <w:ind w:firstLine="640" w:firstLineChars="200"/>
        <w:outlineLvl w:val="0"/>
        <w:rPr>
          <w:rFonts w:ascii="仿宋" w:hAnsi="仿宋" w:eastAsia="仿宋"/>
          <w:sz w:val="32"/>
          <w:szCs w:val="32"/>
        </w:rPr>
      </w:pPr>
      <w:r>
        <w:rPr>
          <w:rFonts w:ascii="仿宋" w:hAnsi="仿宋" w:eastAsia="仿宋" w:cs="仿宋"/>
          <w:sz w:val="32"/>
          <w:szCs w:val="32"/>
        </w:rPr>
        <w:t>2017</w:t>
      </w:r>
      <w:r>
        <w:rPr>
          <w:rFonts w:hint="eastAsia" w:ascii="仿宋" w:hAnsi="仿宋" w:eastAsia="仿宋" w:cs="仿宋"/>
          <w:sz w:val="32"/>
          <w:szCs w:val="32"/>
        </w:rPr>
        <w:t>年“三公”经费支出</w:t>
      </w:r>
      <w:r>
        <w:rPr>
          <w:rFonts w:ascii="仿宋" w:hAnsi="仿宋" w:eastAsia="仿宋" w:cs="仿宋"/>
          <w:sz w:val="32"/>
          <w:szCs w:val="32"/>
        </w:rPr>
        <w:t>26.25</w:t>
      </w:r>
      <w:r>
        <w:rPr>
          <w:rFonts w:hint="eastAsia" w:ascii="仿宋" w:hAnsi="仿宋" w:eastAsia="仿宋" w:cs="仿宋"/>
          <w:sz w:val="32"/>
          <w:szCs w:val="32"/>
        </w:rPr>
        <w:t>万元。其中，因公出国（境）费</w:t>
      </w:r>
      <w:r>
        <w:rPr>
          <w:rFonts w:ascii="仿宋" w:hAnsi="仿宋" w:eastAsia="仿宋" w:cs="仿宋"/>
          <w:sz w:val="32"/>
          <w:szCs w:val="32"/>
        </w:rPr>
        <w:t>1</w:t>
      </w:r>
      <w:r>
        <w:rPr>
          <w:rFonts w:hint="eastAsia" w:ascii="仿宋" w:hAnsi="仿宋" w:eastAsia="仿宋" w:cs="仿宋"/>
          <w:sz w:val="32"/>
          <w:szCs w:val="32"/>
        </w:rPr>
        <w:t>万元；公务用车购置</w:t>
      </w:r>
      <w:r>
        <w:rPr>
          <w:rFonts w:ascii="仿宋" w:hAnsi="仿宋" w:eastAsia="仿宋" w:cs="仿宋"/>
          <w:sz w:val="32"/>
          <w:szCs w:val="32"/>
        </w:rPr>
        <w:t>0</w:t>
      </w:r>
      <w:r>
        <w:rPr>
          <w:rFonts w:hint="eastAsia" w:ascii="仿宋" w:hAnsi="仿宋" w:eastAsia="仿宋" w:cs="仿宋"/>
          <w:sz w:val="32"/>
          <w:szCs w:val="32"/>
        </w:rPr>
        <w:t>万元，公务用车运行维护费</w:t>
      </w:r>
      <w:r>
        <w:rPr>
          <w:rFonts w:ascii="仿宋" w:hAnsi="仿宋" w:eastAsia="仿宋" w:cs="仿宋"/>
          <w:sz w:val="32"/>
          <w:szCs w:val="32"/>
        </w:rPr>
        <w:t>23.45</w:t>
      </w:r>
      <w:r>
        <w:rPr>
          <w:rFonts w:hint="eastAsia" w:ascii="仿宋" w:hAnsi="仿宋" w:eastAsia="仿宋" w:cs="仿宋"/>
          <w:sz w:val="32"/>
          <w:szCs w:val="32"/>
        </w:rPr>
        <w:t>万元；公务接待费</w:t>
      </w:r>
      <w:r>
        <w:rPr>
          <w:rFonts w:ascii="仿宋" w:hAnsi="仿宋" w:eastAsia="仿宋" w:cs="仿宋"/>
          <w:sz w:val="32"/>
          <w:szCs w:val="32"/>
        </w:rPr>
        <w:t>1.8</w:t>
      </w:r>
      <w:r>
        <w:rPr>
          <w:rFonts w:hint="eastAsia" w:ascii="仿宋" w:hAnsi="仿宋" w:eastAsia="仿宋" w:cs="仿宋"/>
          <w:sz w:val="32"/>
          <w:szCs w:val="32"/>
        </w:rPr>
        <w:t>万元。与上年相比减少</w:t>
      </w:r>
      <w:r>
        <w:rPr>
          <w:rFonts w:ascii="仿宋" w:hAnsi="仿宋" w:eastAsia="仿宋" w:cs="仿宋"/>
          <w:sz w:val="32"/>
          <w:szCs w:val="32"/>
        </w:rPr>
        <w:t>5.27</w:t>
      </w:r>
      <w:r>
        <w:rPr>
          <w:rFonts w:hint="eastAsia" w:ascii="仿宋" w:hAnsi="仿宋" w:eastAsia="仿宋" w:cs="仿宋"/>
          <w:sz w:val="32"/>
          <w:szCs w:val="32"/>
        </w:rPr>
        <w:t>万元，下降</w:t>
      </w:r>
      <w:r>
        <w:rPr>
          <w:rFonts w:ascii="仿宋" w:hAnsi="仿宋" w:eastAsia="仿宋" w:cs="仿宋"/>
          <w:sz w:val="32"/>
          <w:szCs w:val="32"/>
        </w:rPr>
        <w:t>16.7%,</w:t>
      </w:r>
      <w:r>
        <w:rPr>
          <w:rFonts w:hint="eastAsia" w:ascii="仿宋" w:hAnsi="仿宋" w:eastAsia="仿宋" w:cs="仿宋"/>
          <w:sz w:val="32"/>
          <w:szCs w:val="32"/>
        </w:rPr>
        <w:t>减少原因为公务用车运行维护费减少。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（一）总体绩效目标</w:t>
      </w:r>
    </w:p>
    <w:p>
      <w:pPr>
        <w:ind w:firstLine="560"/>
        <w:rPr>
          <w:rFonts w:ascii="仿宋_GB2312" w:hAnsi="仿宋_GB2312" w:eastAsia="仿宋_GB2312"/>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年全县工作总体思路是：全面贯彻落实中央、省市系列重要会议精神，主动适应经济社会发展新常态，以提高发展质量和效益为中心，以改革创新为动力，以</w:t>
      </w:r>
      <w:r>
        <w:rPr>
          <w:rFonts w:hint="eastAsia" w:ascii="仿宋_GB2312" w:hAnsi="仿宋_GB2312" w:eastAsia="仿宋_GB2312" w:cs="仿宋_GB2312"/>
          <w:sz w:val="32"/>
          <w:szCs w:val="32"/>
          <w:lang w:eastAsia="zh-CN"/>
        </w:rPr>
        <w:t>全面从严治党</w:t>
      </w:r>
      <w:r>
        <w:rPr>
          <w:rFonts w:hint="eastAsia" w:ascii="仿宋_GB2312" w:hAnsi="仿宋_GB2312" w:eastAsia="仿宋_GB2312" w:cs="仿宋_GB2312"/>
          <w:sz w:val="32"/>
          <w:szCs w:val="32"/>
        </w:rPr>
        <w:t>为保障，坚持产业转型提效益，招商引资增活力，产城融合上水平，优化环境助发展，保障民生促和谐，全面开创无极跨越发展新局面。</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坚持全面全面从严治党</w:t>
      </w:r>
      <w:r>
        <w:rPr>
          <w:rFonts w:hint="eastAsia" w:ascii="仿宋_GB2312" w:hAnsi="仿宋_GB2312" w:eastAsia="仿宋_GB2312" w:cs="仿宋_GB2312"/>
          <w:sz w:val="32"/>
          <w:szCs w:val="32"/>
        </w:rPr>
        <w:t>，为加快无极发展提供坚强保证</w:t>
      </w:r>
    </w:p>
    <w:p>
      <w:pPr>
        <w:ind w:firstLine="560"/>
        <w:rPr>
          <w:rFonts w:ascii="仿宋_GB2312" w:hAnsi="仿宋_GB2312" w:eastAsia="仿宋_GB2312"/>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落实全面从严治党责任</w:t>
      </w:r>
      <w:r>
        <w:rPr>
          <w:rFonts w:hint="eastAsia" w:ascii="仿宋_GB2312" w:hAnsi="仿宋_GB2312" w:eastAsia="仿宋_GB2312" w:cs="仿宋_GB2312"/>
          <w:sz w:val="32"/>
          <w:szCs w:val="32"/>
        </w:rPr>
        <w:t>。牢牢把握</w:t>
      </w:r>
      <w:r>
        <w:rPr>
          <w:rFonts w:hint="eastAsia" w:ascii="仿宋_GB2312" w:hAnsi="仿宋_GB2312" w:eastAsia="仿宋_GB2312" w:cs="仿宋_GB2312"/>
          <w:sz w:val="32"/>
          <w:szCs w:val="32"/>
          <w:lang w:eastAsia="zh-CN"/>
        </w:rPr>
        <w:t>全面从严治党</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“新常态”，严格落实基层党建工作述职等各项制度，压实各级特别是党委（党组）书记责任，切实增强</w:t>
      </w:r>
      <w:r>
        <w:rPr>
          <w:rFonts w:hint="eastAsia" w:ascii="仿宋_GB2312" w:hAnsi="仿宋_GB2312" w:eastAsia="仿宋_GB2312" w:cs="仿宋_GB2312"/>
          <w:sz w:val="32"/>
          <w:szCs w:val="32"/>
          <w:lang w:eastAsia="zh-CN"/>
        </w:rPr>
        <w:t>全面从严治党</w:t>
      </w:r>
      <w:r>
        <w:rPr>
          <w:rFonts w:hint="eastAsia" w:ascii="仿宋_GB2312" w:hAnsi="仿宋_GB2312" w:eastAsia="仿宋_GB2312" w:cs="仿宋_GB2312"/>
          <w:sz w:val="32"/>
          <w:szCs w:val="32"/>
        </w:rPr>
        <w:t>责任感。</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大力加强思想政治建设。开设党性教育大讲堂，每月一课，深入学习习近平总书记系列</w:t>
      </w:r>
      <w:r>
        <w:rPr>
          <w:rFonts w:hint="eastAsia" w:ascii="仿宋_GB2312" w:hAnsi="仿宋_GB2312" w:eastAsia="仿宋_GB2312" w:cs="仿宋_GB2312"/>
          <w:sz w:val="32"/>
          <w:szCs w:val="32"/>
          <w:lang w:val="en-US" w:eastAsia="zh-CN"/>
        </w:rPr>
        <w:t>重要</w:t>
      </w:r>
      <w:r>
        <w:rPr>
          <w:rFonts w:hint="eastAsia" w:ascii="仿宋_GB2312" w:hAnsi="仿宋_GB2312" w:eastAsia="仿宋_GB2312" w:cs="仿宋_GB2312"/>
          <w:sz w:val="32"/>
          <w:szCs w:val="32"/>
        </w:rPr>
        <w:t>讲话精神，扎实开展理想信念、中国梦、十八届四中全会精神宣教活动，用先进理论武装头脑，确保在思想和行动上始终与党中央保持高度一致。完善各级党委（党组）中心组学习制度，每月确定一个学习专题，安排一次中心组学习，每次学习不少于半天，全年不少于</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天。严格落实“三会一课”制度，定期召开党员大会、支部委员会、党小组会，党委（党组）书记每年讲党课</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次以上。</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加强领导班子和干部队伍建设。认真落实民主集中制，进一步完善党委（党组）议事决策规则，对重大决策、重大事项，严格按照程序，坚持集体讨论、会议决定，切实增进团结，提高决策科学性，原则上每月召开两次县委常委会。认真总结路线教育实践活动民主生活会经验，组织召开好“赶考日”等民主生活会，积极开展批评与自我批评，不断提高各级班子的凝聚力和战斗力。扎实开展专题教育活动，引导广大党员干部自觉践行各项要求，始终保持昂扬的精神状态。严格队伍管理，切实抓好作风建设、廉洁自律各项制度落实，严肃查处失职渎职、小官巨腐等违法违纪行为。进一步改进和完善乡局级领导班子综合考核评价办法，从年度目标实绩考评、民主测评、群众满意度测评、领导评议等多方面进行综合评价，倒逼责任落实，引导干部积极作为、干事创业。</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认真抓好基层组织建设。积极稳妥推进农村“两委”换届，选优配强农村“两委”班子，优化基层干部队伍结构。广泛开展新任“两委”干部任职培训活动，通过集中培训、参观学习、实践锻炼等多种形式，提高基层干部综合素质，年内对基层干部全部轮训一遍。严格落实“四议两公开”、“一定三有”等制度，促进基层组织工作规范化。切实抓好乡镇便民服务中心和村级便民服务站建设，规范便民服务事项。深入开展创业型、服务型、规范型、和谐型、廉洁型“五型党组织”创建活动，培育一批优秀村支部书记和基层党组织。</w:t>
      </w:r>
    </w:p>
    <w:p>
      <w:pPr>
        <w:ind w:firstLine="560"/>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深入推进作风建设。深入贯彻中央八项规定精神，严格落实领导干部用车用房、公务接待等各项要求，改进文风会风，反对铺张浪费，严防问题反弹。巩固拓展群众路线教育实践活动成果，进一步完善密切联系群众、重大事项督查等制度，形成作风建设新常态。充分发挥群众监督作用，拓宽举报途径，鼓励群众对干部作风问题进行监督，形成全民监督的浓厚氛围。认真落实党员干部直接联系群众制度，积极深入基层开展调查研究、解决难题。大力弘扬实干作风，继续实行领导干部分包重点项目、疑难案件责任制，坚持现场办公，定期督导调度，高标准抓好落实。</w:t>
      </w:r>
    </w:p>
    <w:p>
      <w:pPr>
        <w:ind w:firstLine="560"/>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以更严的要求加强反腐倡廉建设。全面落实党风廉政建设和反腐败工作党委主体责任、纪委监督责任，制定出台实施细则，健全完善党委、纪委双报告，廉政约谈，述责述廉等制度，确保“两个责任”落到实处。加强惩防体系建设，通过廉政党课、反腐警示等多种形式，不断加强反腐倡廉教育，提高各级干部廉洁从政意识。加大廉政风险防控力度，对职权目录、廉政风险点进行全面梳理，严格落实政风行风评议、专家咨询评估、听证公示等监督机制，严防违纪违法行为发生。切实加大腐败惩治力度，坚持有案必查、有腐必反、有贪必肃，严格执行“一案双查”，营造风清气正的良好氛围。</w:t>
      </w:r>
    </w:p>
    <w:p>
      <w:pPr>
        <w:ind w:firstLine="560"/>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大力推进民主法制建设。充分发挥党委领导核心作用，大力支持人大、政府、政协履行职能，形成合力。加强党管武装工作，深入开展双拥共建，巩固军政军民团结。积极支持工会、共青团、妇联等人民团体开展工作。不断扩大基层民主，进一步完善党务、政务、村务、校务公开等制度，保证人民依法行使民主权力。全面推进依法治县，引导各级干部切实增强法治意识，自觉运用法治思维和法治方式谋划和推动工作，全面提高依法行政水平。推进司法改革，认真解决好违法施政、司法不公等问题，确保司法公平、公开、公正。加强法制宣传，大力弘扬社会主义法治精神，提高全民守法、用法意识。</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、主动适应新常态，以改革创新加快工业突破</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深入推进主导产业转型升级。以创新为主线，以提高发展质量和效益为中心，加快主导产业转型升级步伐。皮革业，加快重点项目建设，尽快完工投产，构建皮革业完整产业链条。选树多家皮革企业为龙头企业，注册商标，打造无极品牌。按照“国内领先、世界一流”的标准，瞄准国际国内顶尖企业、知名品牌大力开展招商引资，引进一批后期高端制品项目，提升无极皮革业国际国内行业影响力和竞争力。装饰板材业，加快重点企业建设，积极引导本土企业提档升级，由生产中低档产品转向高档产品，提升发展档次。加快项目建设，借助行业影响力，引进高端项目，开发关联产品，建设北方规模最大、档次最高、品种最全的绿色家居基地。装备制造业，加大汽车厢体制造企业规范整治力度，扶持具有资质的企业提档升级，争取有生产资质企业达到</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家以上，形成较大规模的产业集群。以潘成机械制造园为载体，重点发展泵芯、配电、采暖设备等高端技术项目，打造经济发展新亮点。通过兼并重组、合资合作等方式，推动饲料机械、木工机械等企业扩大生产规模，创建名牌产品，提高市场份额和效益。</w:t>
      </w:r>
    </w:p>
    <w:p>
      <w:pPr>
        <w:ind w:firstLine="560"/>
        <w:rPr>
          <w:rFonts w:ascii="仿宋_GB2312" w:hAnsi="仿宋_GB2312" w:eastAsia="仿宋_GB2312"/>
          <w:sz w:val="32"/>
          <w:szCs w:val="32"/>
        </w:rPr>
      </w:pPr>
      <w:r>
        <w:rPr>
          <w:rFonts w:ascii="仿宋_GB2312" w:hAnsi="仿宋_GB2312" w:eastAsia="仿宋_GB2312" w:cs="仿宋_GB2312"/>
          <w:sz w:val="32"/>
          <w:szCs w:val="32"/>
        </w:rPr>
        <w:t xml:space="preserve">(2) </w:t>
      </w:r>
      <w:r>
        <w:rPr>
          <w:rFonts w:hint="eastAsia" w:ascii="仿宋_GB2312" w:hAnsi="仿宋_GB2312" w:eastAsia="仿宋_GB2312" w:cs="仿宋_GB2312"/>
          <w:sz w:val="32"/>
          <w:szCs w:val="32"/>
        </w:rPr>
        <w:t>着力扶持骨干企业做大做强。大力开展企业技改对标行动，引导企业实行技术创新、产品创新、管理创新。持靠大联强，鼓励和引导骨干企业与外地大企业、大集团进行合资合作。</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狠抓招商引资和项目建设。紧紧抓住京津冀协同发展重大机遇，着力引进一批延伸传统产业链条的高端项目，培育一批电子信息、高端装备制造等新兴产业项目，增强发展后劲。强化以商招商，借助现有企业的行业影响力、县内优秀企业家和无极在外有为人士的优势，提升招商实效。实行专业招商，县四大班子带队，各部门、乡镇组成专门的招商团队，强化信息搜集筛选，加强与行会、协会的沟通联系，提高招商针对性和成功率。严格落实招商引资考核奖惩机制，进一步完善考核办法，加大奖惩力度，充分调动各级招商引资积极性。严把项目准入关口，对新上项目严格进行综合评估，确保项目质量。</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加快推进园区建设。按照产城一体化的要求，完成园区整体规划修编。进一步加快基础设施建设，完善路、水、电、热、气等配套设施，提升园区承载力。加大园区土地收储力度，采取耕地变林地、园地等灵活多样的方式，用足用活土地政策，为发展留足空间。创新园区发展思路，大力开展园区招商、产业链招商，引进一批园中园项目，培育优势产业集群，打造新的发展增长极。</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、坚持产城融合发展，全面提高城镇化建设水平</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强化规划管控。高标准完成城乡控制性详规和绿地系统、道路交通等专项规划编制，形成上下统一、覆盖城乡的规划体系。加强规划管理，加大对城乡违法建设的打击力度。</w:t>
      </w:r>
    </w:p>
    <w:p>
      <w:pPr>
        <w:ind w:firstLine="560"/>
        <w:rPr>
          <w:rFonts w:ascii="仿宋_GB2312" w:hAnsi="仿宋_GB2312" w:eastAsia="仿宋_GB2312"/>
          <w:sz w:val="32"/>
          <w:szCs w:val="32"/>
        </w:rPr>
      </w:pPr>
      <w:r>
        <w:rPr>
          <w:rFonts w:ascii="仿宋_GB2312" w:hAnsi="仿宋_GB2312" w:eastAsia="仿宋_GB2312" w:cs="仿宋_GB2312"/>
          <w:sz w:val="32"/>
          <w:szCs w:val="32"/>
        </w:rPr>
        <w:t xml:space="preserve">(2) </w:t>
      </w:r>
      <w:r>
        <w:rPr>
          <w:rFonts w:hint="eastAsia" w:ascii="仿宋_GB2312" w:hAnsi="仿宋_GB2312" w:eastAsia="仿宋_GB2312" w:cs="仿宋_GB2312"/>
          <w:sz w:val="32"/>
          <w:szCs w:val="32"/>
        </w:rPr>
        <w:t>加快推进基础设施建设。进一步完善路网体系，分步实施新南环、千山路、开放路等新建、改建工程，拉大城市框架。下大力改造城区排水管网，完善供水、供气、供热等配套设施，合理设置便民市场、停车场，提高城市载体功能。坚持新区建设与旧城改造相结合。</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争创省级园林城市。聘请专业设计单位，对城市园林建设进行高标准规划，提高创建水平。加快推进重点园林绿化工程，对城区主干道、出县口等重要节点进行绿化改造，启动建设一批小型游园、街头绿地，提升园林绿化水平。大力开展园林式单位、小区创建活动。</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提高城市管理水平。加大城市精细化管理力度，制定更加完善的管理办法，明确街道保洁、摊点经营、交通秩序等各项管理标准，明晰各项职责。持续开展城市容貌秩序综合整治行动，加大对乱扔垃圾、车辆乱停、占道经营等各种不文明行为的整治力度，进一步改善城市环境。积极开展洁城行动、文明出行等文明城市创建活动，引导市民改陋习、树新风，养成良好生活习惯，提高城市文明程度。</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、扎实做好</w:t>
      </w:r>
      <w:r>
        <w:rPr>
          <w:rFonts w:hint="eastAsia" w:ascii="仿宋_GB2312" w:hAnsi="仿宋_GB2312" w:eastAsia="仿宋_GB2312" w:cs="仿宋_GB2312"/>
          <w:sz w:val="32"/>
          <w:szCs w:val="32"/>
          <w:lang w:eastAsia="zh-CN"/>
        </w:rPr>
        <w:t>“三农”工作</w:t>
      </w:r>
      <w:r>
        <w:rPr>
          <w:rFonts w:hint="eastAsia" w:ascii="仿宋_GB2312" w:hAnsi="仿宋_GB2312" w:eastAsia="仿宋_GB2312" w:cs="仿宋_GB2312"/>
          <w:sz w:val="32"/>
          <w:szCs w:val="32"/>
        </w:rPr>
        <w:t>，推进城乡协调发展</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着力提高农业综合生产能力。切实保障粮食安全，粮食生产保持在</w:t>
      </w:r>
      <w:r>
        <w:rPr>
          <w:rFonts w:ascii="仿宋_GB2312" w:hAnsi="仿宋_GB2312" w:eastAsia="仿宋_GB2312" w:cs="仿宋_GB2312"/>
          <w:sz w:val="32"/>
          <w:szCs w:val="32"/>
        </w:rPr>
        <w:t>35</w:t>
      </w:r>
      <w:r>
        <w:rPr>
          <w:rFonts w:hint="eastAsia" w:ascii="仿宋_GB2312" w:hAnsi="仿宋_GB2312" w:eastAsia="仿宋_GB2312" w:cs="仿宋_GB2312"/>
          <w:sz w:val="32"/>
          <w:szCs w:val="32"/>
        </w:rPr>
        <w:t>万吨以上。全面落实各项惠农政策，加强以农田水利为重点的农业基础设施建设，推广使用新品种、新技术，提高农业综合效益。</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积极发展现代农业。坚持以抓工业的理念抓农业，积极开展农业招商引资，引进一批涉农大企业、大集团，大力发展农业园区、家庭农场、种养大户，提高农业规模化经营水平。认真抓好农村土地确权登记，加强乡、村土地流转平台建设，严格流转程序，完善各项手续，积极稳妥推进农村土地经营权有序流转。加强对农业合作社等经济组织的监管，合理控制发展规模，严防非法吸储等各类问题发生。</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深入推进农村面貌改造提升工程。省级重点村，确保</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件实事整体推进，打造精品片区。非重点村按照因地制宜、量力而行的原则，重点抓好“四清”、绿化等基础性工作，健全完善卫生保洁长效机制，实现日常保洁常态化。年内建立长效机制的村达到</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以上；已建立的村进行回头看，确保运行顺畅。加强教育引导，提高农民素质，推动“物的新农村”和“人的新农村”齐头并进。</w:t>
      </w:r>
    </w:p>
    <w:p>
      <w:pPr>
        <w:ind w:firstLine="560"/>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、着力改善两个环境，夯实科学发展基础</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大力改善生态环境。严格执行新修订的《环境保护法》，坚持源头严防、过程严管、后果严惩，推动污染防治工作长效化、法治化。积极引导企业更新落后设备，改进生产工艺，提高清洁化生产水平，减少污染排放。健全污水处理厂运行机制，加快磁河上游雨污分流等重点工程建设，提高污水处理能力。深入推进大气污染防治，严格落实压煤、降尘、控车等治理措施，推动大气质量持续好转。加强对重点排污企业的监管，确保环保设施稳定运行，实现达标排放。依法严厉打击“十五小”、“新六小”等非法企业和各类非法排污行为，切实减少环境违法现象发生。大力开展植树绿化活动，加快交通干道、田间林网建设，构建绿色廊道．</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全力优化发展环境。深化行政审批制度改革，同步落实省市取消下放的审批事项，精简县级审批事项，优化审批流程，简化办事程序，为企业“松绑减负”。强化服务意识，全面推行“三级平台、两个代办”服务制度，积极为企业发展解决难题。深入开展基层执法标准化建设，对行政处罚自由裁量权进行细化评审，减少执法随意性，提高依法办事、依法行政的能力和水平。切实加大对违法行政、司法不公、粗暴执法以及吃拿卡要等行为的查处力度，努力营造良好发展环境。严厉打击强买强卖、强揽工程等干扰企业生产经营的违法行为，为企业发展保驾护航。</w:t>
      </w:r>
    </w:p>
    <w:p>
      <w:pPr>
        <w:ind w:firstLine="560"/>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、切实保障和改善民生，提高群众生活水平</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扎实推进平安建设。始终保持严打高压态势，严厉打击各类违法犯罪行为，增强群众安全感。强化社会治安管理，加大对危害公共秩序、公共安全行为的打击力度，规范社会秩序。加快县乡村三级巡控队伍建设，推进县域视频联网工程，提高安全防范水平。加强信访苗头隐患排查，充分发挥乡村一线防控能力，努力将信访苗头化解在基层、消除在萌芽。严格落实领导包案、接访下访等机制，集中化解处理一批信访积案老案。加快推进乡镇法庭建设，落实人员、经费保障，理顺运行机制，增强一线矛盾纠纷调解能力。严格落实安全生产“党政同责、一岗双责”，各级党政班子成员每月深入分包单位，分管行业、领域督导检查安全生产工作不少于</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次，及时排查整改安全隐患，确保全县安全生产形势持续稳定。扎实做好食品药品安全工作，保障群众生命财产安全。</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全力办好民生实事。坚持惠民利民便民导向，谋划实施一批民生工程。实施教育提升工程，推进薄弱学校改造，实施学前教育三年行动计划，提升全县办学水平。实施医疗便民工程，加快县级医院运行机制改革，提高医疗服务水平。实施交通畅通工程，改善交通条件。实施饮水安全工程，加快农村饮水安全工程建设，实现安全供水全覆盖。</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提高社会保障水平。进一步扩大养老、医疗、失业、工伤、生育保险覆盖面，做到应保尽保。鼓励多渠道多形式就业，提高全县就业水平。继续做好特困群体救助工作，深入实施“春雨行动”，重点抓好大病致贫、突发事故致贫等特困群体救助，健全完善长效机制，保障特困群众生产生活。</w:t>
      </w:r>
    </w:p>
    <w:p>
      <w:pPr>
        <w:ind w:firstLine="560"/>
        <w:rPr>
          <w:rFonts w:ascii="??" w:hAnsi="??" w:cs="??"/>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切实抓好宣传思想工作和精神文明建设。进一步强化意识形态工作领导责任，健全县委统一领导、党政齐抓共管、宣传部门组织协调、各部门分工负责的大宣传格局，县委常委会每季度专题研究一次意识形态工作。积极做好宣传思想工作，大力宣传“中国梦”、社会主义核心价值观，宣传县委、县政府决策部署，宣传经济社会发展中涌现的先进典型和取得的突出业绩，传播正能量，汇聚大合力，牢牢把握社会舆论引导权。大力推进公民道德建设，积极组织“善行无极</w:t>
      </w:r>
      <w:r>
        <w:rPr>
          <w:rFonts w:ascii="仿宋_GB2312" w:hAnsi="仿宋_GB2312" w:eastAsia="仿宋_GB2312"/>
          <w:sz w:val="32"/>
          <w:szCs w:val="32"/>
        </w:rPr>
        <w:t>•</w:t>
      </w:r>
      <w:r>
        <w:rPr>
          <w:rFonts w:hint="eastAsia" w:ascii="仿宋_GB2312" w:hAnsi="仿宋_GB2312" w:eastAsia="仿宋_GB2312" w:cs="仿宋_GB2312"/>
          <w:sz w:val="32"/>
          <w:szCs w:val="32"/>
        </w:rPr>
        <w:t>爱无极限”、“善爱文化小院”系列实践活动，大力开展志愿服务和道德模范评选，选树一批社会楷模和先进典型，宣传“无极好人”，讲好“无极故事”，营造知荣辱、讲诚信、做奉献、促和谐的良好风尚。加快农村健身中心、休闲公园、文化书屋等公共文化服务设施建设，积极开展彩色周末、文化下乡等群众性文化活动，丰富群众文化生活。大力扶持野风艺术聚落、剪纸、五龙体育等特色文化产业，不断提高产业整体实力。</w:t>
      </w:r>
    </w:p>
    <w:p>
      <w:pPr>
        <w:ind w:firstLine="640" w:firstLineChars="200"/>
        <w:rPr>
          <w:rFonts w:ascii="楷体_GB2312" w:hAnsi="楷体_GB2312" w:eastAsia="楷体_GB2312"/>
          <w:sz w:val="32"/>
          <w:szCs w:val="32"/>
        </w:rPr>
      </w:pPr>
      <w:r>
        <w:rPr>
          <w:rFonts w:ascii="楷体_GB2312" w:hAnsi="楷体_GB2312" w:eastAsia="楷体_GB2312" w:cs="楷体_GB2312"/>
          <w:sz w:val="32"/>
          <w:szCs w:val="32"/>
        </w:rPr>
        <w:t>(</w:t>
      </w:r>
      <w:r>
        <w:rPr>
          <w:rFonts w:hint="eastAsia" w:ascii="楷体_GB2312" w:hAnsi="楷体_GB2312" w:eastAsia="楷体_GB2312" w:cs="楷体_GB2312"/>
          <w:sz w:val="32"/>
          <w:szCs w:val="32"/>
        </w:rPr>
        <w:t>二</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职责分类绩效目标</w:t>
      </w:r>
    </w:p>
    <w:p>
      <w:pPr>
        <w:ind w:firstLine="560"/>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、围绕县委工作部署，对涉及全县经济建设、社会发展、党的自身建设等全局性的重大问题进行调查研究，为县委科学决策提出建议、预案。</w:t>
      </w:r>
    </w:p>
    <w:p>
      <w:pPr>
        <w:ind w:firstLine="560"/>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、负责县委有关会议的筹备和组织协调工作。负责安排县委领导的公务活动，办理县委领导交办的事项。</w:t>
      </w:r>
    </w:p>
    <w:p>
      <w:pPr>
        <w:ind w:firstLine="560"/>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、负责县委文件和文稿的起草、校核、印发工作，负责文书处理、档案管理和开发利用工作；研究、审核县直各部门、各乡镇党委向县委的请示，提出处理意见报县委领导审批。</w:t>
      </w:r>
    </w:p>
    <w:p>
      <w:pPr>
        <w:ind w:firstLine="560"/>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、及时收集、筛选、综合整理各类情况，全面准确地为县委、上级党委报送信息；承办内部信息刊物，及时传达贯彻党委、政府的重大决策、重要精神和扩大乡镇、部门工作交流。</w:t>
      </w:r>
    </w:p>
    <w:p>
      <w:pPr>
        <w:ind w:firstLine="560"/>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、负责党的方针政策、上级党委和县委重要工作部署、领导同志重要批示、批件贯彻落实情况的督促检查，以及受县委委托对某些问题的调查核实。</w:t>
      </w:r>
    </w:p>
    <w:p>
      <w:pPr>
        <w:ind w:firstLine="560"/>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、负责牵头组织全县目标管理年度考核工作和县委、县政府各项工作年度奖惩的汇总初审。</w:t>
      </w:r>
    </w:p>
    <w:p>
      <w:pPr>
        <w:ind w:firstLine="560"/>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、负责县委值班工作，及时向县委报告重要情况，处理群众来信来访，协助处理县直各部门和乡镇反映的重要问题。</w:t>
      </w:r>
    </w:p>
    <w:p>
      <w:pPr>
        <w:ind w:firstLine="560"/>
        <w:rPr>
          <w:rFonts w:ascii="仿宋_GB2312" w:hAnsi="仿宋_GB2312" w:eastAsia="仿宋_GB2312"/>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、负责全县党政系统机要密码通信和密码管理；负责全县商用密码管理；负责上级党委文件和党政领导机关要件的传递工作；负责牵头全县电子政务内网的建设和全县党委系统信息化工作。</w:t>
      </w:r>
    </w:p>
    <w:p>
      <w:pPr>
        <w:ind w:firstLine="560"/>
        <w:rPr>
          <w:rFonts w:ascii="仿宋_GB2312" w:hAnsi="仿宋_GB2312" w:eastAsia="仿宋_GB2312"/>
          <w:sz w:val="32"/>
          <w:szCs w:val="32"/>
        </w:rPr>
      </w:pPr>
      <w:r>
        <w:rPr>
          <w:rFonts w:ascii="仿宋_GB2312" w:hAnsi="仿宋_GB2312" w:eastAsia="仿宋_GB2312" w:cs="仿宋_GB2312"/>
          <w:sz w:val="32"/>
          <w:szCs w:val="32"/>
        </w:rPr>
        <w:t>9</w:t>
      </w:r>
      <w:r>
        <w:rPr>
          <w:rFonts w:hint="eastAsia" w:ascii="仿宋_GB2312" w:hAnsi="仿宋_GB2312" w:eastAsia="仿宋_GB2312" w:cs="仿宋_GB2312"/>
          <w:sz w:val="32"/>
          <w:szCs w:val="32"/>
        </w:rPr>
        <w:t>、负责全县保密工作的规划、宣传教育、指导协调、监督管理和泄密案件查处工作；负责涉密通信、办公自动化等的技术防范和审批管理。</w:t>
      </w:r>
    </w:p>
    <w:p>
      <w:pPr>
        <w:ind w:firstLine="560"/>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、负责有关人员来本县视察的公务活动安排和接待工作。</w:t>
      </w:r>
    </w:p>
    <w:p>
      <w:pPr>
        <w:ind w:firstLine="560"/>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、负责全县党史工作，创新工作思路，完善研究方法，巩固党史成果，加大党史宣教力度，完成各项目标任务。</w:t>
      </w:r>
    </w:p>
    <w:p>
      <w:pPr>
        <w:ind w:firstLine="560"/>
        <w:rPr>
          <w:rFonts w:ascii="仿宋_GB2312" w:hAnsi="仿宋_GB2312" w:eastAsia="仿宋_GB2312"/>
          <w:sz w:val="32"/>
          <w:szCs w:val="32"/>
        </w:rPr>
      </w:pPr>
      <w:r>
        <w:rPr>
          <w:rFonts w:ascii="仿宋_GB2312" w:hAnsi="仿宋_GB2312" w:eastAsia="仿宋_GB2312" w:cs="仿宋_GB2312"/>
          <w:sz w:val="32"/>
          <w:szCs w:val="32"/>
        </w:rPr>
        <w:t>12</w:t>
      </w:r>
      <w:r>
        <w:rPr>
          <w:rFonts w:hint="eastAsia" w:ascii="仿宋_GB2312" w:hAnsi="仿宋_GB2312" w:eastAsia="仿宋_GB2312" w:cs="仿宋_GB2312"/>
          <w:sz w:val="32"/>
          <w:szCs w:val="32"/>
        </w:rPr>
        <w:t>、负责对全县各级办公室的业务指导和协调管理。</w:t>
      </w:r>
    </w:p>
    <w:p>
      <w:pPr>
        <w:ind w:firstLine="560"/>
        <w:rPr>
          <w:rFonts w:ascii="仿宋_GB2312" w:hAnsi="仿宋_GB2312" w:eastAsia="仿宋_GB2312"/>
          <w:sz w:val="32"/>
          <w:szCs w:val="32"/>
        </w:rPr>
      </w:pPr>
      <w:r>
        <w:rPr>
          <w:rFonts w:ascii="仿宋_GB2312" w:hAnsi="仿宋_GB2312" w:eastAsia="仿宋_GB2312" w:cs="仿宋_GB2312"/>
          <w:sz w:val="32"/>
          <w:szCs w:val="32"/>
        </w:rPr>
        <w:t>13</w:t>
      </w:r>
      <w:r>
        <w:rPr>
          <w:rFonts w:hint="eastAsia" w:ascii="仿宋_GB2312" w:hAnsi="仿宋_GB2312" w:eastAsia="仿宋_GB2312" w:cs="仿宋_GB2312"/>
          <w:sz w:val="32"/>
          <w:szCs w:val="32"/>
        </w:rPr>
        <w:t>、承办县委及市委办公厅交办的其他工作。</w:t>
      </w:r>
    </w:p>
    <w:p>
      <w:pPr>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（三）部门职责</w:t>
      </w:r>
      <w:r>
        <w:rPr>
          <w:rFonts w:ascii="楷体_GB2312" w:hAnsi="楷体_GB2312" w:eastAsia="楷体_GB2312" w:cs="楷体_GB2312"/>
          <w:sz w:val="32"/>
          <w:szCs w:val="32"/>
        </w:rPr>
        <w:t>-</w:t>
      </w:r>
      <w:r>
        <w:rPr>
          <w:rFonts w:hint="eastAsia" w:ascii="楷体_GB2312" w:hAnsi="楷体_GB2312" w:eastAsia="楷体_GB2312" w:cs="楷体_GB2312"/>
          <w:sz w:val="32"/>
          <w:szCs w:val="32"/>
        </w:rPr>
        <w:t>工作活动绩效目标</w:t>
      </w:r>
    </w:p>
    <w:p>
      <w:pPr>
        <w:jc w:val="center"/>
        <w:outlineLvl w:val="0"/>
        <w:rPr>
          <w:rFonts w:ascii="?????_GBK" w:eastAsia="Times New Roman"/>
          <w:sz w:val="32"/>
          <w:szCs w:val="32"/>
        </w:rPr>
      </w:pPr>
      <w:bookmarkStart w:id="0" w:name="_Toc478459821"/>
    </w:p>
    <w:p>
      <w:pPr>
        <w:jc w:val="center"/>
        <w:outlineLvl w:val="0"/>
        <w:rPr>
          <w:rFonts w:ascii="?????_GBK" w:eastAsia="Times New Roman"/>
          <w:sz w:val="32"/>
          <w:szCs w:val="32"/>
        </w:rPr>
      </w:pPr>
    </w:p>
    <w:p>
      <w:pPr>
        <w:jc w:val="center"/>
        <w:outlineLvl w:val="0"/>
        <w:rPr>
          <w:rFonts w:ascii="?????_GBK" w:eastAsia="Times New Roman"/>
          <w:sz w:val="32"/>
          <w:szCs w:val="32"/>
        </w:rPr>
      </w:pPr>
    </w:p>
    <w:p>
      <w:pPr>
        <w:jc w:val="center"/>
        <w:outlineLvl w:val="0"/>
        <w:rPr>
          <w:rFonts w:ascii="?????_GBK" w:eastAsia="Times New Roman"/>
          <w:sz w:val="32"/>
          <w:szCs w:val="32"/>
        </w:rPr>
      </w:pPr>
    </w:p>
    <w:p>
      <w:pPr>
        <w:jc w:val="center"/>
        <w:outlineLvl w:val="0"/>
        <w:rPr>
          <w:rFonts w:ascii="?????_GBK" w:eastAsia="Times New Roman"/>
          <w:sz w:val="32"/>
          <w:szCs w:val="32"/>
        </w:rPr>
      </w:pPr>
      <w:r>
        <w:rPr>
          <w:rFonts w:ascii="?????_GBK" w:eastAsia="Times New Roman"/>
          <w:sz w:val="32"/>
          <w:szCs w:val="32"/>
        </w:rPr>
        <w:t>部门职责</w:t>
      </w:r>
      <w:r>
        <w:rPr>
          <w:rFonts w:ascii="?????_GBK" w:eastAsia="Times New Roman" w:cs="?????_GBK"/>
          <w:sz w:val="32"/>
          <w:szCs w:val="32"/>
        </w:rPr>
        <w:t>-</w:t>
      </w:r>
      <w:r>
        <w:rPr>
          <w:rFonts w:ascii="?????_GBK" w:eastAsia="Times New Roman"/>
          <w:sz w:val="32"/>
          <w:szCs w:val="32"/>
        </w:rPr>
        <w:t>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_GBK" w:eastAsia="Times New Roman"/>
                <w:sz w:val="24"/>
                <w:szCs w:val="24"/>
              </w:rPr>
            </w:pPr>
            <w:r>
              <w:rPr>
                <w:rFonts w:ascii="?????_GBK" w:eastAsia="Times New Roman" w:cs="?????_GBK"/>
                <w:sz w:val="24"/>
                <w:szCs w:val="24"/>
              </w:rPr>
              <w:t>201</w:t>
            </w:r>
            <w:r>
              <w:rPr>
                <w:rFonts w:ascii="?????_GBK" w:eastAsia="Times New Roman"/>
                <w:sz w:val="24"/>
                <w:szCs w:val="24"/>
              </w:rPr>
              <w:t>县委办</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参谋协调运转</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县委公文运转、大型会议和活动组织安排、公务接待等。</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保障县委办公室大型会议、重大活动的正常、顺利举办；保障县委公文正常运转。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公文运转</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承担县委、县委领导同志交办的文件、讲话稿的起草或修改工作；县委文件和县委办公室代县委行文的核审工作；党刊党史编辑工作。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改进公文办理，规范流程，做到零停留、无差错。公文审核严谨高效，增强县委文件的权威性。加强文稿前期介入，打造精品文稿。</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党刊党史编辑工作完成率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发文核审差错率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&lt;0.5%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&lt;2%</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公文流转速度</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文稿起草工作完成量</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协调县委大型会议和活动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县委各种会议的会务工作和县委日常工作活动的组织安排。</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加强县级层面重要会议活动的统筹协调，精心谋划组织好全县性重大会议活动，县委主要领导参加的重要会议活动，要从严从细谋划安排</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大型会议控制率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0.5%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0.3%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重大工作参与率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会务接待</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负责省市领导和兄弟县市（区）党委领导同志，以及办公室系统的接待服务工作；负责县委领导同志交办的其他接待任务。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严格执行中央八项规定，坚持热情周到、简洁简朴。严格执行接待标准、降低接待费规模。</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接待费控制率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会务接待工作完成率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信息收集和督查调研</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围绕省市、县委总体工作部署开展综合调研，收集和处理信息、反映动态；承担省市、县委重要工作部署贯彻落实的督导检查，省市和县委领导同志批示件的传达和催办落实。</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反应民意，及时上报，促进决策民主化和科学化。</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信息收集及民意调查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党委系统信息工作的组织、协调和指导。围绕省市、县委的重大决策部署收集、整理和反馈信息；信息发布和联络工作；社情民意调查；全县党委系统信息网络的协调和指导工作。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通过界别渠道密切联系群众，反映社情民意，努力做到协调关系、化解矛盾、理顺情绪，增进社会各阶层不同利益群体的和谐和稳定。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全县党委系统信息网络协调和指导工作完成率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社情民意反映率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宣传报道完成率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督查调研</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督查督办按时办结率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重大决策部署落实的调研工作完成率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全县党委系统公务内网建设</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105.00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全县党委系统公务内网建设与维护。</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数据资源丰富、数据正版、权威可靠，用户满意度高。线路畅通，系统运行稳定。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公务内网建设与维护</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105.00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全县公务内网的建设和管理；计算机信息网络建设的技术开发、指导和培训；组织协调各类信息资源的上网和扩充，保障网络和信息安全。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数据资源丰富、数据正版、权威可靠，用户满意度高。线路畅通，系统运行稳定。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网络正常运转保障时间</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网络信息安全保障情况</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全县公务内网的建设管理工作完成率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内容条目更新速度</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机关密码管理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全县党政系统密码通信和密码管理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密码通信及管理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全县党政系统密码通信和密码管理，党中央、国务院和县党政军领导机关及要害部门的核心机密的传递工作。承担县密码工作小组的日常工作。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保密管理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承担县委保密委员会的日常工作。全县保密管理工作；全县保密宣传教育、督促检查、协调工作；对重大失泄密事件的组织查处，保密干部培训，保密技术防范。</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保密工作及保密科技监管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承担县委保密委员会的日常工作。全县保密管理工作，制定并组织实施保密工作的地方性法规、督促检查、协调工作；对重大失泄密事件的组织查处，保密干部培训，保密技术防范；组织研制、开发、推广保密技术应用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涉密</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县委事务管理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县委系统房产、基建、维修、物资分配和其他行政事务工作；县委领导同志和部分原县级领导同志，以及离退休同志的生活服务和阅文、参加有关活动的事务服务工作。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县委系统房产、基建、维修、物资分配和其他行政事务工作；县委领导同志和部分原县级领导同志，以及离退休同志的生活服务和阅文、参加有关活动的事务服务工作。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县统管住宅区公共部位物业管理；县委各住宅区的房地产管理和公共设施维护；县委领导同志、部分原县级领导同志的生活服务和有关事务服务工作。组织协调中央和县暑期办公工作。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保障机关工作任务高质高效</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综合业务管理工作完成率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国防教育管理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负责本行政区国防教育工作计划和实施；了解和掌握国防教育情况，对辖区内国防教育情况予以指导；负责本行政区国防教育工作评比和检查，负责本行政区国防教育经费管理和使用</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探索开展国防教育新方法，提高社会各阶层国防教育水平，增强全民国防教育观念</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督导落实</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督导各单位国防教育落实情况，协调开展国防教育系列宣传活动，加强国防教育队伍建设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增强全民国防观念，提高全民国防意识，完善国防教育体系</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领导满意度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85%</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 xml:space="preserve">75% </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75%</w:t>
            </w:r>
            <w:r>
              <w:rPr>
                <w:rFonts w:hint="eastAsia" w:ascii="方正书宋_GBK" w:eastAsia="方正书宋_GBK" w:cs="方正书宋_GBK"/>
              </w:rPr>
              <w:t>以下</w:t>
            </w: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88" w:firstLineChars="215"/>
        <w:rPr>
          <w:rFonts w:ascii="仿宋_GB2312" w:eastAsia="仿宋_GB2312"/>
          <w:sz w:val="32"/>
          <w:szCs w:val="32"/>
        </w:rPr>
      </w:pPr>
      <w:r>
        <w:rPr>
          <w:rFonts w:ascii="仿宋_GB2312" w:eastAsia="仿宋_GB2312" w:cs="仿宋_GB2312"/>
          <w:sz w:val="32"/>
          <w:szCs w:val="32"/>
        </w:rPr>
        <w:t>2017</w:t>
      </w:r>
      <w:r>
        <w:rPr>
          <w:rFonts w:hint="eastAsia" w:ascii="仿宋_GB2312" w:eastAsia="仿宋_GB2312" w:cs="仿宋_GB2312"/>
          <w:sz w:val="32"/>
          <w:szCs w:val="32"/>
        </w:rPr>
        <w:t>年我部门安排政府采购预算</w:t>
      </w:r>
      <w:r>
        <w:rPr>
          <w:rFonts w:ascii="仿宋_GB2312" w:eastAsia="仿宋_GB2312" w:cs="仿宋_GB2312"/>
          <w:sz w:val="32"/>
          <w:szCs w:val="32"/>
        </w:rPr>
        <w:t>0</w:t>
      </w:r>
      <w:r>
        <w:rPr>
          <w:rFonts w:hint="eastAsia" w:ascii="仿宋_GB2312" w:eastAsia="仿宋_GB2312" w:cs="仿宋_GB2312"/>
          <w:sz w:val="32"/>
          <w:szCs w:val="32"/>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 w:hAnsi="仿宋" w:eastAsia="仿宋"/>
          <w:sz w:val="32"/>
          <w:szCs w:val="32"/>
        </w:rPr>
      </w:pPr>
      <w:r>
        <w:rPr>
          <w:rFonts w:hint="eastAsia" w:ascii="仿宋" w:hAnsi="仿宋" w:eastAsia="仿宋" w:cs="仿宋"/>
          <w:sz w:val="32"/>
          <w:szCs w:val="32"/>
        </w:rPr>
        <w:t>无极县县委办上年末固定资产金额为</w:t>
      </w:r>
      <w:r>
        <w:rPr>
          <w:rFonts w:ascii="仿宋" w:hAnsi="仿宋" w:eastAsia="仿宋" w:cs="仿宋"/>
          <w:sz w:val="32"/>
          <w:szCs w:val="32"/>
        </w:rPr>
        <w:t>476</w:t>
      </w:r>
      <w:r>
        <w:rPr>
          <w:rFonts w:hint="eastAsia" w:ascii="仿宋" w:hAnsi="仿宋" w:eastAsia="仿宋" w:cs="仿宋"/>
          <w:sz w:val="32"/>
          <w:szCs w:val="32"/>
        </w:rPr>
        <w:t>万元（详见下表）。本年度拟购置固定资产金额为</w:t>
      </w:r>
      <w:r>
        <w:rPr>
          <w:rFonts w:ascii="仿宋" w:hAnsi="仿宋" w:eastAsia="仿宋" w:cs="仿宋"/>
          <w:sz w:val="32"/>
          <w:szCs w:val="32"/>
        </w:rPr>
        <w:t>0</w:t>
      </w:r>
      <w:r>
        <w:rPr>
          <w:rFonts w:hint="eastAsia" w:ascii="仿宋" w:hAnsi="仿宋" w:eastAsia="仿宋" w:cs="仿宋"/>
          <w:sz w:val="32"/>
          <w:szCs w:val="32"/>
        </w:rPr>
        <w:t>万元。</w:t>
      </w:r>
    </w:p>
    <w:p>
      <w:pPr>
        <w:autoSpaceDE w:val="0"/>
        <w:autoSpaceDN w:val="0"/>
        <w:adjustRightInd w:val="0"/>
        <w:ind w:left="420" w:leftChars="200" w:firstLine="4000" w:firstLineChars="1250"/>
        <w:rPr>
          <w:rFonts w:ascii="仿宋" w:hAnsi="仿宋" w:eastAsia="仿宋"/>
          <w:sz w:val="32"/>
          <w:szCs w:val="32"/>
        </w:rPr>
      </w:pPr>
      <w:r>
        <w:rPr>
          <w:rFonts w:hint="eastAsia" w:ascii="仿宋" w:hAnsi="仿宋" w:eastAsia="仿宋" w:cs="仿宋"/>
          <w:sz w:val="32"/>
          <w:szCs w:val="32"/>
        </w:rPr>
        <w:t>无极县县委办固定资产占用情况表</w:t>
      </w:r>
    </w:p>
    <w:tbl>
      <w:tblPr>
        <w:tblStyle w:val="4"/>
        <w:tblW w:w="10188" w:type="dxa"/>
        <w:tblInd w:w="1788" w:type="dxa"/>
        <w:tblLayout w:type="fixed"/>
        <w:tblCellMar>
          <w:top w:w="0" w:type="dxa"/>
          <w:left w:w="108" w:type="dxa"/>
          <w:bottom w:w="0" w:type="dxa"/>
          <w:right w:w="108" w:type="dxa"/>
        </w:tblCellMar>
      </w:tblPr>
      <w:tblGrid>
        <w:gridCol w:w="3359"/>
        <w:gridCol w:w="1995"/>
        <w:gridCol w:w="4834"/>
      </w:tblGrid>
      <w:tr>
        <w:tblPrEx>
          <w:tblCellMar>
            <w:top w:w="0" w:type="dxa"/>
            <w:left w:w="108" w:type="dxa"/>
            <w:bottom w:w="0" w:type="dxa"/>
            <w:right w:w="108" w:type="dxa"/>
          </w:tblCellMar>
        </w:tblPrEx>
        <w:trPr>
          <w:trHeight w:val="510" w:hRule="atLeast"/>
        </w:trPr>
        <w:tc>
          <w:tcPr>
            <w:tcW w:w="5354"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无极县县委办</w:t>
            </w:r>
          </w:p>
        </w:tc>
        <w:tc>
          <w:tcPr>
            <w:tcW w:w="4834" w:type="dxa"/>
            <w:tcBorders>
              <w:top w:val="nil"/>
              <w:left w:val="nil"/>
              <w:bottom w:val="nil"/>
              <w:right w:val="nil"/>
            </w:tcBorders>
            <w:vAlign w:val="center"/>
          </w:tcPr>
          <w:p>
            <w:pPr>
              <w:widowControl/>
              <w:ind w:firstLine="1100" w:firstLineChars="500"/>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2016</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359"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199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4834"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476</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4463</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50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4463</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50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9</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220</w:t>
            </w: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359"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19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834"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206</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1.</w:t>
      </w:r>
      <w:r>
        <w:rPr>
          <w:rFonts w:hint="eastAsia" w:ascii="楷体_GB2312" w:hAnsi="楷体_GB2312" w:eastAsia="楷体_GB2312" w:cs="楷体_GB2312"/>
          <w:b/>
          <w:bCs/>
          <w:sz w:val="32"/>
          <w:szCs w:val="32"/>
        </w:rPr>
        <w:t>财政拨款收入</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2.</w:t>
      </w:r>
      <w:r>
        <w:rPr>
          <w:rFonts w:hint="eastAsia" w:ascii="楷体_GB2312" w:hAnsi="楷体_GB2312" w:eastAsia="楷体_GB2312" w:cs="楷体_GB2312"/>
          <w:b/>
          <w:bCs/>
          <w:sz w:val="32"/>
          <w:szCs w:val="32"/>
        </w:rPr>
        <w:t>基本支出、项目支出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3.</w:t>
      </w:r>
      <w:r>
        <w:rPr>
          <w:rFonts w:hint="eastAsia" w:ascii="楷体_GB2312" w:hAnsi="楷体_GB2312" w:eastAsia="楷体_GB2312" w:cs="楷体_GB2312"/>
          <w:b/>
          <w:bCs/>
          <w:sz w:val="32"/>
          <w:szCs w:val="32"/>
        </w:rPr>
        <w:t>一般公共服务支出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4.</w:t>
      </w:r>
      <w:r>
        <w:rPr>
          <w:rFonts w:hint="eastAsia" w:ascii="楷体_GB2312" w:hAnsi="楷体_GB2312" w:eastAsia="楷体_GB2312" w:cs="楷体_GB2312"/>
          <w:b/>
          <w:bCs/>
          <w:sz w:val="32"/>
          <w:szCs w:val="32"/>
        </w:rPr>
        <w:t>文化体育与传媒支出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5.</w:t>
      </w:r>
      <w:r>
        <w:rPr>
          <w:rFonts w:hint="eastAsia" w:ascii="楷体_GB2312" w:hAnsi="楷体_GB2312" w:eastAsia="楷体_GB2312" w:cs="楷体_GB2312"/>
          <w:b/>
          <w:bCs/>
          <w:sz w:val="32"/>
          <w:szCs w:val="32"/>
        </w:rPr>
        <w:t>社会保障和就业支出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楷体_GB2312" w:hAnsi="楷体_GB2312" w:eastAsia="楷体_GB2312"/>
          <w:b/>
          <w:bCs/>
          <w:sz w:val="32"/>
          <w:szCs w:val="32"/>
        </w:rPr>
      </w:pPr>
      <w:r>
        <w:rPr>
          <w:rFonts w:ascii="楷体_GB2312" w:hAnsi="楷体_GB2312" w:eastAsia="楷体_GB2312" w:cs="楷体_GB2312"/>
          <w:b/>
          <w:bCs/>
          <w:sz w:val="32"/>
          <w:szCs w:val="32"/>
        </w:rPr>
        <w:t>6.</w:t>
      </w:r>
      <w:r>
        <w:rPr>
          <w:rFonts w:hint="eastAsia" w:ascii="楷体_GB2312" w:hAnsi="楷体_GB2312" w:eastAsia="楷体_GB2312" w:cs="楷体_GB2312"/>
          <w:b/>
          <w:bCs/>
          <w:sz w:val="32"/>
          <w:szCs w:val="32"/>
        </w:rPr>
        <w:t>机关运行经费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numPr>
          <w:ilvl w:val="0"/>
          <w:numId w:val="4"/>
        </w:numPr>
        <w:ind w:firstLine="720"/>
        <w:rPr>
          <w:rFonts w:ascii="楷体_GB2312" w:hAnsi="楷体_GB2312" w:eastAsia="楷体_GB2312"/>
          <w:b/>
          <w:bCs/>
          <w:sz w:val="32"/>
          <w:szCs w:val="32"/>
        </w:rPr>
      </w:pPr>
      <w:r>
        <w:rPr>
          <w:rFonts w:hint="eastAsia" w:ascii="楷体_GB2312" w:hAnsi="楷体_GB2312" w:eastAsia="楷体_GB2312" w:cs="楷体_GB2312"/>
          <w:b/>
          <w:bCs/>
          <w:sz w:val="32"/>
          <w:szCs w:val="32"/>
        </w:rPr>
        <w:t>“三公”经费</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ascii="仿宋_GB2312" w:hAnsi="仿宋_GB2312" w:eastAsia="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 w:hAnsi="??" w:cs="??"/>
          <w:sz w:val="32"/>
          <w:szCs w:val="32"/>
        </w:rPr>
      </w:pPr>
      <w:r>
        <w:rPr>
          <w:rFonts w:hint="eastAsia" w:ascii="宋体" w:hAnsi="宋体" w:cs="宋体"/>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4"/>
      <w:numFmt w:val="chineseCounting"/>
      <w:suff w:val="nothing"/>
      <w:lvlText w:val="%1、"/>
      <w:lvlJc w:val="left"/>
    </w:lvl>
  </w:abstractNum>
  <w:abstractNum w:abstractNumId="1">
    <w:nsid w:val="00000009"/>
    <w:multiLevelType w:val="singleLevel"/>
    <w:tmpl w:val="00000009"/>
    <w:lvl w:ilvl="0" w:tentative="0">
      <w:start w:val="2"/>
      <w:numFmt w:val="chineseCounting"/>
      <w:suff w:val="nothing"/>
      <w:lvlText w:val="（%1）"/>
      <w:lvlJc w:val="left"/>
    </w:lvl>
  </w:abstractNum>
  <w:abstractNum w:abstractNumId="2">
    <w:nsid w:val="0000000B"/>
    <w:multiLevelType w:val="singleLevel"/>
    <w:tmpl w:val="0000000B"/>
    <w:lvl w:ilvl="0" w:tentative="0">
      <w:start w:val="7"/>
      <w:numFmt w:val="decimal"/>
      <w:suff w:val="nothing"/>
      <w:lvlText w:val="%1."/>
      <w:lvlJc w:val="left"/>
    </w:lvl>
  </w:abstractNum>
  <w:abstractNum w:abstractNumId="3">
    <w:nsid w:val="0053208E"/>
    <w:multiLevelType w:val="singleLevel"/>
    <w:tmpl w:val="0053208E"/>
    <w:lvl w:ilvl="0" w:tentative="0">
      <w:start w:val="1"/>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45507"/>
    <w:rsid w:val="004762CE"/>
    <w:rsid w:val="00945507"/>
    <w:rsid w:val="00ED2BA6"/>
    <w:rsid w:val="35DC3E11"/>
    <w:rsid w:val="3D184374"/>
    <w:rsid w:val="537158D2"/>
    <w:rsid w:val="7A5B48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customStyle="1" w:styleId="6">
    <w:name w:val="List Paragraph1"/>
    <w:basedOn w:val="1"/>
    <w:uiPriority w:val="0"/>
    <w:pPr>
      <w:ind w:firstLine="420" w:firstLineChars="200"/>
    </w:pPr>
  </w:style>
  <w:style w:type="paragraph" w:customStyle="1" w:styleId="7">
    <w:name w:val="[Normal]"/>
    <w:qFormat/>
    <w:uiPriority w:val="0"/>
    <w:rPr>
      <w:rFonts w:ascii="宋体" w:hAnsi="宋体" w:eastAsia="宋体" w:cs="宋体"/>
      <w:sz w:val="24"/>
      <w:szCs w:val="24"/>
      <w:lang w:val="en-US" w:eastAsia="en-US" w:bidi="ar-SA"/>
    </w:rPr>
  </w:style>
  <w:style w:type="character" w:customStyle="1" w:styleId="8">
    <w:name w:val="页脚 Char"/>
    <w:link w:val="2"/>
    <w:semiHidden/>
    <w:uiPriority w:val="0"/>
    <w:rPr>
      <w:rFonts w:ascii="Times New Roman" w:hAnsi="Times New Roman" w:eastAsia="宋体" w:cs="Times New Roman"/>
      <w:sz w:val="18"/>
      <w:szCs w:val="18"/>
    </w:rPr>
  </w:style>
  <w:style w:type="character" w:customStyle="1" w:styleId="9">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1604</Words>
  <Characters>9149</Characters>
  <Lines>76</Lines>
  <Paragraphs>21</Paragraphs>
  <TotalTime>3</TotalTime>
  <ScaleCrop>false</ScaleCrop>
  <LinksUpToDate>false</LinksUpToDate>
  <CharactersWithSpaces>10732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浮生</cp:lastModifiedBy>
  <dcterms:modified xsi:type="dcterms:W3CDTF">2025-01-03T06:23:59Z</dcterms:modified>
  <dc:title>微软用户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493C30E7884E41278A591351B97B16D8</vt:lpwstr>
  </property>
</Properties>
</file>