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ascii="宋体" w:cs="宋体"/>
          <w:b/>
          <w:bCs/>
          <w:sz w:val="44"/>
          <w:szCs w:val="44"/>
        </w:rPr>
      </w:pPr>
    </w:p>
    <w:p>
      <w:pPr>
        <w:ind w:firstLine="4996" w:firstLineChars="1131"/>
        <w:rPr>
          <w:rFonts w:ascii="宋体" w:cs="宋体"/>
          <w:b/>
          <w:bCs/>
          <w:sz w:val="44"/>
          <w:szCs w:val="44"/>
        </w:rPr>
      </w:pPr>
      <w:r>
        <w:rPr>
          <w:rFonts w:hint="eastAsia" w:ascii="宋体" w:hAnsi="宋体" w:cs="宋体"/>
          <w:b/>
          <w:bCs/>
          <w:sz w:val="44"/>
          <w:szCs w:val="44"/>
        </w:rPr>
        <w:t>无极县交警大队</w:t>
      </w:r>
      <w:r>
        <w:rPr>
          <w:rFonts w:ascii="宋体" w:hAnsi="宋体" w:cs="宋体"/>
          <w:b/>
          <w:bCs/>
          <w:sz w:val="44"/>
          <w:szCs w:val="44"/>
        </w:rPr>
        <w:t xml:space="preserve">    </w:t>
      </w:r>
    </w:p>
    <w:p>
      <w:pPr>
        <w:jc w:val="center"/>
        <w:rPr>
          <w:rFonts w:ascii="宋体" w:cs="宋体"/>
          <w:b/>
          <w:bCs/>
          <w:sz w:val="44"/>
          <w:szCs w:val="44"/>
        </w:rPr>
      </w:pPr>
      <w:r>
        <w:rPr>
          <w:rFonts w:ascii="宋体" w:hAnsi="宋体" w:cs="宋体"/>
          <w:b/>
          <w:bCs/>
          <w:sz w:val="44"/>
          <w:szCs w:val="44"/>
        </w:rPr>
        <w:t>2017</w:t>
      </w:r>
      <w:r>
        <w:rPr>
          <w:rFonts w:hint="eastAsia" w:ascii="宋体" w:hAnsi="宋体" w:cs="宋体"/>
          <w:b/>
          <w:bCs/>
          <w:sz w:val="44"/>
          <w:szCs w:val="44"/>
        </w:rPr>
        <w:t>年部门预算信息公开说明目录</w:t>
      </w:r>
    </w:p>
    <w:p/>
    <w:p/>
    <w:p>
      <w:pPr>
        <w:ind w:firstLine="640" w:firstLineChars="200"/>
        <w:rPr>
          <w:rFonts w:ascii="宋体" w:cs="仿宋_GB2312"/>
          <w:sz w:val="32"/>
          <w:szCs w:val="32"/>
        </w:rPr>
      </w:pPr>
      <w:r>
        <w:rPr>
          <w:rFonts w:hint="eastAsia" w:ascii="宋体" w:hAnsi="宋体" w:cs="仿宋_GB2312"/>
          <w:sz w:val="32"/>
          <w:szCs w:val="32"/>
        </w:rPr>
        <w:t>一、部门职责及机构设置情况</w:t>
      </w:r>
    </w:p>
    <w:p>
      <w:pPr>
        <w:ind w:firstLine="640" w:firstLineChars="200"/>
        <w:rPr>
          <w:rFonts w:ascii="宋体" w:cs="仿宋_GB2312"/>
          <w:sz w:val="32"/>
          <w:szCs w:val="32"/>
        </w:rPr>
      </w:pPr>
      <w:r>
        <w:rPr>
          <w:rFonts w:hint="eastAsia" w:ascii="宋体" w:hAnsi="宋体" w:cs="仿宋_GB2312"/>
          <w:sz w:val="32"/>
          <w:szCs w:val="32"/>
        </w:rPr>
        <w:t>二、部门预算安排的总体情况</w:t>
      </w:r>
    </w:p>
    <w:p>
      <w:pPr>
        <w:ind w:firstLine="640" w:firstLineChars="200"/>
        <w:rPr>
          <w:rFonts w:ascii="宋体" w:cs="仿宋_GB2312"/>
          <w:sz w:val="32"/>
          <w:szCs w:val="32"/>
        </w:rPr>
      </w:pPr>
      <w:r>
        <w:rPr>
          <w:rFonts w:hint="eastAsia" w:ascii="宋体" w:hAnsi="宋体" w:cs="仿宋_GB2312"/>
          <w:sz w:val="32"/>
          <w:szCs w:val="32"/>
        </w:rPr>
        <w:t>三、机关运行经费安排情况</w:t>
      </w:r>
    </w:p>
    <w:p>
      <w:pPr>
        <w:autoSpaceDE w:val="0"/>
        <w:autoSpaceDN w:val="0"/>
        <w:adjustRightInd w:val="0"/>
        <w:ind w:firstLine="640" w:firstLineChars="200"/>
        <w:jc w:val="left"/>
        <w:rPr>
          <w:rFonts w:ascii="宋体" w:cs="仿宋_GB2312"/>
          <w:sz w:val="32"/>
          <w:szCs w:val="32"/>
        </w:rPr>
      </w:pPr>
      <w:r>
        <w:rPr>
          <w:rFonts w:hint="eastAsia" w:ascii="宋体" w:hAnsi="宋体" w:cs="仿宋_GB2312"/>
          <w:sz w:val="32"/>
          <w:szCs w:val="32"/>
        </w:rPr>
        <w:t>四、财政拨款“三公”经费预算情况及增减变化原因</w:t>
      </w:r>
    </w:p>
    <w:p>
      <w:pPr>
        <w:autoSpaceDE w:val="0"/>
        <w:autoSpaceDN w:val="0"/>
        <w:adjustRightInd w:val="0"/>
        <w:ind w:firstLine="640" w:firstLineChars="200"/>
        <w:jc w:val="left"/>
        <w:rPr>
          <w:rFonts w:ascii="宋体" w:cs="仿宋_GB2312"/>
          <w:sz w:val="32"/>
          <w:szCs w:val="32"/>
        </w:rPr>
      </w:pPr>
      <w:r>
        <w:rPr>
          <w:rFonts w:hint="eastAsia" w:ascii="宋体" w:hAnsi="宋体" w:cs="仿宋_GB2312"/>
          <w:sz w:val="32"/>
          <w:szCs w:val="32"/>
        </w:rPr>
        <w:t>五、绩效预算信息</w:t>
      </w:r>
    </w:p>
    <w:p>
      <w:pPr>
        <w:autoSpaceDE w:val="0"/>
        <w:autoSpaceDN w:val="0"/>
        <w:adjustRightInd w:val="0"/>
        <w:ind w:firstLine="640" w:firstLineChars="200"/>
        <w:jc w:val="left"/>
        <w:rPr>
          <w:rFonts w:ascii="宋体" w:cs="仿宋_GB2312"/>
          <w:sz w:val="32"/>
          <w:szCs w:val="32"/>
        </w:rPr>
      </w:pPr>
      <w:r>
        <w:rPr>
          <w:rFonts w:hint="eastAsia" w:ascii="宋体" w:hAnsi="宋体" w:cs="仿宋_GB2312"/>
          <w:sz w:val="32"/>
          <w:szCs w:val="32"/>
        </w:rPr>
        <w:t>六、政府采购预算情况</w:t>
      </w:r>
    </w:p>
    <w:p>
      <w:pPr>
        <w:autoSpaceDE w:val="0"/>
        <w:autoSpaceDN w:val="0"/>
        <w:adjustRightInd w:val="0"/>
        <w:ind w:firstLine="640" w:firstLineChars="200"/>
        <w:jc w:val="left"/>
        <w:rPr>
          <w:rFonts w:ascii="宋体" w:cs="仿宋_GB2312"/>
          <w:sz w:val="32"/>
          <w:szCs w:val="32"/>
        </w:rPr>
      </w:pPr>
      <w:r>
        <w:rPr>
          <w:rFonts w:hint="eastAsia" w:ascii="宋体" w:hAnsi="宋体" w:cs="仿宋_GB2312"/>
          <w:sz w:val="32"/>
          <w:szCs w:val="32"/>
        </w:rPr>
        <w:t>七、国有资产信息</w:t>
      </w:r>
    </w:p>
    <w:p>
      <w:pPr>
        <w:autoSpaceDE w:val="0"/>
        <w:autoSpaceDN w:val="0"/>
        <w:adjustRightInd w:val="0"/>
        <w:ind w:firstLine="640" w:firstLineChars="200"/>
        <w:jc w:val="left"/>
        <w:rPr>
          <w:rFonts w:ascii="宋体" w:cs="仿宋_GB2312"/>
          <w:sz w:val="32"/>
          <w:szCs w:val="32"/>
        </w:rPr>
      </w:pPr>
      <w:r>
        <w:rPr>
          <w:rFonts w:hint="eastAsia" w:ascii="宋体" w:hAnsi="宋体" w:cs="仿宋_GB2312"/>
          <w:sz w:val="32"/>
          <w:szCs w:val="32"/>
        </w:rPr>
        <w:t>八、名词解释</w:t>
      </w:r>
    </w:p>
    <w:p>
      <w:pPr>
        <w:autoSpaceDE w:val="0"/>
        <w:autoSpaceDN w:val="0"/>
        <w:adjustRightInd w:val="0"/>
        <w:ind w:firstLine="640" w:firstLineChars="200"/>
        <w:jc w:val="left"/>
        <w:rPr>
          <w:rFonts w:ascii="宋体"/>
          <w:sz w:val="32"/>
          <w:szCs w:val="32"/>
        </w:rPr>
      </w:pPr>
      <w:r>
        <w:rPr>
          <w:rFonts w:hint="eastAsia" w:ascii="宋体" w:hAnsi="宋体" w:cs="仿宋_GB2312"/>
          <w:sz w:val="32"/>
          <w:szCs w:val="32"/>
        </w:rPr>
        <w:t>九、其他需要说明的事项</w:t>
      </w:r>
    </w:p>
    <w:p/>
    <w:p>
      <w:pPr>
        <w:ind w:firstLine="640" w:firstLineChars="200"/>
        <w:rPr>
          <w:rFonts w:ascii="仿宋_GB2312" w:hAnsi="仿宋" w:eastAsia="仿宋_GB2312" w:cs="仿宋"/>
          <w:sz w:val="32"/>
          <w:szCs w:val="32"/>
        </w:rPr>
      </w:pPr>
    </w:p>
    <w:p>
      <w:pPr>
        <w:ind w:firstLine="640" w:firstLineChars="200"/>
        <w:rPr>
          <w:rFonts w:ascii="仿宋_GB2312" w:hAnsi="仿宋" w:eastAsia="仿宋_GB2312" w:cs="仿宋"/>
          <w:sz w:val="32"/>
          <w:szCs w:val="32"/>
        </w:rPr>
      </w:pPr>
    </w:p>
    <w:p>
      <w:pPr>
        <w:ind w:firstLine="640" w:firstLineChars="200"/>
        <w:rPr>
          <w:rFonts w:ascii="仿宋_GB2312" w:hAnsi="仿宋" w:eastAsia="仿宋_GB2312" w:cs="仿宋"/>
          <w:sz w:val="32"/>
          <w:szCs w:val="32"/>
        </w:rPr>
      </w:pPr>
      <w:r>
        <w:rPr>
          <w:rFonts w:hint="eastAsia" w:ascii="仿宋_GB2312" w:hAnsi="仿宋" w:eastAsia="仿宋_GB2312" w:cs="仿宋"/>
          <w:sz w:val="32"/>
          <w:szCs w:val="32"/>
        </w:rPr>
        <w:t>按照《预算法》、《地方预决算公开操作规程》和《河北省省级预算公开办法》规定，现将无极县交警大队</w:t>
      </w:r>
      <w:r>
        <w:rPr>
          <w:rFonts w:ascii="仿宋_GB2312" w:hAnsi="仿宋" w:eastAsia="仿宋_GB2312" w:cs="仿宋"/>
          <w:sz w:val="32"/>
          <w:szCs w:val="32"/>
        </w:rPr>
        <w:t>2017</w:t>
      </w:r>
      <w:r>
        <w:rPr>
          <w:rFonts w:hint="eastAsia" w:ascii="仿宋_GB2312" w:hAnsi="仿宋" w:eastAsia="仿宋_GB2312" w:cs="仿宋"/>
          <w:sz w:val="32"/>
          <w:szCs w:val="32"/>
        </w:rPr>
        <w:t>年部门预算公开如下：</w:t>
      </w:r>
    </w:p>
    <w:p>
      <w:pPr>
        <w:ind w:left="800"/>
        <w:rPr>
          <w:rFonts w:ascii="黑体" w:hAnsi="黑体" w:eastAsia="黑体" w:cs="仿宋_GB2312"/>
          <w:sz w:val="32"/>
          <w:szCs w:val="32"/>
        </w:rPr>
      </w:pPr>
      <w:r>
        <w:rPr>
          <w:rFonts w:hint="eastAsia" w:ascii="黑体" w:hAnsi="黑体" w:eastAsia="黑体" w:cs="仿宋_GB2312"/>
          <w:sz w:val="32"/>
          <w:szCs w:val="32"/>
        </w:rPr>
        <w:t>一、部门职责及机构设置情况</w:t>
      </w:r>
    </w:p>
    <w:p>
      <w:pPr>
        <w:ind w:firstLine="645"/>
        <w:rPr>
          <w:rFonts w:ascii="楷体" w:hAnsi="楷体" w:eastAsia="楷体" w:cs="仿宋_GB2312"/>
          <w:sz w:val="32"/>
          <w:szCs w:val="32"/>
        </w:rPr>
      </w:pPr>
      <w:r>
        <w:rPr>
          <w:rFonts w:hint="eastAsia" w:ascii="楷体" w:hAnsi="楷体" w:eastAsia="楷体" w:cs="仿宋_GB2312"/>
          <w:sz w:val="32"/>
          <w:szCs w:val="32"/>
        </w:rPr>
        <w:t>（一）部门职责</w:t>
      </w:r>
    </w:p>
    <w:p>
      <w:pPr>
        <w:ind w:firstLine="640" w:firstLineChars="200"/>
        <w:rPr>
          <w:rFonts w:ascii="仿宋_GB2312" w:hAnsi="仿宋_GB2312" w:eastAsia="仿宋_GB2312" w:cs="仿宋_GB2312"/>
          <w:sz w:val="32"/>
          <w:szCs w:val="32"/>
        </w:rPr>
      </w:pPr>
      <w:r>
        <w:rPr>
          <w:rFonts w:hint="eastAsia" w:ascii="仿宋" w:hAnsi="仿宋" w:eastAsia="仿宋" w:cs="仿宋"/>
          <w:sz w:val="32"/>
          <w:szCs w:val="32"/>
        </w:rPr>
        <w:t xml:space="preserve"> </w:t>
      </w:r>
      <w:r>
        <w:rPr>
          <w:rFonts w:hint="eastAsia" w:ascii="仿宋_GB2312" w:hAnsi="仿宋_GB2312" w:eastAsia="仿宋_GB2312" w:cs="仿宋_GB2312"/>
          <w:sz w:val="32"/>
          <w:szCs w:val="32"/>
        </w:rPr>
        <w:t>交警大队是主管全县道路交通安全和交通秩序以及机动车、驾驶人管理工作的职能部门。是负责本地区道路交通的组织、指挥、控制，运用现代管理科学，增强道路交通协调与控制能力。</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维护全县的道路交通秩序，保障道路交通安全畅通。预防和处理交通事故，制止妨碍道路交通安全的行为。预防和打击公路上发生的违法犯罪活动，查缉逃犯及其他犯罪嫌疑人。</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巡逻道路：先期处置道路治安、刑事案件和突发性、群体性事件。</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负责对本县公共停车场点的管理，对本县车辆单位和汽车维修、驾驶员培训等行业进行技术监督、检查、指导，负责本县驾驶员安全组织的管理。对县城地区道路交通安全设施的建设、管理，参预公路交通安全设施建设的决策。</w:t>
      </w:r>
    </w:p>
    <w:p>
      <w:pPr>
        <w:ind w:firstLine="645"/>
        <w:rPr>
          <w:rFonts w:ascii="仿宋_GB2312" w:hAnsi="仿宋_GB2312" w:eastAsia="仿宋_GB2312" w:cs="仿宋_GB2312"/>
          <w:sz w:val="32"/>
          <w:szCs w:val="32"/>
        </w:rPr>
      </w:pPr>
      <w:r>
        <w:rPr>
          <w:rFonts w:hint="eastAsia" w:ascii="仿宋_GB2312" w:hAnsi="仿宋_GB2312" w:eastAsia="仿宋_GB2312" w:cs="仿宋_GB2312"/>
          <w:sz w:val="32"/>
          <w:szCs w:val="32"/>
        </w:rPr>
        <w:t>根据中华人民共和国道路</w:t>
      </w:r>
      <w:r>
        <w:rPr>
          <w:rFonts w:hint="eastAsia" w:ascii="仿宋_GB2312" w:hAnsi="仿宋_GB2312" w:eastAsia="仿宋_GB2312" w:cs="仿宋_GB2312"/>
          <w:sz w:val="32"/>
          <w:szCs w:val="32"/>
          <w:lang w:val="en-US" w:eastAsia="zh-CN"/>
        </w:rPr>
        <w:t>交通</w:t>
      </w:r>
      <w:r>
        <w:rPr>
          <w:rFonts w:hint="eastAsia" w:ascii="仿宋_GB2312" w:hAnsi="仿宋_GB2312" w:eastAsia="仿宋_GB2312" w:cs="仿宋_GB2312"/>
          <w:sz w:val="32"/>
          <w:szCs w:val="32"/>
        </w:rPr>
        <w:t>安全法，对违反交通安全法律、法规、规章的驾驶员和车辆进行纠正、</w:t>
      </w:r>
    </w:p>
    <w:p>
      <w:pPr>
        <w:numPr>
          <w:ilvl w:val="0"/>
          <w:numId w:val="1"/>
        </w:numPr>
        <w:ind w:firstLine="645"/>
        <w:rPr>
          <w:rFonts w:ascii="楷体" w:hAnsi="楷体" w:eastAsia="楷体" w:cs="仿宋_GB2312"/>
          <w:sz w:val="32"/>
          <w:szCs w:val="32"/>
        </w:rPr>
      </w:pPr>
      <w:r>
        <w:rPr>
          <w:rFonts w:hint="eastAsia" w:ascii="楷体" w:hAnsi="楷体" w:eastAsia="楷体" w:cs="仿宋_GB2312"/>
          <w:sz w:val="32"/>
          <w:szCs w:val="32"/>
        </w:rPr>
        <w:t>机构设置</w:t>
      </w:r>
    </w:p>
    <w:p>
      <w:pPr>
        <w:jc w:val="center"/>
        <w:outlineLvl w:val="0"/>
        <w:rPr>
          <w:rFonts w:ascii="仿宋" w:hAnsi="仿宋" w:eastAsia="仿宋" w:cs="仿宋"/>
          <w:b/>
          <w:bCs/>
          <w:sz w:val="32"/>
          <w:szCs w:val="32"/>
        </w:rPr>
      </w:pPr>
    </w:p>
    <w:p>
      <w:pPr>
        <w:jc w:val="center"/>
        <w:outlineLvl w:val="0"/>
        <w:rPr>
          <w:rFonts w:ascii="仿宋" w:hAnsi="仿宋" w:eastAsia="仿宋" w:cs="仿宋"/>
          <w:b/>
          <w:bCs/>
          <w:sz w:val="32"/>
          <w:szCs w:val="32"/>
        </w:rPr>
      </w:pPr>
    </w:p>
    <w:p>
      <w:pPr>
        <w:jc w:val="center"/>
        <w:outlineLvl w:val="0"/>
        <w:rPr>
          <w:rFonts w:ascii="仿宋" w:hAnsi="仿宋" w:eastAsia="仿宋" w:cs="仿宋"/>
          <w:b/>
          <w:bCs/>
          <w:sz w:val="32"/>
          <w:szCs w:val="32"/>
        </w:rPr>
      </w:pPr>
    </w:p>
    <w:p>
      <w:pPr>
        <w:jc w:val="center"/>
        <w:outlineLvl w:val="0"/>
        <w:rPr>
          <w:rFonts w:ascii="仿宋" w:hAnsi="仿宋" w:eastAsia="仿宋" w:cs="仿宋"/>
          <w:b/>
          <w:bCs/>
          <w:sz w:val="32"/>
          <w:szCs w:val="32"/>
        </w:rPr>
      </w:pPr>
      <w:r>
        <w:rPr>
          <w:rFonts w:hint="eastAsia" w:ascii="仿宋" w:hAnsi="仿宋" w:eastAsia="仿宋" w:cs="仿宋"/>
          <w:b/>
          <w:bCs/>
          <w:sz w:val="32"/>
          <w:szCs w:val="32"/>
        </w:rPr>
        <w:t>部门机构设置情况</w:t>
      </w:r>
    </w:p>
    <w:p>
      <w:pPr>
        <w:rPr>
          <w:rFonts w:ascii="楷体" w:hAnsi="楷体" w:eastAsia="楷体" w:cs="仿宋_GB2312"/>
          <w:sz w:val="32"/>
          <w:szCs w:val="32"/>
        </w:rPr>
      </w:pPr>
    </w:p>
    <w:tbl>
      <w:tblPr>
        <w:tblStyle w:val="4"/>
        <w:tblW w:w="113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827"/>
        <w:gridCol w:w="1832"/>
        <w:gridCol w:w="1875"/>
        <w:gridCol w:w="38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tblHeader/>
          <w:jc w:val="center"/>
        </w:trPr>
        <w:tc>
          <w:tcPr>
            <w:tcW w:w="3827" w:type="dxa"/>
            <w:vMerge w:val="restart"/>
            <w:vAlign w:val="center"/>
          </w:tcPr>
          <w:p>
            <w:pPr>
              <w:spacing w:line="300" w:lineRule="exact"/>
              <w:jc w:val="center"/>
              <w:rPr>
                <w:rFonts w:ascii="方正书宋_GBK" w:eastAsia="方正书宋_GBK"/>
                <w:b/>
                <w:sz w:val="28"/>
                <w:szCs w:val="28"/>
              </w:rPr>
            </w:pPr>
            <w:r>
              <w:rPr>
                <w:rFonts w:hint="eastAsia" w:ascii="方正书宋_GBK" w:eastAsia="方正书宋_GBK"/>
                <w:b/>
                <w:sz w:val="28"/>
                <w:szCs w:val="28"/>
              </w:rPr>
              <w:t>单位名称</w:t>
            </w:r>
          </w:p>
        </w:tc>
        <w:tc>
          <w:tcPr>
            <w:tcW w:w="1832" w:type="dxa"/>
            <w:vMerge w:val="restart"/>
            <w:vAlign w:val="center"/>
          </w:tcPr>
          <w:p>
            <w:pPr>
              <w:spacing w:line="300" w:lineRule="exact"/>
              <w:jc w:val="center"/>
              <w:rPr>
                <w:rFonts w:ascii="方正书宋_GBK" w:eastAsia="方正书宋_GBK"/>
                <w:b/>
                <w:sz w:val="28"/>
                <w:szCs w:val="28"/>
              </w:rPr>
            </w:pPr>
            <w:r>
              <w:rPr>
                <w:rFonts w:hint="eastAsia" w:ascii="方正书宋_GBK" w:eastAsia="方正书宋_GBK"/>
                <w:b/>
                <w:sz w:val="28"/>
                <w:szCs w:val="28"/>
              </w:rPr>
              <w:t>单位性质</w:t>
            </w:r>
          </w:p>
        </w:tc>
        <w:tc>
          <w:tcPr>
            <w:tcW w:w="1875" w:type="dxa"/>
            <w:vMerge w:val="restart"/>
            <w:vAlign w:val="center"/>
          </w:tcPr>
          <w:p>
            <w:pPr>
              <w:spacing w:line="300" w:lineRule="exact"/>
              <w:jc w:val="center"/>
              <w:rPr>
                <w:rFonts w:ascii="方正书宋_GBK" w:eastAsia="方正书宋_GBK"/>
                <w:b/>
                <w:sz w:val="28"/>
                <w:szCs w:val="28"/>
              </w:rPr>
            </w:pPr>
            <w:r>
              <w:rPr>
                <w:rFonts w:hint="eastAsia" w:ascii="方正书宋_GBK" w:eastAsia="方正书宋_GBK"/>
                <w:b/>
                <w:sz w:val="28"/>
                <w:szCs w:val="28"/>
              </w:rPr>
              <w:t>单位规格</w:t>
            </w:r>
          </w:p>
        </w:tc>
        <w:tc>
          <w:tcPr>
            <w:tcW w:w="3862" w:type="dxa"/>
            <w:vMerge w:val="restart"/>
            <w:vAlign w:val="center"/>
          </w:tcPr>
          <w:p>
            <w:pPr>
              <w:spacing w:line="300" w:lineRule="exact"/>
              <w:jc w:val="center"/>
              <w:rPr>
                <w:rFonts w:ascii="方正书宋_GBK" w:eastAsia="方正书宋_GBK"/>
                <w:b/>
                <w:sz w:val="28"/>
                <w:szCs w:val="28"/>
              </w:rPr>
            </w:pPr>
            <w:r>
              <w:rPr>
                <w:rFonts w:hint="eastAsia" w:ascii="方正书宋_GBK" w:eastAsia="方正书宋_GBK"/>
                <w:b/>
                <w:sz w:val="28"/>
                <w:szCs w:val="28"/>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tblHeader/>
          <w:jc w:val="center"/>
        </w:trPr>
        <w:tc>
          <w:tcPr>
            <w:tcW w:w="3827" w:type="dxa"/>
            <w:vMerge w:val="continue"/>
            <w:vAlign w:val="center"/>
          </w:tcPr>
          <w:p>
            <w:pPr>
              <w:spacing w:line="300" w:lineRule="exact"/>
              <w:jc w:val="left"/>
              <w:outlineLvl w:val="0"/>
              <w:rPr>
                <w:sz w:val="28"/>
                <w:szCs w:val="28"/>
              </w:rPr>
            </w:pPr>
          </w:p>
        </w:tc>
        <w:tc>
          <w:tcPr>
            <w:tcW w:w="1832" w:type="dxa"/>
            <w:vMerge w:val="continue"/>
            <w:vAlign w:val="center"/>
          </w:tcPr>
          <w:p>
            <w:pPr>
              <w:spacing w:line="300" w:lineRule="exact"/>
              <w:jc w:val="left"/>
              <w:outlineLvl w:val="0"/>
              <w:rPr>
                <w:sz w:val="28"/>
                <w:szCs w:val="28"/>
              </w:rPr>
            </w:pPr>
          </w:p>
        </w:tc>
        <w:tc>
          <w:tcPr>
            <w:tcW w:w="1875" w:type="dxa"/>
            <w:vMerge w:val="continue"/>
            <w:vAlign w:val="center"/>
          </w:tcPr>
          <w:p>
            <w:pPr>
              <w:spacing w:line="300" w:lineRule="exact"/>
              <w:jc w:val="left"/>
              <w:outlineLvl w:val="0"/>
              <w:rPr>
                <w:sz w:val="28"/>
                <w:szCs w:val="28"/>
              </w:rPr>
            </w:pPr>
          </w:p>
        </w:tc>
        <w:tc>
          <w:tcPr>
            <w:tcW w:w="3862" w:type="dxa"/>
            <w:vMerge w:val="continue"/>
            <w:vAlign w:val="center"/>
          </w:tcPr>
          <w:p>
            <w:pPr>
              <w:spacing w:line="300" w:lineRule="exact"/>
              <w:jc w:val="left"/>
              <w:outlineLvl w:val="0"/>
              <w:rPr>
                <w:sz w:val="28"/>
                <w:szCs w:val="2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0" w:hRule="atLeast"/>
          <w:jc w:val="center"/>
        </w:trPr>
        <w:tc>
          <w:tcPr>
            <w:tcW w:w="3827" w:type="dxa"/>
            <w:vAlign w:val="center"/>
          </w:tcPr>
          <w:p>
            <w:pPr>
              <w:spacing w:line="300" w:lineRule="exact"/>
              <w:jc w:val="left"/>
              <w:rPr>
                <w:rFonts w:ascii="方正书宋_GBK" w:eastAsia="方正书宋_GBK"/>
                <w:sz w:val="28"/>
                <w:szCs w:val="28"/>
              </w:rPr>
            </w:pPr>
            <w:r>
              <w:rPr>
                <w:rFonts w:hint="eastAsia" w:ascii="方正书宋_GBK" w:eastAsia="方正书宋_GBK"/>
                <w:sz w:val="28"/>
                <w:szCs w:val="28"/>
              </w:rPr>
              <w:t>无极县公安交通警察大队</w:t>
            </w:r>
          </w:p>
        </w:tc>
        <w:tc>
          <w:tcPr>
            <w:tcW w:w="1832" w:type="dxa"/>
            <w:vAlign w:val="center"/>
          </w:tcPr>
          <w:p>
            <w:pPr>
              <w:spacing w:line="300" w:lineRule="exact"/>
              <w:jc w:val="center"/>
              <w:rPr>
                <w:rFonts w:ascii="方正书宋_GBK" w:eastAsia="方正书宋_GBK"/>
                <w:sz w:val="28"/>
                <w:szCs w:val="28"/>
              </w:rPr>
            </w:pPr>
            <w:r>
              <w:rPr>
                <w:rFonts w:hint="eastAsia" w:ascii="方正书宋_GBK" w:eastAsia="方正书宋_GBK"/>
                <w:sz w:val="28"/>
                <w:szCs w:val="28"/>
              </w:rPr>
              <w:t>行政</w:t>
            </w:r>
          </w:p>
        </w:tc>
        <w:tc>
          <w:tcPr>
            <w:tcW w:w="1875" w:type="dxa"/>
            <w:vAlign w:val="center"/>
          </w:tcPr>
          <w:p>
            <w:pPr>
              <w:spacing w:line="300" w:lineRule="exact"/>
              <w:jc w:val="center"/>
              <w:rPr>
                <w:rFonts w:ascii="方正书宋_GBK" w:eastAsia="方正书宋_GBK"/>
                <w:sz w:val="28"/>
                <w:szCs w:val="28"/>
              </w:rPr>
            </w:pPr>
            <w:r>
              <w:rPr>
                <w:rFonts w:hint="eastAsia" w:ascii="方正书宋_GBK" w:eastAsia="方正书宋_GBK"/>
                <w:sz w:val="28"/>
                <w:szCs w:val="28"/>
              </w:rPr>
              <w:t>正科级</w:t>
            </w:r>
          </w:p>
        </w:tc>
        <w:tc>
          <w:tcPr>
            <w:tcW w:w="3862" w:type="dxa"/>
            <w:vAlign w:val="center"/>
          </w:tcPr>
          <w:p>
            <w:pPr>
              <w:spacing w:line="300" w:lineRule="exact"/>
              <w:jc w:val="center"/>
              <w:rPr>
                <w:rFonts w:ascii="方正书宋_GBK" w:eastAsia="方正书宋_GBK"/>
                <w:sz w:val="28"/>
                <w:szCs w:val="28"/>
              </w:rPr>
            </w:pPr>
            <w:r>
              <w:rPr>
                <w:rFonts w:hint="eastAsia" w:ascii="方正书宋_GBK" w:eastAsia="方正书宋_GBK"/>
                <w:sz w:val="28"/>
                <w:szCs w:val="28"/>
              </w:rPr>
              <w:t>财政拨款</w:t>
            </w:r>
          </w:p>
        </w:tc>
      </w:tr>
    </w:tbl>
    <w:p>
      <w:pPr>
        <w:ind w:firstLine="640" w:firstLineChars="200"/>
        <w:rPr>
          <w:rFonts w:ascii="黑体" w:hAnsi="黑体" w:eastAsia="黑体" w:cs="仿宋_GB2312"/>
          <w:sz w:val="32"/>
          <w:szCs w:val="32"/>
        </w:rPr>
      </w:pPr>
      <w:r>
        <w:rPr>
          <w:rFonts w:hint="eastAsia" w:ascii="黑体" w:hAnsi="黑体" w:eastAsia="黑体" w:cs="仿宋_GB2312"/>
          <w:sz w:val="32"/>
          <w:szCs w:val="32"/>
        </w:rPr>
        <w:t>二、部门预算安排的总体情况</w:t>
      </w:r>
    </w:p>
    <w:p>
      <w:pPr>
        <w:ind w:firstLine="640" w:firstLineChars="200"/>
        <w:rPr>
          <w:rFonts w:ascii="黑体" w:hAnsi="仿宋_GB2312" w:eastAsia="黑体" w:cs="仿宋_GB2312"/>
          <w:sz w:val="30"/>
          <w:szCs w:val="30"/>
        </w:rPr>
      </w:pPr>
      <w:r>
        <w:rPr>
          <w:rFonts w:hint="eastAsia" w:ascii="仿宋" w:hAnsi="仿宋" w:eastAsia="仿宋" w:cs="仿宋_GB2312"/>
          <w:sz w:val="32"/>
          <w:szCs w:val="32"/>
        </w:rPr>
        <w:t>按照预算管理有关规定，目前我县部门预算的编制实行综合预算制度，即全部收入和支出都反映在预算里，我部门及所属单位所有收支都包含在部门预算中</w:t>
      </w:r>
      <w:r>
        <w:rPr>
          <w:rFonts w:hint="eastAsia" w:ascii="黑体" w:hAnsi="仿宋_GB2312" w:eastAsia="黑体" w:cs="仿宋_GB2312"/>
          <w:sz w:val="30"/>
          <w:szCs w:val="30"/>
        </w:rPr>
        <w:t>。</w:t>
      </w:r>
    </w:p>
    <w:p>
      <w:pPr>
        <w:numPr>
          <w:ilvl w:val="0"/>
          <w:numId w:val="2"/>
        </w:numPr>
        <w:ind w:firstLine="600" w:firstLineChars="200"/>
        <w:rPr>
          <w:rFonts w:ascii="楷体" w:hAnsi="楷体" w:eastAsia="楷体" w:cs="仿宋_GB2312"/>
          <w:sz w:val="30"/>
          <w:szCs w:val="30"/>
        </w:rPr>
      </w:pPr>
      <w:r>
        <w:rPr>
          <w:rFonts w:hint="eastAsia" w:ascii="楷体" w:hAnsi="楷体" w:eastAsia="楷体" w:cs="仿宋_GB2312"/>
          <w:sz w:val="30"/>
          <w:szCs w:val="30"/>
        </w:rPr>
        <w:t>收入说明</w:t>
      </w:r>
    </w:p>
    <w:p>
      <w:pPr>
        <w:adjustRightInd w:val="0"/>
        <w:snapToGrid w:val="0"/>
        <w:spacing w:line="600" w:lineRule="exact"/>
        <w:ind w:firstLine="640" w:firstLineChars="200"/>
        <w:jc w:val="left"/>
        <w:rPr>
          <w:rFonts w:ascii="仿宋_GB2312" w:eastAsia="仿宋_GB2312" w:cs="仿宋_GB2312"/>
          <w:bCs/>
          <w:sz w:val="32"/>
          <w:szCs w:val="32"/>
        </w:rPr>
      </w:pPr>
      <w:r>
        <w:rPr>
          <w:rFonts w:hint="eastAsia" w:ascii="仿宋_GB2312" w:eastAsia="仿宋_GB2312" w:cs="仿宋_GB2312"/>
          <w:bCs/>
          <w:sz w:val="32"/>
          <w:szCs w:val="32"/>
        </w:rPr>
        <w:t>无极县交警大队2017年预算收入总计1112.84万元，其中，一般公共预算收入1112.84万元、政府性基金收入0万元、财政专户核拨收入0万元，其他来源收入0万元。</w:t>
      </w:r>
    </w:p>
    <w:p>
      <w:pPr>
        <w:numPr>
          <w:ilvl w:val="0"/>
          <w:numId w:val="3"/>
        </w:numPr>
        <w:ind w:firstLine="645"/>
        <w:rPr>
          <w:rFonts w:ascii="楷体" w:hAnsi="楷体" w:eastAsia="楷体"/>
          <w:sz w:val="32"/>
          <w:szCs w:val="32"/>
        </w:rPr>
      </w:pPr>
      <w:r>
        <w:rPr>
          <w:rFonts w:hint="eastAsia" w:ascii="楷体" w:hAnsi="楷体" w:eastAsia="楷体"/>
          <w:sz w:val="32"/>
          <w:szCs w:val="32"/>
        </w:rPr>
        <w:t>支出说明</w:t>
      </w:r>
    </w:p>
    <w:p>
      <w:pPr>
        <w:adjustRightInd w:val="0"/>
        <w:snapToGrid w:val="0"/>
        <w:spacing w:line="600" w:lineRule="exact"/>
        <w:ind w:firstLine="640" w:firstLineChars="200"/>
        <w:jc w:val="left"/>
        <w:rPr>
          <w:rFonts w:ascii="仿宋_GB2312" w:eastAsia="仿宋_GB2312" w:cs="仿宋_GB2312"/>
          <w:bCs/>
          <w:sz w:val="32"/>
          <w:szCs w:val="32"/>
        </w:rPr>
      </w:pPr>
      <w:r>
        <w:rPr>
          <w:rFonts w:hint="eastAsia" w:ascii="仿宋_GB2312" w:eastAsia="仿宋_GB2312" w:cs="仿宋_GB2312"/>
          <w:bCs/>
          <w:sz w:val="32"/>
          <w:szCs w:val="32"/>
        </w:rPr>
        <w:t>2017年预算支出1112.84万元。其中，人员经费支出244.84万元，正常公用经费840万元，项目支出28万元。</w:t>
      </w:r>
    </w:p>
    <w:p>
      <w:pPr>
        <w:numPr>
          <w:ilvl w:val="0"/>
          <w:numId w:val="4"/>
        </w:numPr>
        <w:ind w:firstLine="645"/>
        <w:rPr>
          <w:rFonts w:ascii="楷体" w:hAnsi="楷体" w:eastAsia="楷体"/>
          <w:sz w:val="32"/>
          <w:szCs w:val="32"/>
        </w:rPr>
      </w:pPr>
      <w:r>
        <w:rPr>
          <w:rFonts w:hint="eastAsia" w:ascii="楷体" w:hAnsi="楷体" w:eastAsia="楷体"/>
          <w:sz w:val="32"/>
          <w:szCs w:val="32"/>
        </w:rPr>
        <w:t>比上年增减情况</w:t>
      </w:r>
    </w:p>
    <w:p>
      <w:pPr>
        <w:rPr>
          <w:rFonts w:ascii="楷体" w:hAnsi="楷体" w:eastAsia="楷体"/>
          <w:sz w:val="32"/>
          <w:szCs w:val="32"/>
        </w:rPr>
      </w:pPr>
      <w:r>
        <w:rPr>
          <w:rFonts w:hint="eastAsia" w:ascii="仿宋_GB2312" w:eastAsia="仿宋_GB2312" w:cs="仿宋_GB2312"/>
          <w:bCs/>
          <w:sz w:val="32"/>
          <w:szCs w:val="32"/>
        </w:rPr>
        <w:t xml:space="preserve">    无极县交警大队2017年预算收入总计1112.84万元，与2016年相比增加187.38万元，增加原因为正常公用经费增加。</w:t>
      </w:r>
    </w:p>
    <w:p>
      <w:pPr>
        <w:ind w:firstLine="640" w:firstLineChars="200"/>
        <w:rPr>
          <w:rFonts w:ascii="黑体" w:hAnsi="黑体" w:eastAsia="黑体" w:cs="仿宋_GB2312"/>
          <w:sz w:val="32"/>
          <w:szCs w:val="32"/>
        </w:rPr>
      </w:pPr>
      <w:r>
        <w:rPr>
          <w:rFonts w:hint="eastAsia" w:ascii="黑体" w:hAnsi="黑体" w:eastAsia="黑体" w:cs="仿宋_GB2312"/>
          <w:sz w:val="32"/>
          <w:szCs w:val="32"/>
        </w:rPr>
        <w:t>三、机关运行经费安排情况</w:t>
      </w:r>
    </w:p>
    <w:p>
      <w:pPr>
        <w:ind w:firstLine="640" w:firstLineChars="200"/>
        <w:rPr>
          <w:rFonts w:ascii="仿宋" w:hAnsi="仿宋" w:eastAsia="仿宋" w:cs="仿宋"/>
          <w:color w:val="FF0000"/>
          <w:sz w:val="32"/>
          <w:szCs w:val="32"/>
        </w:rPr>
      </w:pPr>
      <w:r>
        <w:rPr>
          <w:rFonts w:ascii="仿宋_GB2312" w:hAnsi="仿宋_GB2312" w:eastAsia="仿宋_GB2312" w:cs="仿宋_GB2312"/>
          <w:sz w:val="32"/>
          <w:szCs w:val="32"/>
        </w:rPr>
        <w:t>2017</w:t>
      </w:r>
      <w:r>
        <w:rPr>
          <w:rFonts w:hint="eastAsia" w:ascii="仿宋_GB2312" w:hAnsi="仿宋_GB2312" w:eastAsia="仿宋_GB2312" w:cs="仿宋_GB2312"/>
          <w:sz w:val="32"/>
          <w:szCs w:val="32"/>
        </w:rPr>
        <w:t>年机关运行经费共计安排594</w:t>
      </w:r>
      <w:r>
        <w:rPr>
          <w:rFonts w:ascii="仿宋_GB2312" w:hAnsi="仿宋_GB2312" w:eastAsia="仿宋_GB2312" w:cs="仿宋_GB2312"/>
          <w:sz w:val="32"/>
          <w:szCs w:val="32"/>
        </w:rPr>
        <w:t xml:space="preserve"> </w:t>
      </w:r>
      <w:r>
        <w:rPr>
          <w:rFonts w:hint="eastAsia" w:ascii="仿宋_GB2312" w:hAnsi="仿宋_GB2312" w:eastAsia="仿宋_GB2312" w:cs="仿宋_GB2312"/>
          <w:sz w:val="32"/>
          <w:szCs w:val="32"/>
        </w:rPr>
        <w:t>万元，主要用于我部门日常办公，办公区水电费、日常维修，办公用房取暖费，办公用房物业管理费等日常运行支出。</w:t>
      </w:r>
    </w:p>
    <w:p>
      <w:pPr>
        <w:numPr>
          <w:ilvl w:val="0"/>
          <w:numId w:val="5"/>
        </w:num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财政拨款“三公”经费预算情况及增减变化原因</w:t>
      </w:r>
    </w:p>
    <w:p>
      <w:pPr>
        <w:ind w:firstLine="640" w:firstLineChars="200"/>
        <w:outlineLvl w:val="0"/>
        <w:rPr>
          <w:rFonts w:ascii="仿宋_GB2312" w:hAnsi="仿宋_GB2312" w:eastAsia="仿宋_GB2312" w:cs="仿宋_GB2312"/>
          <w:sz w:val="32"/>
          <w:szCs w:val="32"/>
        </w:rPr>
      </w:pPr>
      <w:r>
        <w:rPr>
          <w:rFonts w:hint="eastAsia" w:ascii="仿宋_GB2312" w:hAnsi="仿宋_GB2312" w:eastAsia="仿宋_GB2312" w:cs="仿宋_GB2312"/>
          <w:sz w:val="32"/>
          <w:szCs w:val="32"/>
        </w:rPr>
        <w:t>2017年本部门安排“三公”经费50万元，与上年持平，无增减变化。其中：</w:t>
      </w:r>
    </w:p>
    <w:p>
      <w:pPr>
        <w:ind w:firstLine="640" w:firstLineChars="200"/>
        <w:outlineLvl w:val="0"/>
        <w:rPr>
          <w:rFonts w:ascii="仿宋_GB2312" w:hAnsi="仿宋_GB2312" w:eastAsia="仿宋_GB2312" w:cs="仿宋_GB2312"/>
          <w:sz w:val="32"/>
          <w:szCs w:val="32"/>
        </w:rPr>
      </w:pPr>
      <w:r>
        <w:rPr>
          <w:rFonts w:hint="eastAsia" w:ascii="仿宋_GB2312" w:hAnsi="仿宋_GB2312" w:eastAsia="仿宋_GB2312" w:cs="仿宋_GB2312"/>
          <w:sz w:val="32"/>
          <w:szCs w:val="32"/>
        </w:rPr>
        <w:t>1、因公出国（境）费0万元，与上年持平，无增减变化。</w:t>
      </w:r>
    </w:p>
    <w:p>
      <w:pPr>
        <w:ind w:firstLine="640" w:firstLineChars="200"/>
        <w:outlineLvl w:val="0"/>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2、公务用车购置0万元，与上年持平,无增减变化；运行维护费 50万元，与上年持平,无增减变化。 </w:t>
      </w:r>
    </w:p>
    <w:p>
      <w:pPr>
        <w:ind w:firstLine="640" w:firstLineChars="200"/>
        <w:outlineLvl w:val="0"/>
        <w:rPr>
          <w:rFonts w:ascii="仿宋_GB2312" w:hAnsi="仿宋_GB2312" w:eastAsia="仿宋_GB2312" w:cs="仿宋_GB2312"/>
          <w:sz w:val="32"/>
          <w:szCs w:val="32"/>
        </w:rPr>
      </w:pPr>
      <w:r>
        <w:rPr>
          <w:rFonts w:hint="eastAsia" w:ascii="仿宋_GB2312" w:hAnsi="仿宋_GB2312" w:eastAsia="仿宋_GB2312" w:cs="仿宋_GB2312"/>
          <w:sz w:val="32"/>
          <w:szCs w:val="32"/>
        </w:rPr>
        <w:t>3、公务接待费0万元，与上年持平，无增减变化。</w:t>
      </w: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五、绩效预算信息</w:t>
      </w:r>
    </w:p>
    <w:p>
      <w:pPr>
        <w:ind w:firstLine="645"/>
        <w:rPr>
          <w:rFonts w:ascii="楷体" w:hAnsi="楷体" w:eastAsia="楷体"/>
          <w:sz w:val="32"/>
          <w:szCs w:val="32"/>
        </w:rPr>
      </w:pPr>
      <w:r>
        <w:rPr>
          <w:rFonts w:hint="eastAsia" w:ascii="楷体" w:hAnsi="楷体" w:eastAsia="楷体"/>
          <w:sz w:val="32"/>
          <w:szCs w:val="32"/>
        </w:rPr>
        <w:t>（一）总体绩效目标</w:t>
      </w:r>
    </w:p>
    <w:p>
      <w:pPr>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对交通参与者（机动车及其驾驶员、行人）实行管理，并努力创造良好的道路交通环境。保障国家和人民生命财产在参与交通活动中的安全，维护政治稳定和社会安定，更好地为经济建设服务。</w:t>
      </w:r>
    </w:p>
    <w:p>
      <w:pPr>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维护交通秩序，确保道路交通安全畅通</w:t>
      </w:r>
    </w:p>
    <w:p>
      <w:pPr>
        <w:ind w:firstLine="645"/>
        <w:rPr>
          <w:rFonts w:ascii="楷体" w:hAnsi="楷体" w:eastAsia="楷体"/>
          <w:sz w:val="32"/>
          <w:szCs w:val="32"/>
        </w:rPr>
      </w:pPr>
      <w:r>
        <w:rPr>
          <w:rFonts w:hint="eastAsia" w:ascii="楷体" w:hAnsi="楷体" w:eastAsia="楷体"/>
          <w:sz w:val="32"/>
          <w:szCs w:val="32"/>
        </w:rPr>
        <w:t>（二）职责分类绩效目标</w:t>
      </w:r>
    </w:p>
    <w:p>
      <w:pPr>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2017年，交警大队制定了各项交通管理职能绩效目标，在推动科学发展、维护社会稳定中发挥重要作用。县交警大队对照下达了：</w:t>
      </w:r>
    </w:p>
    <w:p>
      <w:pPr>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1、维护全县良好的道路交通秩序，缓解城市交通拥堵，提高道路通行能力；加强公路巡警建设，提升道路交通秩序管理水平。</w:t>
      </w:r>
    </w:p>
    <w:p>
      <w:pPr>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2、提高全县交通事故处理工作规范化、科学化水平，让群众在每起案件中都感受到公平正义，努力实现“事故少、秩序好、道路畅通、群众满意”的总体工作目标。</w:t>
      </w:r>
    </w:p>
    <w:p>
      <w:pPr>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3、通过对客货运输企业和职业驾驶人的源头监管，有效预防和杜绝重特大交通事故的发生。</w:t>
      </w:r>
    </w:p>
    <w:p>
      <w:pPr>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4、完善地方与高速联动机制，缓解城市拥堵，县镇交通混乱，减少主要路段交通事故。</w:t>
      </w:r>
    </w:p>
    <w:p>
      <w:pPr>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5、掌握全县各类机动车辆的保有量及车辆技术参数和机动车安全技术检验，加大对二手车和报废车的管控力度，确保无故障车上路行驶。</w:t>
      </w:r>
    </w:p>
    <w:p>
      <w:pPr>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6、规范驾驶人考试工作，加大资金投入建设交警自有的考试场；规范考官监考工作，预防驾驶考试中各类违法违纪的现象发生。</w:t>
      </w:r>
    </w:p>
    <w:p>
      <w:pPr>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7、掌握全县各类机动车驾驶人底数，杜绝无证驾驶或不按准驾车型驾驶机动车上路等违规现象的发生。</w:t>
      </w:r>
    </w:p>
    <w:p>
      <w:pPr>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等目标任务，逐项跟踪督促落实，采取年终考评与平时督查相结合、现场考评与考评组测评相结合方式，对各项绩效目标任务完成情况进行了全面考评。考评中更加注重过程控制和整体效果体现。进行等级设置，按照目标制定的评价体系，在各项事务管理达标中设置出“优、良、中、差”四个档次，力争达优。</w:t>
      </w:r>
    </w:p>
    <w:p>
      <w:pPr>
        <w:ind w:firstLine="645"/>
        <w:rPr>
          <w:rFonts w:ascii="楷体" w:hAnsi="楷体" w:eastAsia="楷体"/>
          <w:sz w:val="32"/>
          <w:szCs w:val="32"/>
        </w:rPr>
      </w:pPr>
      <w:r>
        <w:rPr>
          <w:rFonts w:hint="eastAsia" w:ascii="楷体" w:hAnsi="楷体" w:eastAsia="楷体"/>
          <w:sz w:val="32"/>
          <w:szCs w:val="32"/>
        </w:rPr>
        <w:t>（三）部门职责</w:t>
      </w:r>
      <w:r>
        <w:rPr>
          <w:rFonts w:ascii="楷体" w:hAnsi="楷体" w:eastAsia="楷体"/>
          <w:sz w:val="32"/>
          <w:szCs w:val="32"/>
        </w:rPr>
        <w:t>-</w:t>
      </w:r>
      <w:r>
        <w:rPr>
          <w:rFonts w:hint="eastAsia" w:ascii="楷体" w:hAnsi="楷体" w:eastAsia="楷体"/>
          <w:sz w:val="32"/>
          <w:szCs w:val="32"/>
        </w:rPr>
        <w:t>工作活动绩效目标</w:t>
      </w:r>
    </w:p>
    <w:p>
      <w:pPr>
        <w:ind w:firstLine="645"/>
        <w:jc w:val="center"/>
        <w:rPr>
          <w:rFonts w:ascii="仿宋" w:hAnsi="仿宋" w:eastAsia="仿宋"/>
          <w:sz w:val="32"/>
          <w:szCs w:val="32"/>
        </w:rPr>
      </w:pPr>
      <w:r>
        <w:rPr>
          <w:rFonts w:hint="eastAsia" w:ascii="仿宋" w:hAnsi="仿宋" w:eastAsia="仿宋"/>
          <w:sz w:val="32"/>
          <w:szCs w:val="32"/>
        </w:rPr>
        <w:t>部门职责</w:t>
      </w:r>
      <w:r>
        <w:rPr>
          <w:rFonts w:ascii="仿宋" w:hAnsi="仿宋" w:eastAsia="仿宋"/>
          <w:sz w:val="32"/>
          <w:szCs w:val="32"/>
        </w:rPr>
        <w:t>-</w:t>
      </w:r>
      <w:r>
        <w:rPr>
          <w:rFonts w:hint="eastAsia" w:ascii="仿宋" w:hAnsi="仿宋" w:eastAsia="仿宋"/>
          <w:sz w:val="32"/>
          <w:szCs w:val="32"/>
        </w:rPr>
        <w:t>工作活动绩效目标</w:t>
      </w:r>
    </w:p>
    <w:tbl>
      <w:tblPr>
        <w:tblStyle w:val="4"/>
        <w:tblW w:w="139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1"/>
        <w:gridCol w:w="1276"/>
        <w:gridCol w:w="2976"/>
        <w:gridCol w:w="2976"/>
        <w:gridCol w:w="1417"/>
        <w:gridCol w:w="737"/>
        <w:gridCol w:w="737"/>
        <w:gridCol w:w="737"/>
        <w:gridCol w:w="7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0986" w:type="dxa"/>
            <w:gridSpan w:val="5"/>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451</w:t>
            </w:r>
            <w:r>
              <w:rPr>
                <w:rFonts w:hint="eastAsia" w:ascii="方正小标宋_GBK" w:eastAsia="方正小标宋_GBK"/>
                <w:sz w:val="24"/>
              </w:rPr>
              <w:t>交警大队</w:t>
            </w:r>
          </w:p>
        </w:tc>
        <w:tc>
          <w:tcPr>
            <w:tcW w:w="2948" w:type="dxa"/>
            <w:gridSpan w:val="4"/>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restart"/>
            <w:vAlign w:val="center"/>
          </w:tcPr>
          <w:p>
            <w:pPr>
              <w:spacing w:line="300" w:lineRule="exact"/>
              <w:jc w:val="center"/>
              <w:rPr>
                <w:rFonts w:ascii="方正书宋_GBK" w:eastAsia="方正书宋_GBK"/>
                <w:b/>
              </w:rPr>
            </w:pPr>
            <w:r>
              <w:rPr>
                <w:rFonts w:hint="eastAsia" w:ascii="方正书宋_GBK" w:eastAsia="方正书宋_GBK"/>
                <w:b/>
              </w:rPr>
              <w:t>职责活动</w:t>
            </w:r>
          </w:p>
        </w:tc>
        <w:tc>
          <w:tcPr>
            <w:tcW w:w="1276" w:type="dxa"/>
            <w:vMerge w:val="restart"/>
            <w:vAlign w:val="center"/>
          </w:tcPr>
          <w:p>
            <w:pPr>
              <w:spacing w:line="300" w:lineRule="exact"/>
              <w:jc w:val="center"/>
              <w:rPr>
                <w:rFonts w:ascii="方正书宋_GBK" w:eastAsia="方正书宋_GBK"/>
                <w:b/>
              </w:rPr>
            </w:pPr>
            <w:r>
              <w:rPr>
                <w:rFonts w:hint="eastAsia" w:ascii="方正书宋_GBK" w:eastAsia="方正书宋_GBK"/>
                <w:b/>
              </w:rPr>
              <w:t>年度预算数</w:t>
            </w:r>
          </w:p>
        </w:tc>
        <w:tc>
          <w:tcPr>
            <w:tcW w:w="2976" w:type="dxa"/>
            <w:vMerge w:val="restart"/>
            <w:vAlign w:val="center"/>
          </w:tcPr>
          <w:p>
            <w:pPr>
              <w:spacing w:line="300" w:lineRule="exact"/>
              <w:jc w:val="center"/>
              <w:rPr>
                <w:rFonts w:ascii="方正书宋_GBK" w:eastAsia="方正书宋_GBK"/>
                <w:b/>
              </w:rPr>
            </w:pPr>
            <w:r>
              <w:rPr>
                <w:rFonts w:hint="eastAsia" w:ascii="方正书宋_GBK" w:eastAsia="方正书宋_GBK"/>
                <w:b/>
              </w:rPr>
              <w:t>内容描述</w:t>
            </w:r>
          </w:p>
        </w:tc>
        <w:tc>
          <w:tcPr>
            <w:tcW w:w="2976" w:type="dxa"/>
            <w:vMerge w:val="restart"/>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417" w:type="dxa"/>
            <w:vMerge w:val="restart"/>
            <w:vAlign w:val="center"/>
          </w:tcPr>
          <w:p>
            <w:pPr>
              <w:spacing w:line="300" w:lineRule="exact"/>
              <w:jc w:val="center"/>
              <w:rPr>
                <w:rFonts w:ascii="方正书宋_GBK" w:eastAsia="方正书宋_GBK"/>
                <w:b/>
              </w:rPr>
            </w:pPr>
            <w:r>
              <w:rPr>
                <w:rFonts w:hint="eastAsia" w:ascii="方正书宋_GBK" w:eastAsia="方正书宋_GBK"/>
                <w:b/>
              </w:rPr>
              <w:t>绩效指标</w:t>
            </w:r>
          </w:p>
        </w:tc>
        <w:tc>
          <w:tcPr>
            <w:tcW w:w="2948" w:type="dxa"/>
            <w:gridSpan w:val="4"/>
            <w:vAlign w:val="center"/>
          </w:tcPr>
          <w:p>
            <w:pPr>
              <w:spacing w:line="300" w:lineRule="exact"/>
              <w:jc w:val="center"/>
              <w:rPr>
                <w:rFonts w:ascii="方正书宋_GBK" w:eastAsia="方正书宋_GBK"/>
                <w:b/>
              </w:rPr>
            </w:pPr>
            <w:r>
              <w:rPr>
                <w:rFonts w:hint="eastAsia" w:ascii="方正书宋_GBK" w:eastAsia="方正书宋_GBK"/>
                <w:b/>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continue"/>
            <w:vAlign w:val="center"/>
          </w:tcPr>
          <w:p>
            <w:pPr>
              <w:spacing w:line="300" w:lineRule="exact"/>
              <w:jc w:val="left"/>
              <w:outlineLvl w:val="0"/>
            </w:pPr>
          </w:p>
        </w:tc>
        <w:tc>
          <w:tcPr>
            <w:tcW w:w="1276" w:type="dxa"/>
            <w:vMerge w:val="continue"/>
            <w:vAlign w:val="center"/>
          </w:tcPr>
          <w:p>
            <w:pPr>
              <w:spacing w:line="300" w:lineRule="exact"/>
              <w:jc w:val="left"/>
              <w:outlineLvl w:val="0"/>
            </w:pPr>
          </w:p>
        </w:tc>
        <w:tc>
          <w:tcPr>
            <w:tcW w:w="2976" w:type="dxa"/>
            <w:vMerge w:val="continue"/>
            <w:vAlign w:val="center"/>
          </w:tcPr>
          <w:p>
            <w:pPr>
              <w:spacing w:line="300" w:lineRule="exact"/>
              <w:jc w:val="left"/>
              <w:outlineLvl w:val="0"/>
            </w:pPr>
          </w:p>
        </w:tc>
        <w:tc>
          <w:tcPr>
            <w:tcW w:w="2976" w:type="dxa"/>
            <w:vMerge w:val="continue"/>
            <w:vAlign w:val="center"/>
          </w:tcPr>
          <w:p>
            <w:pPr>
              <w:spacing w:line="300" w:lineRule="exact"/>
              <w:jc w:val="left"/>
              <w:outlineLvl w:val="0"/>
            </w:pPr>
          </w:p>
        </w:tc>
        <w:tc>
          <w:tcPr>
            <w:tcW w:w="1417" w:type="dxa"/>
            <w:vMerge w:val="continue"/>
            <w:vAlign w:val="center"/>
          </w:tcPr>
          <w:p>
            <w:pPr>
              <w:spacing w:line="300" w:lineRule="exact"/>
              <w:jc w:val="left"/>
              <w:outlineLvl w:val="0"/>
            </w:pP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优</w:t>
            </w: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良</w:t>
            </w: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中</w:t>
            </w: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道路交通管理</w:t>
            </w:r>
          </w:p>
        </w:tc>
        <w:tc>
          <w:tcPr>
            <w:tcW w:w="1276" w:type="dxa"/>
            <w:vAlign w:val="center"/>
          </w:tcPr>
          <w:p>
            <w:pPr>
              <w:spacing w:line="300" w:lineRule="exact"/>
              <w:jc w:val="left"/>
              <w:rPr>
                <w:rFonts w:ascii="方正书宋_GBK" w:eastAsia="方正书宋_GBK"/>
              </w:rPr>
            </w:pPr>
            <w:r>
              <w:rPr>
                <w:rFonts w:ascii="方正书宋_GBK" w:eastAsia="方正书宋_GBK"/>
              </w:rPr>
              <w:t>28.00</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对国县道、县乡道路实行统一科学管理，确保道路交通安全畅通、高效便捷。</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保障道路交通安全、畅通、有序，为全县经济社会发展提供良好的道路交通环境。</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道路交通秩序管理</w:t>
            </w:r>
          </w:p>
        </w:tc>
        <w:tc>
          <w:tcPr>
            <w:tcW w:w="1276" w:type="dxa"/>
            <w:vMerge w:val="restart"/>
            <w:vAlign w:val="center"/>
          </w:tcPr>
          <w:p>
            <w:pPr>
              <w:spacing w:line="300" w:lineRule="exact"/>
              <w:jc w:val="left"/>
              <w:rPr>
                <w:rFonts w:ascii="方正书宋_GBK" w:eastAsia="方正书宋_GBK"/>
              </w:rPr>
            </w:pPr>
            <w:r>
              <w:rPr>
                <w:rFonts w:ascii="方正书宋_GBK" w:eastAsia="方正书宋_GBK"/>
              </w:rPr>
              <w:t>28.00</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实施新型城镇化建设畅通工程，制定城市道路中长期发展规划，加大城市道路监控系统和道路安全</w:t>
            </w:r>
            <w:bookmarkStart w:id="0" w:name="_GoBack"/>
            <w:bookmarkEnd w:id="0"/>
            <w:r>
              <w:rPr>
                <w:rFonts w:hint="eastAsia" w:ascii="方正书宋_GBK" w:eastAsia="方正书宋_GBK"/>
              </w:rPr>
              <w:t>设施建设，推进公路巡警中队建设，执行暑期及两会安保任务。</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维护全省良好的道路交通秩序，缓解城市交通拥堵，提高道路通行能力；加强公路巡警中队建设，提升道路交通秩序管理水平。</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常发拥堵路段数降低率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交通拥堵路段里程缓解率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98%</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巡警警力覆盖率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交通拥堵持续时间减低率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道路交通事故处理与预防</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组织处理道路交通事故和重大交通事故肇事逃逸案件的查缉侦破；对疑难交通事故责任认定进行审核；组织开展事故分析研判和预防对策的研究及隐患排查等预防工作；妥善处理由交通事故引发的信访工作。</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提高全省交通事故处理工作规范化、科学化水平，让群众在每起案件中都感受到公平正义，努力实现</w:t>
            </w:r>
            <w:r>
              <w:rPr>
                <w:rFonts w:hint="cs" w:ascii="方正书宋_GBK" w:eastAsia="方正书宋_GBK"/>
              </w:rPr>
              <w:t>“</w:t>
            </w:r>
            <w:r>
              <w:rPr>
                <w:rFonts w:hint="eastAsia" w:ascii="方正书宋_GBK" w:eastAsia="方正书宋_GBK"/>
              </w:rPr>
              <w:t>事故少、秩序好、道路畅通、群众满意</w:t>
            </w:r>
            <w:r>
              <w:rPr>
                <w:rFonts w:hint="cs" w:ascii="方正书宋_GBK" w:eastAsia="方正书宋_GBK"/>
              </w:rPr>
              <w:t>”</w:t>
            </w:r>
            <w:r>
              <w:rPr>
                <w:rFonts w:hint="eastAsia" w:ascii="方正书宋_GBK" w:eastAsia="方正书宋_GBK"/>
              </w:rPr>
              <w:t>的总体工作目标。</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交通肇事逃逸案件侦破率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交通事故下降率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30%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20%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交通事故处理办结率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信访案件办结率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运输主体源头监管</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开展源头监管的信息研判工作，对道路交通安全责任单位进行监管，通过监管平台，加大对重点车辆和驾驶人的监管力度。</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通过对客货运输企业和职业驾驶人的源头监管，有效预防和杜绝重特大交通事故的发生。</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重特大交通事故减低率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cs" w:ascii="方正书宋_GBK" w:eastAsia="方正书宋_GBK"/>
              </w:rPr>
              <w:t>“</w:t>
            </w:r>
            <w:r>
              <w:rPr>
                <w:rFonts w:hint="eastAsia" w:ascii="方正书宋_GBK" w:eastAsia="方正书宋_GBK"/>
              </w:rPr>
              <w:t>两客一危</w:t>
            </w:r>
            <w:r>
              <w:rPr>
                <w:rFonts w:hint="cs" w:ascii="方正书宋_GBK" w:eastAsia="方正书宋_GBK"/>
              </w:rPr>
              <w:t>”</w:t>
            </w:r>
            <w:r>
              <w:rPr>
                <w:rFonts w:hint="eastAsia" w:ascii="方正书宋_GBK" w:eastAsia="方正书宋_GBK"/>
              </w:rPr>
              <w:t>运输企业监管覆盖率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道路交通指挥调度管理</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完善总队、市、县三级指挥中心建设，制定协调联动及各种应急预案，加强路面监控和值班备勤管理。</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缓解城镇拥堵，城镇交通混乱，减少主要路段交通事故。</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交通事故、应急事项指挥处置及时率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40%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20%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路口、主要路段视频监控率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40%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20%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车辆和驾驶人管理</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根据《中华人民共和国道路交通安全法》有关规定，依法对交通参与的主体机动车和驾驶人实施有效监管，确保人民群众安全出行和社会生活安定。</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规范机动车登记行为，保护公民、法人和其他组织的合法权益，促进经济、社会发展，保障道路交通安全；促进提高机动车驾驶人安全文明驾驶素质，全力预防和减少重特大道路交通事故。</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机动车管理</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按照公安部号部令，开展对全省机动车辆的登记管理、档案管理和牌证管理和固封装置安装工作，完善各项便民利民措施。</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掌握全县各类机动车辆的保有量及车辆技术参数和机动车安全技术检验，加大对二手车和报废车的管控力度，确保无故障车上路行驶。</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机动车注册、年检遗漏率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2%</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互联网平台应用率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考试中心建设及管理</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按照公安部要求，完成对驾驶考试各科目考场的新建或规范完善工作。</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规范驾驶人考试工作，加大资金投入建设交警自有的考试场；规范考官监考工作，预防驾驶考试中各类违法违纪的现象发生。</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参考学员满意度</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驾驶考试中各类违法违纪现象降低率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考试中心设施设备故障率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2%</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驾驶人管理</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按照公安部号部令，开展对全省机动车驾驶人的证件和档案管理，组织对初学和违章记满分的驾驶人考试及驾照发放工作，完善便民利民措施。</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掌握全县各类机动车驾驶人底数，杜绝无证驾驶或不按准驾车型驾驶机动车上路等违规现象的发生</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驾驶人员注册、年检遗漏率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2%</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交通事故造成的财产损失下降率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3%</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驾驶人互联网平台注册率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40%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20%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业务网络监管</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通过机动车和驾驶证管理系统、驾驶人考试监管系统、机动车查验监管系统、号牌管理监管系统对车驾管业务进行监管。</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利用监控系统对机动车、驾驶人业务进行监管，防止异常业务、违规业务的发生。</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系统录入信息准确率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提高智能卡口设备应用率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纠正异常业务、违规业务率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交管政务管理</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开展交通法制建设与安全宣传、交警系统行政性收费和经费保障工作、队伍建设工作指导和调研工作，组织、规划交通管理信息化建设与应用、通讯网建设和交通管理信息系统建设推广，开展新技术推广应用工作；做好道路交通事故社会救助基金的统筹、使用、管理、发放和垫付追偿工作。</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加强交通法制建设与安全宣传力度；强化交警的宗旨意识，提高执法水平和管理服务社会能力，为交管事业健康发展提供各项有力保障；合理、正确发放道路交通事故社会救助基金。</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道路交通安全宣传</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道路交通安全宣传</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道路交通安全宣传</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机动车及驾驶人违章下降率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受教育人数（人）</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10000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宣传次数（次）</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4</w:t>
            </w:r>
          </w:p>
        </w:tc>
        <w:tc>
          <w:tcPr>
            <w:tcW w:w="737" w:type="dxa"/>
            <w:vAlign w:val="center"/>
          </w:tcPr>
          <w:p>
            <w:pPr>
              <w:spacing w:line="300" w:lineRule="exact"/>
              <w:jc w:val="center"/>
              <w:rPr>
                <w:rFonts w:ascii="方正书宋_GBK" w:eastAsia="方正书宋_GBK"/>
              </w:rPr>
            </w:pPr>
            <w:r>
              <w:rPr>
                <w:rFonts w:ascii="方正书宋_GBK" w:eastAsia="方正书宋_GBK"/>
              </w:rPr>
              <w:t>3</w:t>
            </w:r>
          </w:p>
        </w:tc>
        <w:tc>
          <w:tcPr>
            <w:tcW w:w="737" w:type="dxa"/>
            <w:vAlign w:val="center"/>
          </w:tcPr>
          <w:p>
            <w:pPr>
              <w:spacing w:line="300" w:lineRule="exact"/>
              <w:jc w:val="center"/>
              <w:rPr>
                <w:rFonts w:ascii="方正书宋_GBK" w:eastAsia="方正书宋_GBK"/>
              </w:rPr>
            </w:pPr>
            <w:r>
              <w:rPr>
                <w:rFonts w:ascii="方正书宋_GBK" w:eastAsia="方正书宋_GBK"/>
              </w:rPr>
              <w:t>2</w:t>
            </w:r>
          </w:p>
        </w:tc>
        <w:tc>
          <w:tcPr>
            <w:tcW w:w="737" w:type="dxa"/>
            <w:vAlign w:val="center"/>
          </w:tcPr>
          <w:p>
            <w:pPr>
              <w:spacing w:line="300" w:lineRule="exact"/>
              <w:jc w:val="center"/>
              <w:rPr>
                <w:rFonts w:ascii="方正书宋_GBK" w:eastAsia="方正书宋_GBK"/>
              </w:rPr>
            </w:pPr>
            <w:r>
              <w:rPr>
                <w:rFonts w:ascii="方正书宋_GBK" w:eastAsia="方正书宋_GBK"/>
              </w:rPr>
              <w:t>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队伍建设与管理</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队伍建设与管理</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队伍建设与管理</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民警执法规范程度</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业务受训人数</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业务培训次数</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4</w:t>
            </w:r>
          </w:p>
        </w:tc>
        <w:tc>
          <w:tcPr>
            <w:tcW w:w="737" w:type="dxa"/>
            <w:vAlign w:val="center"/>
          </w:tcPr>
          <w:p>
            <w:pPr>
              <w:spacing w:line="300" w:lineRule="exact"/>
              <w:jc w:val="center"/>
              <w:rPr>
                <w:rFonts w:ascii="方正书宋_GBK" w:eastAsia="方正书宋_GBK"/>
              </w:rPr>
            </w:pPr>
            <w:r>
              <w:rPr>
                <w:rFonts w:ascii="方正书宋_GBK" w:eastAsia="方正书宋_GBK"/>
              </w:rPr>
              <w:t>3</w:t>
            </w:r>
          </w:p>
        </w:tc>
        <w:tc>
          <w:tcPr>
            <w:tcW w:w="737" w:type="dxa"/>
            <w:vAlign w:val="center"/>
          </w:tcPr>
          <w:p>
            <w:pPr>
              <w:spacing w:line="300" w:lineRule="exact"/>
              <w:jc w:val="center"/>
              <w:rPr>
                <w:rFonts w:ascii="方正书宋_GBK" w:eastAsia="方正书宋_GBK"/>
              </w:rPr>
            </w:pPr>
            <w:r>
              <w:rPr>
                <w:rFonts w:ascii="方正书宋_GBK" w:eastAsia="方正书宋_GBK"/>
              </w:rPr>
              <w:t>2</w:t>
            </w:r>
          </w:p>
        </w:tc>
        <w:tc>
          <w:tcPr>
            <w:tcW w:w="737" w:type="dxa"/>
            <w:vAlign w:val="center"/>
          </w:tcPr>
          <w:p>
            <w:pPr>
              <w:spacing w:line="300" w:lineRule="exact"/>
              <w:jc w:val="center"/>
              <w:rPr>
                <w:rFonts w:ascii="方正书宋_GBK" w:eastAsia="方正书宋_GBK"/>
              </w:rPr>
            </w:pPr>
            <w:r>
              <w:rPr>
                <w:rFonts w:ascii="方正书宋_GBK" w:eastAsia="方正书宋_GBK"/>
              </w:rPr>
              <w:t>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　　综合业务管理</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开展交通法制建设与安全宣传、交警系统行政性收费和经费保障工作、队伍建设工作，组织、规划交通管理信息化建设与应用、通讯网建设和交通管理信息系统建设推广，开展新技术推广应用工作；做好道路交通事故社会救助基金合理使用和发放工作。</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加强交通法制建设与安全宣传力度；强化交警的宗旨意识，提高执法水平和管理服务社会能力，为交管事业健康发展提供各项有力保障；合理、正确发放道路交通事故社会救助基金。</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各项交管综合业务管理工作和保障工作完成率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r>
    </w:tbl>
    <w:p>
      <w:pPr>
        <w:ind w:firstLine="645"/>
        <w:jc w:val="center"/>
        <w:rPr>
          <w:rFonts w:ascii="仿宋" w:hAnsi="仿宋" w:eastAsia="仿宋"/>
          <w:sz w:val="32"/>
          <w:szCs w:val="32"/>
        </w:rPr>
      </w:pP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六、政府采购预算情况</w:t>
      </w:r>
    </w:p>
    <w:p>
      <w:pPr>
        <w:ind w:firstLine="645" w:firstLineChars="215"/>
        <w:rPr>
          <w:rFonts w:ascii="仿宋_GB2312" w:eastAsia="仿宋_GB2312"/>
          <w:sz w:val="30"/>
          <w:szCs w:val="30"/>
        </w:rPr>
      </w:pPr>
      <w:r>
        <w:rPr>
          <w:rFonts w:ascii="仿宋_GB2312" w:eastAsia="仿宋_GB2312"/>
          <w:sz w:val="30"/>
          <w:szCs w:val="30"/>
        </w:rPr>
        <w:t>2017</w:t>
      </w:r>
      <w:r>
        <w:rPr>
          <w:rFonts w:hint="eastAsia" w:ascii="仿宋_GB2312" w:eastAsia="仿宋_GB2312"/>
          <w:sz w:val="30"/>
          <w:szCs w:val="30"/>
        </w:rPr>
        <w:t>年我部门安排政府采购预算</w:t>
      </w:r>
      <w:r>
        <w:rPr>
          <w:rFonts w:ascii="仿宋_GB2312" w:eastAsia="仿宋_GB2312"/>
          <w:sz w:val="30"/>
          <w:szCs w:val="30"/>
        </w:rPr>
        <w:t>0</w:t>
      </w:r>
      <w:r>
        <w:rPr>
          <w:rFonts w:hint="eastAsia" w:ascii="仿宋_GB2312" w:eastAsia="仿宋_GB2312"/>
          <w:sz w:val="30"/>
          <w:szCs w:val="30"/>
        </w:rPr>
        <w:t>万元。</w:t>
      </w: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七、国有资产信息</w:t>
      </w:r>
    </w:p>
    <w:p>
      <w:pPr>
        <w:ind w:firstLine="688" w:firstLineChars="215"/>
        <w:rPr>
          <w:rFonts w:ascii="仿宋_GB2312" w:hAnsi="仿宋_GB2312" w:eastAsia="仿宋_GB2312" w:cs="仿宋_GB2312"/>
          <w:sz w:val="32"/>
          <w:szCs w:val="32"/>
        </w:rPr>
      </w:pPr>
      <w:r>
        <w:rPr>
          <w:rFonts w:hint="eastAsia" w:ascii="仿宋_GB2312" w:hAnsi="仿宋_GB2312" w:eastAsia="仿宋_GB2312" w:cs="仿宋_GB2312"/>
          <w:sz w:val="32"/>
          <w:szCs w:val="32"/>
        </w:rPr>
        <w:t>无极县交警大队上年末固定资产金额为  1628 万元（详见下表）。本年度拟购置固定资产金额为0万元。</w:t>
      </w:r>
    </w:p>
    <w:p>
      <w:pPr>
        <w:ind w:firstLine="688" w:firstLineChars="215"/>
        <w:rPr>
          <w:rFonts w:ascii="仿宋" w:hAnsi="仿宋" w:eastAsia="仿宋" w:cs="仿宋"/>
          <w:sz w:val="32"/>
          <w:szCs w:val="32"/>
        </w:rPr>
      </w:pPr>
    </w:p>
    <w:p>
      <w:pPr>
        <w:ind w:firstLine="688" w:firstLineChars="215"/>
        <w:rPr>
          <w:rFonts w:ascii="仿宋" w:hAnsi="仿宋" w:eastAsia="仿宋" w:cs="仿宋"/>
          <w:sz w:val="32"/>
          <w:szCs w:val="32"/>
        </w:rPr>
      </w:pPr>
    </w:p>
    <w:p>
      <w:pPr>
        <w:ind w:firstLine="688" w:firstLineChars="215"/>
        <w:rPr>
          <w:rFonts w:ascii="仿宋" w:hAnsi="仿宋" w:eastAsia="仿宋" w:cs="仿宋"/>
          <w:sz w:val="32"/>
          <w:szCs w:val="32"/>
        </w:rPr>
      </w:pPr>
    </w:p>
    <w:p>
      <w:pPr>
        <w:ind w:firstLine="688" w:firstLineChars="215"/>
        <w:rPr>
          <w:rFonts w:ascii="仿宋" w:hAnsi="仿宋" w:eastAsia="仿宋" w:cs="仿宋"/>
          <w:sz w:val="32"/>
          <w:szCs w:val="32"/>
        </w:rPr>
      </w:pPr>
    </w:p>
    <w:p>
      <w:pPr>
        <w:ind w:firstLine="688" w:firstLineChars="215"/>
        <w:rPr>
          <w:rFonts w:ascii="仿宋" w:hAnsi="仿宋" w:eastAsia="仿宋" w:cs="仿宋"/>
          <w:sz w:val="32"/>
          <w:szCs w:val="32"/>
        </w:rPr>
      </w:pPr>
    </w:p>
    <w:p>
      <w:pPr>
        <w:ind w:firstLine="688" w:firstLineChars="215"/>
        <w:rPr>
          <w:rFonts w:ascii="仿宋" w:hAnsi="仿宋" w:eastAsia="仿宋" w:cs="仿宋"/>
          <w:sz w:val="32"/>
          <w:szCs w:val="32"/>
        </w:rPr>
      </w:pPr>
    </w:p>
    <w:tbl>
      <w:tblPr>
        <w:tblStyle w:val="4"/>
        <w:tblW w:w="11808" w:type="dxa"/>
        <w:tblInd w:w="1040" w:type="dxa"/>
        <w:tblLayout w:type="fixed"/>
        <w:tblCellMar>
          <w:top w:w="0" w:type="dxa"/>
          <w:left w:w="108" w:type="dxa"/>
          <w:bottom w:w="0" w:type="dxa"/>
          <w:right w:w="108" w:type="dxa"/>
        </w:tblCellMar>
      </w:tblPr>
      <w:tblGrid>
        <w:gridCol w:w="4158"/>
        <w:gridCol w:w="2681"/>
        <w:gridCol w:w="4969"/>
      </w:tblGrid>
      <w:tr>
        <w:tblPrEx>
          <w:tblCellMar>
            <w:top w:w="0" w:type="dxa"/>
            <w:left w:w="108" w:type="dxa"/>
            <w:bottom w:w="0" w:type="dxa"/>
            <w:right w:w="108" w:type="dxa"/>
          </w:tblCellMar>
        </w:tblPrEx>
        <w:trPr>
          <w:trHeight w:val="705" w:hRule="atLeast"/>
        </w:trPr>
        <w:tc>
          <w:tcPr>
            <w:tcW w:w="11808" w:type="dxa"/>
            <w:gridSpan w:val="3"/>
            <w:tcBorders>
              <w:top w:val="nil"/>
              <w:left w:val="nil"/>
              <w:bottom w:val="nil"/>
              <w:right w:val="nil"/>
            </w:tcBorders>
            <w:vAlign w:val="center"/>
          </w:tcPr>
          <w:p>
            <w:pPr>
              <w:widowControl/>
              <w:jc w:val="center"/>
              <w:rPr>
                <w:rFonts w:ascii="宋体"/>
                <w:b/>
                <w:bCs/>
                <w:kern w:val="0"/>
                <w:sz w:val="32"/>
                <w:szCs w:val="32"/>
              </w:rPr>
            </w:pPr>
            <w:r>
              <w:rPr>
                <w:rFonts w:hint="eastAsia" w:ascii="宋体" w:hAnsi="宋体" w:cs="宋体"/>
                <w:b/>
                <w:bCs/>
                <w:kern w:val="0"/>
                <w:sz w:val="32"/>
                <w:szCs w:val="32"/>
              </w:rPr>
              <w:t>无极县交警大队固定资产占用情况表</w:t>
            </w:r>
          </w:p>
        </w:tc>
      </w:tr>
      <w:tr>
        <w:tblPrEx>
          <w:tblCellMar>
            <w:top w:w="0" w:type="dxa"/>
            <w:left w:w="108" w:type="dxa"/>
            <w:bottom w:w="0" w:type="dxa"/>
            <w:right w:w="108" w:type="dxa"/>
          </w:tblCellMar>
        </w:tblPrEx>
        <w:trPr>
          <w:trHeight w:val="510" w:hRule="atLeast"/>
        </w:trPr>
        <w:tc>
          <w:tcPr>
            <w:tcW w:w="6839" w:type="dxa"/>
            <w:gridSpan w:val="2"/>
            <w:tcBorders>
              <w:top w:val="nil"/>
              <w:left w:val="nil"/>
              <w:bottom w:val="nil"/>
              <w:right w:val="nil"/>
            </w:tcBorders>
            <w:vAlign w:val="center"/>
          </w:tcPr>
          <w:p>
            <w:pPr>
              <w:widowControl/>
              <w:jc w:val="left"/>
              <w:rPr>
                <w:rFonts w:ascii="宋体"/>
                <w:kern w:val="0"/>
                <w:sz w:val="22"/>
              </w:rPr>
            </w:pPr>
            <w:r>
              <w:rPr>
                <w:rFonts w:hint="eastAsia" w:ascii="宋体" w:hAnsi="宋体" w:cs="宋体"/>
                <w:kern w:val="0"/>
                <w:sz w:val="22"/>
              </w:rPr>
              <w:t>编制部门：</w:t>
            </w:r>
            <w:r>
              <w:rPr>
                <w:rFonts w:hint="eastAsia" w:cs="宋体"/>
              </w:rPr>
              <w:t>无极县交警大队</w:t>
            </w:r>
          </w:p>
        </w:tc>
        <w:tc>
          <w:tcPr>
            <w:tcW w:w="4969" w:type="dxa"/>
            <w:tcBorders>
              <w:top w:val="nil"/>
              <w:left w:val="nil"/>
              <w:bottom w:val="nil"/>
              <w:right w:val="nil"/>
            </w:tcBorders>
            <w:vAlign w:val="center"/>
          </w:tcPr>
          <w:p>
            <w:pPr>
              <w:widowControl/>
              <w:jc w:val="left"/>
              <w:rPr>
                <w:rFonts w:ascii="宋体"/>
                <w:kern w:val="0"/>
                <w:sz w:val="22"/>
              </w:rPr>
            </w:pPr>
            <w:r>
              <w:rPr>
                <w:rFonts w:hint="eastAsia" w:ascii="宋体" w:hAnsi="宋体" w:cs="宋体"/>
                <w:kern w:val="0"/>
                <w:sz w:val="22"/>
              </w:rPr>
              <w:t>截止时间：</w:t>
            </w:r>
            <w:r>
              <w:rPr>
                <w:rFonts w:ascii="宋体" w:hAnsi="宋体" w:cs="宋体"/>
                <w:kern w:val="0"/>
                <w:sz w:val="22"/>
              </w:rPr>
              <w:t>2016</w:t>
            </w:r>
            <w:r>
              <w:rPr>
                <w:rFonts w:hint="eastAsia" w:ascii="宋体" w:hAnsi="宋体" w:cs="宋体"/>
                <w:kern w:val="0"/>
                <w:sz w:val="22"/>
              </w:rPr>
              <w:t>年</w:t>
            </w:r>
            <w:r>
              <w:rPr>
                <w:rFonts w:ascii="宋体" w:hAnsi="宋体" w:cs="宋体"/>
                <w:kern w:val="0"/>
                <w:sz w:val="22"/>
              </w:rPr>
              <w:t>12</w:t>
            </w:r>
            <w:r>
              <w:rPr>
                <w:rFonts w:hint="eastAsia" w:ascii="宋体" w:hAnsi="宋体" w:cs="宋体"/>
                <w:kern w:val="0"/>
                <w:sz w:val="22"/>
              </w:rPr>
              <w:t>月</w:t>
            </w:r>
            <w:r>
              <w:rPr>
                <w:rFonts w:ascii="宋体" w:hAnsi="宋体" w:cs="宋体"/>
                <w:kern w:val="0"/>
                <w:sz w:val="22"/>
              </w:rPr>
              <w:t>31</w:t>
            </w:r>
            <w:r>
              <w:rPr>
                <w:rFonts w:hint="eastAsia" w:ascii="宋体" w:hAnsi="宋体" w:cs="宋体"/>
                <w:kern w:val="0"/>
                <w:sz w:val="22"/>
              </w:rPr>
              <w:t>日</w:t>
            </w:r>
            <w:r>
              <w:rPr>
                <w:rFonts w:ascii="宋体" w:hAnsi="宋体" w:cs="宋体"/>
                <w:kern w:val="0"/>
                <w:sz w:val="22"/>
              </w:rPr>
              <w:t xml:space="preserve">  </w:t>
            </w:r>
          </w:p>
        </w:tc>
      </w:tr>
      <w:tr>
        <w:tblPrEx>
          <w:tblCellMar>
            <w:top w:w="0" w:type="dxa"/>
            <w:left w:w="108" w:type="dxa"/>
            <w:bottom w:w="0" w:type="dxa"/>
            <w:right w:w="108" w:type="dxa"/>
          </w:tblCellMar>
        </w:tblPrEx>
        <w:trPr>
          <w:trHeight w:val="645" w:hRule="atLeast"/>
        </w:trPr>
        <w:tc>
          <w:tcPr>
            <w:tcW w:w="4158"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b/>
                <w:bCs/>
                <w:kern w:val="0"/>
                <w:sz w:val="22"/>
              </w:rPr>
            </w:pPr>
            <w:r>
              <w:rPr>
                <w:rFonts w:hint="eastAsia" w:ascii="宋体" w:hAnsi="宋体" w:cs="宋体"/>
                <w:b/>
                <w:bCs/>
                <w:kern w:val="0"/>
                <w:sz w:val="22"/>
              </w:rPr>
              <w:t>项</w:t>
            </w:r>
            <w:r>
              <w:rPr>
                <w:rFonts w:ascii="宋体" w:hAnsi="宋体" w:cs="宋体"/>
                <w:b/>
                <w:bCs/>
                <w:kern w:val="0"/>
                <w:sz w:val="22"/>
              </w:rPr>
              <w:t xml:space="preserve">   </w:t>
            </w:r>
            <w:r>
              <w:rPr>
                <w:rFonts w:hint="eastAsia" w:ascii="宋体" w:hAnsi="宋体" w:cs="宋体"/>
                <w:b/>
                <w:bCs/>
                <w:kern w:val="0"/>
                <w:sz w:val="22"/>
              </w:rPr>
              <w:t>目</w:t>
            </w:r>
          </w:p>
        </w:tc>
        <w:tc>
          <w:tcPr>
            <w:tcW w:w="2681" w:type="dxa"/>
            <w:tcBorders>
              <w:top w:val="single" w:color="auto" w:sz="4" w:space="0"/>
              <w:left w:val="nil"/>
              <w:bottom w:val="single" w:color="auto" w:sz="4" w:space="0"/>
              <w:right w:val="single" w:color="auto" w:sz="4" w:space="0"/>
            </w:tcBorders>
            <w:vAlign w:val="center"/>
          </w:tcPr>
          <w:p>
            <w:pPr>
              <w:widowControl/>
              <w:jc w:val="center"/>
              <w:rPr>
                <w:rFonts w:ascii="宋体"/>
                <w:b/>
                <w:bCs/>
                <w:kern w:val="0"/>
                <w:sz w:val="22"/>
              </w:rPr>
            </w:pPr>
            <w:r>
              <w:rPr>
                <w:rFonts w:hint="eastAsia" w:ascii="宋体" w:hAnsi="宋体" w:cs="宋体"/>
                <w:b/>
                <w:bCs/>
                <w:kern w:val="0"/>
                <w:sz w:val="22"/>
              </w:rPr>
              <w:t>数量</w:t>
            </w:r>
          </w:p>
        </w:tc>
        <w:tc>
          <w:tcPr>
            <w:tcW w:w="4969" w:type="dxa"/>
            <w:tcBorders>
              <w:top w:val="single" w:color="auto" w:sz="4" w:space="0"/>
              <w:left w:val="nil"/>
              <w:bottom w:val="single" w:color="auto" w:sz="4" w:space="0"/>
              <w:right w:val="single" w:color="auto" w:sz="4" w:space="0"/>
            </w:tcBorders>
            <w:vAlign w:val="center"/>
          </w:tcPr>
          <w:p>
            <w:pPr>
              <w:widowControl/>
              <w:jc w:val="center"/>
              <w:rPr>
                <w:rFonts w:ascii="宋体"/>
                <w:b/>
                <w:bCs/>
                <w:kern w:val="0"/>
                <w:sz w:val="22"/>
              </w:rPr>
            </w:pPr>
            <w:r>
              <w:rPr>
                <w:rFonts w:hint="eastAsia" w:ascii="宋体" w:hAnsi="宋体" w:cs="宋体"/>
                <w:b/>
                <w:bCs/>
                <w:kern w:val="0"/>
                <w:sz w:val="22"/>
              </w:rPr>
              <w:t>价值（金额单位：万元）</w:t>
            </w:r>
          </w:p>
        </w:tc>
      </w:tr>
      <w:tr>
        <w:tblPrEx>
          <w:tblCellMar>
            <w:top w:w="0" w:type="dxa"/>
            <w:left w:w="108" w:type="dxa"/>
            <w:bottom w:w="0" w:type="dxa"/>
            <w:right w:w="108" w:type="dxa"/>
          </w:tblCellMar>
        </w:tblPrEx>
        <w:trPr>
          <w:trHeight w:val="645" w:hRule="atLeast"/>
        </w:trPr>
        <w:tc>
          <w:tcPr>
            <w:tcW w:w="4158" w:type="dxa"/>
            <w:tcBorders>
              <w:top w:val="nil"/>
              <w:left w:val="single" w:color="auto" w:sz="4" w:space="0"/>
              <w:bottom w:val="single" w:color="auto" w:sz="4" w:space="0"/>
              <w:right w:val="single" w:color="auto" w:sz="4" w:space="0"/>
            </w:tcBorders>
            <w:vAlign w:val="center"/>
          </w:tcPr>
          <w:p>
            <w:pPr>
              <w:widowControl/>
              <w:jc w:val="center"/>
              <w:rPr>
                <w:rFonts w:ascii="宋体"/>
                <w:kern w:val="0"/>
                <w:sz w:val="22"/>
              </w:rPr>
            </w:pPr>
            <w:r>
              <w:rPr>
                <w:rFonts w:hint="eastAsia" w:ascii="宋体" w:hAnsi="宋体" w:cs="宋体"/>
                <w:kern w:val="0"/>
                <w:sz w:val="22"/>
              </w:rPr>
              <w:t>资产总额</w:t>
            </w:r>
          </w:p>
        </w:tc>
        <w:tc>
          <w:tcPr>
            <w:tcW w:w="2681" w:type="dxa"/>
            <w:tcBorders>
              <w:top w:val="nil"/>
              <w:left w:val="nil"/>
              <w:bottom w:val="single" w:color="auto" w:sz="4" w:space="0"/>
              <w:right w:val="single" w:color="auto" w:sz="4" w:space="0"/>
            </w:tcBorders>
            <w:vAlign w:val="center"/>
          </w:tcPr>
          <w:p>
            <w:pPr>
              <w:widowControl/>
              <w:jc w:val="center"/>
              <w:rPr>
                <w:rFonts w:ascii="宋体"/>
                <w:kern w:val="0"/>
                <w:sz w:val="22"/>
              </w:rPr>
            </w:pPr>
            <w:r>
              <w:rPr>
                <w:rFonts w:ascii="宋体" w:hAnsi="宋体" w:cs="宋体"/>
                <w:kern w:val="0"/>
                <w:sz w:val="22"/>
              </w:rPr>
              <w:t>——</w:t>
            </w:r>
          </w:p>
        </w:tc>
        <w:tc>
          <w:tcPr>
            <w:tcW w:w="4969" w:type="dxa"/>
            <w:tcBorders>
              <w:top w:val="nil"/>
              <w:left w:val="nil"/>
              <w:bottom w:val="single" w:color="auto" w:sz="4" w:space="0"/>
              <w:right w:val="single" w:color="auto" w:sz="4" w:space="0"/>
            </w:tcBorders>
            <w:vAlign w:val="center"/>
          </w:tcPr>
          <w:p>
            <w:pPr>
              <w:widowControl/>
              <w:jc w:val="center"/>
              <w:rPr>
                <w:rFonts w:ascii="宋体"/>
                <w:kern w:val="0"/>
                <w:sz w:val="22"/>
              </w:rPr>
            </w:pPr>
            <w:r>
              <w:rPr>
                <w:rFonts w:hint="eastAsia" w:ascii="宋体"/>
                <w:kern w:val="0"/>
                <w:sz w:val="22"/>
              </w:rPr>
              <w:t>1628</w:t>
            </w:r>
          </w:p>
        </w:tc>
      </w:tr>
      <w:tr>
        <w:tblPrEx>
          <w:tblCellMar>
            <w:top w:w="0" w:type="dxa"/>
            <w:left w:w="108" w:type="dxa"/>
            <w:bottom w:w="0" w:type="dxa"/>
            <w:right w:w="108" w:type="dxa"/>
          </w:tblCellMar>
        </w:tblPrEx>
        <w:trPr>
          <w:trHeight w:val="645" w:hRule="atLeast"/>
        </w:trPr>
        <w:tc>
          <w:tcPr>
            <w:tcW w:w="4158" w:type="dxa"/>
            <w:tcBorders>
              <w:top w:val="nil"/>
              <w:left w:val="single" w:color="auto" w:sz="4" w:space="0"/>
              <w:bottom w:val="single" w:color="auto" w:sz="4" w:space="0"/>
              <w:right w:val="single" w:color="auto" w:sz="4" w:space="0"/>
            </w:tcBorders>
            <w:vAlign w:val="center"/>
          </w:tcPr>
          <w:p>
            <w:pPr>
              <w:widowControl/>
              <w:jc w:val="left"/>
              <w:rPr>
                <w:rFonts w:ascii="宋体"/>
                <w:kern w:val="0"/>
                <w:sz w:val="22"/>
              </w:rPr>
            </w:pPr>
            <w:r>
              <w:rPr>
                <w:rFonts w:ascii="宋体" w:hAnsi="宋体" w:cs="宋体"/>
                <w:kern w:val="0"/>
                <w:sz w:val="22"/>
              </w:rPr>
              <w:t>1</w:t>
            </w:r>
            <w:r>
              <w:rPr>
                <w:rFonts w:hint="eastAsia" w:ascii="宋体" w:hAnsi="宋体" w:cs="宋体"/>
                <w:kern w:val="0"/>
                <w:sz w:val="22"/>
              </w:rPr>
              <w:t>、房屋（平方米）</w:t>
            </w:r>
          </w:p>
        </w:tc>
        <w:tc>
          <w:tcPr>
            <w:tcW w:w="2681" w:type="dxa"/>
            <w:tcBorders>
              <w:top w:val="nil"/>
              <w:left w:val="nil"/>
              <w:bottom w:val="single" w:color="auto" w:sz="4" w:space="0"/>
              <w:right w:val="single" w:color="auto" w:sz="4" w:space="0"/>
            </w:tcBorders>
            <w:vAlign w:val="center"/>
          </w:tcPr>
          <w:p>
            <w:pPr>
              <w:widowControl/>
              <w:jc w:val="center"/>
              <w:rPr>
                <w:rFonts w:ascii="宋体"/>
                <w:kern w:val="0"/>
                <w:sz w:val="22"/>
              </w:rPr>
            </w:pPr>
          </w:p>
        </w:tc>
        <w:tc>
          <w:tcPr>
            <w:tcW w:w="4969" w:type="dxa"/>
            <w:tcBorders>
              <w:top w:val="nil"/>
              <w:left w:val="nil"/>
              <w:bottom w:val="single" w:color="auto" w:sz="4" w:space="0"/>
              <w:right w:val="single" w:color="auto" w:sz="4" w:space="0"/>
            </w:tcBorders>
            <w:vAlign w:val="center"/>
          </w:tcPr>
          <w:p>
            <w:pPr>
              <w:widowControl/>
              <w:jc w:val="center"/>
              <w:rPr>
                <w:rFonts w:ascii="宋体"/>
                <w:kern w:val="0"/>
                <w:sz w:val="22"/>
              </w:rPr>
            </w:pPr>
          </w:p>
        </w:tc>
      </w:tr>
      <w:tr>
        <w:tblPrEx>
          <w:tblCellMar>
            <w:top w:w="0" w:type="dxa"/>
            <w:left w:w="108" w:type="dxa"/>
            <w:bottom w:w="0" w:type="dxa"/>
            <w:right w:w="108" w:type="dxa"/>
          </w:tblCellMar>
        </w:tblPrEx>
        <w:trPr>
          <w:trHeight w:val="645" w:hRule="atLeast"/>
        </w:trPr>
        <w:tc>
          <w:tcPr>
            <w:tcW w:w="4158" w:type="dxa"/>
            <w:tcBorders>
              <w:top w:val="nil"/>
              <w:left w:val="single" w:color="auto" w:sz="4" w:space="0"/>
              <w:bottom w:val="single" w:color="auto" w:sz="4" w:space="0"/>
              <w:right w:val="single" w:color="auto" w:sz="4" w:space="0"/>
            </w:tcBorders>
            <w:vAlign w:val="center"/>
          </w:tcPr>
          <w:p>
            <w:pPr>
              <w:widowControl/>
              <w:jc w:val="left"/>
              <w:rPr>
                <w:rFonts w:ascii="宋体"/>
                <w:kern w:val="0"/>
                <w:sz w:val="22"/>
              </w:rPr>
            </w:pPr>
            <w:r>
              <w:rPr>
                <w:rFonts w:ascii="宋体" w:hAnsi="宋体" w:cs="宋体"/>
                <w:kern w:val="0"/>
                <w:sz w:val="22"/>
              </w:rPr>
              <w:t xml:space="preserve">  </w:t>
            </w:r>
            <w:r>
              <w:rPr>
                <w:rFonts w:hint="eastAsia" w:ascii="宋体" w:hAnsi="宋体" w:cs="宋体"/>
                <w:kern w:val="0"/>
                <w:sz w:val="22"/>
              </w:rPr>
              <w:t>其中：办公用房（平方米）</w:t>
            </w:r>
          </w:p>
        </w:tc>
        <w:tc>
          <w:tcPr>
            <w:tcW w:w="2681" w:type="dxa"/>
            <w:tcBorders>
              <w:top w:val="nil"/>
              <w:left w:val="nil"/>
              <w:bottom w:val="single" w:color="auto" w:sz="4" w:space="0"/>
              <w:right w:val="single" w:color="auto" w:sz="4" w:space="0"/>
            </w:tcBorders>
            <w:vAlign w:val="center"/>
          </w:tcPr>
          <w:p>
            <w:pPr>
              <w:widowControl/>
              <w:jc w:val="center"/>
              <w:rPr>
                <w:rFonts w:ascii="宋体"/>
                <w:kern w:val="0"/>
                <w:sz w:val="22"/>
              </w:rPr>
            </w:pPr>
          </w:p>
        </w:tc>
        <w:tc>
          <w:tcPr>
            <w:tcW w:w="4969" w:type="dxa"/>
            <w:tcBorders>
              <w:top w:val="nil"/>
              <w:left w:val="nil"/>
              <w:bottom w:val="single" w:color="auto" w:sz="4" w:space="0"/>
              <w:right w:val="single" w:color="auto" w:sz="4" w:space="0"/>
            </w:tcBorders>
            <w:vAlign w:val="center"/>
          </w:tcPr>
          <w:p>
            <w:pPr>
              <w:widowControl/>
              <w:jc w:val="center"/>
              <w:rPr>
                <w:rFonts w:ascii="宋体"/>
                <w:kern w:val="0"/>
                <w:sz w:val="22"/>
              </w:rPr>
            </w:pPr>
          </w:p>
        </w:tc>
      </w:tr>
      <w:tr>
        <w:tblPrEx>
          <w:tblCellMar>
            <w:top w:w="0" w:type="dxa"/>
            <w:left w:w="108" w:type="dxa"/>
            <w:bottom w:w="0" w:type="dxa"/>
            <w:right w:w="108" w:type="dxa"/>
          </w:tblCellMar>
        </w:tblPrEx>
        <w:trPr>
          <w:trHeight w:val="645" w:hRule="atLeast"/>
        </w:trPr>
        <w:tc>
          <w:tcPr>
            <w:tcW w:w="4158" w:type="dxa"/>
            <w:tcBorders>
              <w:top w:val="nil"/>
              <w:left w:val="single" w:color="auto" w:sz="4" w:space="0"/>
              <w:bottom w:val="single" w:color="auto" w:sz="4" w:space="0"/>
              <w:right w:val="single" w:color="auto" w:sz="4" w:space="0"/>
            </w:tcBorders>
            <w:vAlign w:val="center"/>
          </w:tcPr>
          <w:p>
            <w:pPr>
              <w:widowControl/>
              <w:jc w:val="left"/>
              <w:rPr>
                <w:rFonts w:ascii="宋体"/>
                <w:kern w:val="0"/>
                <w:sz w:val="22"/>
              </w:rPr>
            </w:pPr>
            <w:r>
              <w:rPr>
                <w:rFonts w:ascii="宋体" w:hAnsi="宋体" w:cs="宋体"/>
                <w:kern w:val="0"/>
                <w:sz w:val="22"/>
              </w:rPr>
              <w:t>2</w:t>
            </w:r>
            <w:r>
              <w:rPr>
                <w:rFonts w:hint="eastAsia" w:ascii="宋体" w:hAnsi="宋体" w:cs="宋体"/>
                <w:kern w:val="0"/>
                <w:sz w:val="22"/>
              </w:rPr>
              <w:t>、车辆（台、辆）</w:t>
            </w:r>
          </w:p>
        </w:tc>
        <w:tc>
          <w:tcPr>
            <w:tcW w:w="2681" w:type="dxa"/>
            <w:tcBorders>
              <w:top w:val="nil"/>
              <w:left w:val="nil"/>
              <w:bottom w:val="single" w:color="auto" w:sz="4" w:space="0"/>
              <w:right w:val="single" w:color="auto" w:sz="4" w:space="0"/>
            </w:tcBorders>
            <w:vAlign w:val="center"/>
          </w:tcPr>
          <w:p>
            <w:pPr>
              <w:widowControl/>
              <w:jc w:val="center"/>
              <w:rPr>
                <w:rFonts w:ascii="宋体"/>
                <w:kern w:val="0"/>
                <w:sz w:val="22"/>
              </w:rPr>
            </w:pPr>
            <w:r>
              <w:rPr>
                <w:rFonts w:hint="eastAsia" w:ascii="宋体"/>
                <w:kern w:val="0"/>
                <w:sz w:val="22"/>
              </w:rPr>
              <w:t>15</w:t>
            </w:r>
          </w:p>
        </w:tc>
        <w:tc>
          <w:tcPr>
            <w:tcW w:w="4969" w:type="dxa"/>
            <w:tcBorders>
              <w:top w:val="nil"/>
              <w:left w:val="nil"/>
              <w:bottom w:val="single" w:color="auto" w:sz="4" w:space="0"/>
              <w:right w:val="single" w:color="auto" w:sz="4" w:space="0"/>
            </w:tcBorders>
            <w:vAlign w:val="center"/>
          </w:tcPr>
          <w:p>
            <w:pPr>
              <w:widowControl/>
              <w:jc w:val="center"/>
              <w:rPr>
                <w:rFonts w:ascii="宋体"/>
                <w:kern w:val="0"/>
                <w:sz w:val="22"/>
              </w:rPr>
            </w:pPr>
            <w:r>
              <w:rPr>
                <w:rFonts w:hint="eastAsia" w:ascii="宋体"/>
                <w:kern w:val="0"/>
                <w:sz w:val="22"/>
              </w:rPr>
              <w:t>190</w:t>
            </w:r>
          </w:p>
        </w:tc>
      </w:tr>
      <w:tr>
        <w:tblPrEx>
          <w:tblCellMar>
            <w:top w:w="0" w:type="dxa"/>
            <w:left w:w="108" w:type="dxa"/>
            <w:bottom w:w="0" w:type="dxa"/>
            <w:right w:w="108" w:type="dxa"/>
          </w:tblCellMar>
        </w:tblPrEx>
        <w:trPr>
          <w:trHeight w:val="645" w:hRule="atLeast"/>
        </w:trPr>
        <w:tc>
          <w:tcPr>
            <w:tcW w:w="4158" w:type="dxa"/>
            <w:tcBorders>
              <w:top w:val="nil"/>
              <w:left w:val="single" w:color="auto" w:sz="4" w:space="0"/>
              <w:bottom w:val="single" w:color="auto" w:sz="4" w:space="0"/>
              <w:right w:val="single" w:color="auto" w:sz="4" w:space="0"/>
            </w:tcBorders>
            <w:vAlign w:val="center"/>
          </w:tcPr>
          <w:p>
            <w:pPr>
              <w:widowControl/>
              <w:jc w:val="left"/>
              <w:rPr>
                <w:rFonts w:ascii="宋体"/>
                <w:kern w:val="0"/>
                <w:sz w:val="22"/>
              </w:rPr>
            </w:pPr>
            <w:r>
              <w:rPr>
                <w:rFonts w:ascii="宋体" w:hAnsi="宋体" w:cs="宋体"/>
                <w:kern w:val="0"/>
                <w:sz w:val="22"/>
              </w:rPr>
              <w:t>3</w:t>
            </w:r>
            <w:r>
              <w:rPr>
                <w:rFonts w:hint="eastAsia" w:ascii="宋体" w:hAnsi="宋体" w:cs="宋体"/>
                <w:kern w:val="0"/>
                <w:sz w:val="22"/>
              </w:rPr>
              <w:t>、单价在</w:t>
            </w:r>
            <w:r>
              <w:rPr>
                <w:rFonts w:ascii="宋体" w:hAnsi="宋体" w:cs="宋体"/>
                <w:kern w:val="0"/>
                <w:sz w:val="22"/>
              </w:rPr>
              <w:t>20</w:t>
            </w:r>
            <w:r>
              <w:rPr>
                <w:rFonts w:hint="eastAsia" w:ascii="宋体" w:hAnsi="宋体" w:cs="宋体"/>
                <w:kern w:val="0"/>
                <w:sz w:val="22"/>
              </w:rPr>
              <w:t>万元以上设备</w:t>
            </w:r>
          </w:p>
        </w:tc>
        <w:tc>
          <w:tcPr>
            <w:tcW w:w="2681" w:type="dxa"/>
            <w:tcBorders>
              <w:top w:val="nil"/>
              <w:left w:val="nil"/>
              <w:bottom w:val="single" w:color="auto" w:sz="4" w:space="0"/>
              <w:right w:val="single" w:color="auto" w:sz="4" w:space="0"/>
            </w:tcBorders>
            <w:vAlign w:val="center"/>
          </w:tcPr>
          <w:p>
            <w:pPr>
              <w:widowControl/>
              <w:jc w:val="center"/>
              <w:rPr>
                <w:rFonts w:ascii="宋体"/>
                <w:kern w:val="0"/>
                <w:sz w:val="22"/>
              </w:rPr>
            </w:pPr>
            <w:r>
              <w:rPr>
                <w:rFonts w:ascii="宋体" w:hAnsi="宋体" w:cs="宋体"/>
                <w:kern w:val="0"/>
                <w:sz w:val="22"/>
              </w:rPr>
              <w:t>——</w:t>
            </w:r>
          </w:p>
        </w:tc>
        <w:tc>
          <w:tcPr>
            <w:tcW w:w="4969" w:type="dxa"/>
            <w:tcBorders>
              <w:top w:val="nil"/>
              <w:left w:val="nil"/>
              <w:bottom w:val="single" w:color="auto" w:sz="4" w:space="0"/>
              <w:right w:val="single" w:color="auto" w:sz="4" w:space="0"/>
            </w:tcBorders>
            <w:vAlign w:val="center"/>
          </w:tcPr>
          <w:p>
            <w:pPr>
              <w:widowControl/>
              <w:jc w:val="center"/>
              <w:rPr>
                <w:rFonts w:ascii="宋体"/>
                <w:kern w:val="0"/>
                <w:sz w:val="22"/>
              </w:rPr>
            </w:pPr>
          </w:p>
        </w:tc>
      </w:tr>
      <w:tr>
        <w:tblPrEx>
          <w:tblCellMar>
            <w:top w:w="0" w:type="dxa"/>
            <w:left w:w="108" w:type="dxa"/>
            <w:bottom w:w="0" w:type="dxa"/>
            <w:right w:w="108" w:type="dxa"/>
          </w:tblCellMar>
        </w:tblPrEx>
        <w:trPr>
          <w:trHeight w:val="645" w:hRule="atLeast"/>
        </w:trPr>
        <w:tc>
          <w:tcPr>
            <w:tcW w:w="4158" w:type="dxa"/>
            <w:tcBorders>
              <w:top w:val="nil"/>
              <w:left w:val="single" w:color="auto" w:sz="4" w:space="0"/>
              <w:bottom w:val="single" w:color="auto" w:sz="4" w:space="0"/>
              <w:right w:val="single" w:color="auto" w:sz="4" w:space="0"/>
            </w:tcBorders>
            <w:vAlign w:val="center"/>
          </w:tcPr>
          <w:p>
            <w:pPr>
              <w:widowControl/>
              <w:jc w:val="left"/>
              <w:rPr>
                <w:rFonts w:ascii="宋体"/>
                <w:kern w:val="0"/>
                <w:sz w:val="22"/>
              </w:rPr>
            </w:pPr>
            <w:r>
              <w:rPr>
                <w:rFonts w:ascii="宋体" w:hAnsi="宋体" w:cs="宋体"/>
                <w:kern w:val="0"/>
                <w:sz w:val="22"/>
              </w:rPr>
              <w:t>4</w:t>
            </w:r>
            <w:r>
              <w:rPr>
                <w:rFonts w:hint="eastAsia" w:ascii="宋体" w:hAnsi="宋体" w:cs="宋体"/>
                <w:kern w:val="0"/>
                <w:sz w:val="22"/>
              </w:rPr>
              <w:t>、其他固定资产</w:t>
            </w:r>
          </w:p>
        </w:tc>
        <w:tc>
          <w:tcPr>
            <w:tcW w:w="2681" w:type="dxa"/>
            <w:tcBorders>
              <w:top w:val="nil"/>
              <w:left w:val="nil"/>
              <w:bottom w:val="single" w:color="auto" w:sz="4" w:space="0"/>
              <w:right w:val="single" w:color="auto" w:sz="4" w:space="0"/>
            </w:tcBorders>
            <w:vAlign w:val="center"/>
          </w:tcPr>
          <w:p>
            <w:pPr>
              <w:widowControl/>
              <w:jc w:val="center"/>
              <w:rPr>
                <w:rFonts w:ascii="宋体"/>
                <w:kern w:val="0"/>
                <w:sz w:val="22"/>
              </w:rPr>
            </w:pPr>
            <w:r>
              <w:rPr>
                <w:rFonts w:ascii="宋体" w:hAnsi="宋体" w:cs="宋体"/>
                <w:kern w:val="0"/>
                <w:sz w:val="22"/>
              </w:rPr>
              <w:t>——</w:t>
            </w:r>
          </w:p>
        </w:tc>
        <w:tc>
          <w:tcPr>
            <w:tcW w:w="4969" w:type="dxa"/>
            <w:tcBorders>
              <w:top w:val="nil"/>
              <w:left w:val="nil"/>
              <w:bottom w:val="single" w:color="auto" w:sz="4" w:space="0"/>
              <w:right w:val="single" w:color="auto" w:sz="4" w:space="0"/>
            </w:tcBorders>
            <w:vAlign w:val="center"/>
          </w:tcPr>
          <w:p>
            <w:pPr>
              <w:widowControl/>
              <w:jc w:val="center"/>
              <w:rPr>
                <w:rFonts w:ascii="宋体"/>
                <w:kern w:val="0"/>
                <w:sz w:val="22"/>
              </w:rPr>
            </w:pPr>
            <w:r>
              <w:rPr>
                <w:rFonts w:hint="eastAsia" w:ascii="宋体"/>
                <w:kern w:val="0"/>
                <w:sz w:val="22"/>
              </w:rPr>
              <w:t>1438</w:t>
            </w:r>
          </w:p>
        </w:tc>
      </w:tr>
    </w:tbl>
    <w:p>
      <w:pPr>
        <w:autoSpaceDE w:val="0"/>
        <w:autoSpaceDN w:val="0"/>
        <w:adjustRightInd w:val="0"/>
        <w:ind w:left="420" w:leftChars="200"/>
        <w:rPr>
          <w:rFonts w:ascii="仿宋" w:hAnsi="仿宋" w:eastAsia="仿宋"/>
          <w:sz w:val="32"/>
        </w:rPr>
      </w:pP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八、名词解释</w:t>
      </w:r>
    </w:p>
    <w:p>
      <w:pPr>
        <w:ind w:firstLine="720"/>
        <w:rPr>
          <w:rFonts w:ascii="仿宋" w:hAnsi="仿宋" w:eastAsia="仿宋"/>
          <w:b/>
          <w:sz w:val="32"/>
          <w:szCs w:val="32"/>
        </w:rPr>
      </w:pPr>
      <w:r>
        <w:rPr>
          <w:rFonts w:ascii="仿宋" w:hAnsi="仿宋" w:eastAsia="仿宋"/>
          <w:b/>
          <w:sz w:val="32"/>
          <w:szCs w:val="32"/>
        </w:rPr>
        <w:t>1.</w:t>
      </w:r>
      <w:r>
        <w:rPr>
          <w:rFonts w:hint="eastAsia" w:ascii="仿宋" w:hAnsi="仿宋" w:eastAsia="仿宋"/>
          <w:b/>
          <w:sz w:val="32"/>
          <w:szCs w:val="32"/>
        </w:rPr>
        <w:t>财政拨款收入</w:t>
      </w:r>
    </w:p>
    <w:p>
      <w:pPr>
        <w:ind w:firstLine="720"/>
        <w:rPr>
          <w:rFonts w:ascii="仿宋" w:hAnsi="仿宋" w:eastAsia="仿宋"/>
          <w:sz w:val="32"/>
          <w:szCs w:val="32"/>
        </w:rPr>
      </w:pPr>
      <w:r>
        <w:rPr>
          <w:rFonts w:hint="eastAsia" w:ascii="仿宋" w:hAnsi="仿宋" w:eastAsia="仿宋"/>
          <w:sz w:val="32"/>
          <w:szCs w:val="32"/>
        </w:rPr>
        <w:t>财政拨款收入是指财政部门按照批复的预算核拨给单位的财政预算资金。</w:t>
      </w:r>
    </w:p>
    <w:p>
      <w:pPr>
        <w:ind w:firstLine="720"/>
        <w:rPr>
          <w:rFonts w:ascii="仿宋" w:hAnsi="仿宋" w:eastAsia="仿宋"/>
          <w:b/>
          <w:sz w:val="32"/>
          <w:szCs w:val="32"/>
        </w:rPr>
      </w:pPr>
      <w:r>
        <w:rPr>
          <w:rFonts w:ascii="仿宋" w:hAnsi="仿宋" w:eastAsia="仿宋"/>
          <w:b/>
          <w:sz w:val="32"/>
          <w:szCs w:val="32"/>
        </w:rPr>
        <w:t>2.</w:t>
      </w:r>
      <w:r>
        <w:rPr>
          <w:rFonts w:hint="eastAsia" w:ascii="仿宋" w:hAnsi="仿宋" w:eastAsia="仿宋"/>
          <w:b/>
          <w:sz w:val="32"/>
          <w:szCs w:val="32"/>
        </w:rPr>
        <w:t>基本支出、项目支出</w:t>
      </w:r>
    </w:p>
    <w:p>
      <w:pPr>
        <w:ind w:firstLine="720"/>
        <w:rPr>
          <w:rFonts w:ascii="仿宋" w:hAnsi="仿宋" w:eastAsia="仿宋"/>
          <w:sz w:val="32"/>
          <w:szCs w:val="32"/>
        </w:rPr>
      </w:pPr>
      <w:r>
        <w:rPr>
          <w:rFonts w:hint="eastAsia" w:ascii="仿宋" w:hAnsi="仿宋" w:eastAsia="仿宋"/>
          <w:sz w:val="32"/>
          <w:szCs w:val="32"/>
        </w:rPr>
        <w:t>基本支出是指预算单位为保障机构正常运转和完成日常工作而发生的各项支出，包括人员经费和日常公用经费。</w:t>
      </w:r>
    </w:p>
    <w:p>
      <w:pPr>
        <w:ind w:firstLine="720"/>
        <w:rPr>
          <w:rFonts w:ascii="仿宋" w:hAnsi="仿宋" w:eastAsia="仿宋"/>
          <w:sz w:val="32"/>
          <w:szCs w:val="32"/>
        </w:rPr>
      </w:pPr>
      <w:r>
        <w:rPr>
          <w:rFonts w:hint="eastAsia" w:ascii="仿宋" w:hAnsi="仿宋" w:eastAsia="仿宋"/>
          <w:sz w:val="32"/>
          <w:szCs w:val="32"/>
        </w:rPr>
        <w:t>项目支出是指在基本支出之外完成特定行政任务和事业发展目标所发生的支出。</w:t>
      </w:r>
    </w:p>
    <w:p>
      <w:pPr>
        <w:ind w:firstLine="720"/>
        <w:rPr>
          <w:rFonts w:ascii="仿宋" w:hAnsi="仿宋" w:eastAsia="仿宋"/>
          <w:b/>
          <w:sz w:val="32"/>
          <w:szCs w:val="32"/>
        </w:rPr>
      </w:pPr>
      <w:r>
        <w:rPr>
          <w:rFonts w:ascii="仿宋" w:hAnsi="仿宋" w:eastAsia="仿宋"/>
          <w:b/>
          <w:sz w:val="32"/>
          <w:szCs w:val="32"/>
        </w:rPr>
        <w:t>3.</w:t>
      </w:r>
      <w:r>
        <w:rPr>
          <w:rFonts w:hint="eastAsia" w:ascii="仿宋" w:hAnsi="仿宋" w:eastAsia="仿宋"/>
          <w:b/>
          <w:sz w:val="32"/>
          <w:szCs w:val="32"/>
        </w:rPr>
        <w:t>一般公共服务支出</w:t>
      </w:r>
    </w:p>
    <w:p>
      <w:pPr>
        <w:ind w:firstLine="720"/>
        <w:rPr>
          <w:rFonts w:ascii="仿宋" w:hAnsi="仿宋" w:eastAsia="仿宋"/>
          <w:sz w:val="32"/>
          <w:szCs w:val="32"/>
        </w:rPr>
      </w:pPr>
      <w:r>
        <w:rPr>
          <w:rFonts w:hint="eastAsia" w:ascii="仿宋" w:hAnsi="仿宋" w:eastAsia="仿宋"/>
          <w:sz w:val="32"/>
          <w:szCs w:val="32"/>
        </w:rPr>
        <w:t>一般公共服务支出是指反映预算单位一般公共服务的支出。</w:t>
      </w:r>
    </w:p>
    <w:p>
      <w:pPr>
        <w:ind w:firstLine="720"/>
        <w:rPr>
          <w:rFonts w:ascii="仿宋" w:hAnsi="仿宋" w:eastAsia="仿宋"/>
          <w:b/>
          <w:sz w:val="32"/>
          <w:szCs w:val="32"/>
        </w:rPr>
      </w:pPr>
      <w:r>
        <w:rPr>
          <w:rFonts w:ascii="仿宋" w:hAnsi="仿宋" w:eastAsia="仿宋"/>
          <w:b/>
          <w:sz w:val="32"/>
          <w:szCs w:val="32"/>
        </w:rPr>
        <w:t>4.</w:t>
      </w:r>
      <w:r>
        <w:rPr>
          <w:rFonts w:hint="eastAsia" w:ascii="仿宋" w:hAnsi="仿宋" w:eastAsia="仿宋"/>
          <w:b/>
          <w:sz w:val="32"/>
          <w:szCs w:val="32"/>
        </w:rPr>
        <w:t>文化体育与传媒支出</w:t>
      </w:r>
    </w:p>
    <w:p>
      <w:pPr>
        <w:ind w:firstLine="720"/>
        <w:rPr>
          <w:rFonts w:ascii="仿宋" w:hAnsi="仿宋" w:eastAsia="仿宋"/>
          <w:sz w:val="32"/>
          <w:szCs w:val="32"/>
        </w:rPr>
      </w:pPr>
      <w:r>
        <w:rPr>
          <w:rFonts w:hint="eastAsia" w:ascii="仿宋" w:hAnsi="仿宋" w:eastAsia="仿宋"/>
          <w:sz w:val="32"/>
          <w:szCs w:val="32"/>
        </w:rPr>
        <w:t>文化体育与传媒支出是指反映预算单位在文化、文物、体育、广播影视、新闻出版等方面的支出。</w:t>
      </w:r>
    </w:p>
    <w:p>
      <w:pPr>
        <w:ind w:firstLine="720"/>
        <w:rPr>
          <w:rFonts w:ascii="仿宋" w:hAnsi="仿宋" w:eastAsia="仿宋"/>
          <w:b/>
          <w:sz w:val="32"/>
          <w:szCs w:val="32"/>
        </w:rPr>
      </w:pPr>
      <w:r>
        <w:rPr>
          <w:rFonts w:ascii="仿宋" w:hAnsi="仿宋" w:eastAsia="仿宋"/>
          <w:b/>
          <w:sz w:val="32"/>
          <w:szCs w:val="32"/>
        </w:rPr>
        <w:t>5.</w:t>
      </w:r>
      <w:r>
        <w:rPr>
          <w:rFonts w:hint="eastAsia" w:ascii="仿宋" w:hAnsi="仿宋" w:eastAsia="仿宋"/>
          <w:b/>
          <w:sz w:val="32"/>
          <w:szCs w:val="32"/>
        </w:rPr>
        <w:t>社会保障和就业支出</w:t>
      </w:r>
    </w:p>
    <w:p>
      <w:pPr>
        <w:ind w:firstLine="720"/>
        <w:rPr>
          <w:rFonts w:ascii="仿宋" w:hAnsi="仿宋" w:eastAsia="仿宋"/>
          <w:sz w:val="32"/>
          <w:szCs w:val="32"/>
        </w:rPr>
      </w:pPr>
      <w:r>
        <w:rPr>
          <w:rFonts w:hint="eastAsia" w:ascii="仿宋" w:hAnsi="仿宋" w:eastAsia="仿宋"/>
          <w:sz w:val="32"/>
          <w:szCs w:val="32"/>
        </w:rPr>
        <w:t>社会保障和就业支出是指预算单位在社会保障和就业方面的支出。</w:t>
      </w:r>
    </w:p>
    <w:p>
      <w:pPr>
        <w:ind w:firstLine="720"/>
        <w:rPr>
          <w:rFonts w:ascii="仿宋" w:hAnsi="仿宋" w:eastAsia="仿宋"/>
          <w:b/>
          <w:sz w:val="32"/>
          <w:szCs w:val="32"/>
        </w:rPr>
      </w:pPr>
      <w:r>
        <w:rPr>
          <w:rFonts w:ascii="仿宋" w:hAnsi="仿宋" w:eastAsia="仿宋"/>
          <w:b/>
          <w:sz w:val="32"/>
          <w:szCs w:val="32"/>
        </w:rPr>
        <w:t>6.</w:t>
      </w:r>
      <w:r>
        <w:rPr>
          <w:rFonts w:hint="eastAsia" w:ascii="仿宋" w:hAnsi="仿宋" w:eastAsia="仿宋"/>
          <w:b/>
          <w:sz w:val="32"/>
          <w:szCs w:val="32"/>
        </w:rPr>
        <w:t>机关运行经费</w:t>
      </w:r>
    </w:p>
    <w:p>
      <w:pPr>
        <w:ind w:firstLine="720"/>
        <w:rPr>
          <w:rFonts w:ascii="仿宋" w:hAnsi="仿宋" w:eastAsia="仿宋"/>
          <w:sz w:val="32"/>
          <w:szCs w:val="32"/>
        </w:rPr>
      </w:pPr>
      <w:r>
        <w:rPr>
          <w:rFonts w:hint="eastAsia" w:ascii="仿宋" w:hAnsi="仿宋" w:eastAsia="仿宋"/>
          <w:sz w:val="32"/>
          <w:szCs w:val="32"/>
        </w:rPr>
        <w:t>机关运行经费是指为保障行政单位运行支出的人员工资和用于购买货物、服务的各项资金，包括人员经费、办公费、印刷费、邮电费、差旅费、会议费、福利费、日常维修费、专用材料及一般设备购置费、办公用房水电费、公务用车运行维护费及其他费用。</w:t>
      </w:r>
    </w:p>
    <w:p>
      <w:pPr>
        <w:ind w:firstLine="720"/>
        <w:rPr>
          <w:rFonts w:ascii="仿宋" w:hAnsi="仿宋" w:eastAsia="仿宋"/>
          <w:b/>
          <w:sz w:val="32"/>
          <w:szCs w:val="32"/>
        </w:rPr>
      </w:pPr>
      <w:r>
        <w:rPr>
          <w:rFonts w:ascii="仿宋" w:hAnsi="仿宋" w:eastAsia="仿宋"/>
          <w:b/>
          <w:sz w:val="32"/>
          <w:szCs w:val="32"/>
        </w:rPr>
        <w:t>7.</w:t>
      </w:r>
      <w:r>
        <w:rPr>
          <w:rFonts w:hint="eastAsia" w:ascii="仿宋" w:hAnsi="仿宋" w:eastAsia="仿宋"/>
          <w:b/>
          <w:sz w:val="32"/>
          <w:szCs w:val="32"/>
        </w:rPr>
        <w:t>“三公”经费</w:t>
      </w:r>
    </w:p>
    <w:p>
      <w:pPr>
        <w:ind w:firstLine="720"/>
        <w:rPr>
          <w:rFonts w:ascii="仿宋" w:hAnsi="仿宋" w:eastAsia="仿宋"/>
          <w:sz w:val="32"/>
          <w:szCs w:val="32"/>
        </w:rPr>
      </w:pPr>
      <w:r>
        <w:rPr>
          <w:rFonts w:hint="eastAsia" w:ascii="仿宋" w:hAnsi="仿宋" w:eastAsia="仿宋"/>
          <w:sz w:val="32"/>
          <w:szCs w:val="32"/>
        </w:rPr>
        <w:t>“三公”经费是指因公出国（境）费、公务用车购置及运行维护费和公务接待费。</w:t>
      </w:r>
    </w:p>
    <w:p>
      <w:pPr>
        <w:ind w:firstLine="720"/>
        <w:rPr>
          <w:rFonts w:ascii="仿宋" w:hAnsi="仿宋" w:eastAsia="仿宋"/>
          <w:sz w:val="32"/>
          <w:szCs w:val="32"/>
        </w:rPr>
      </w:pPr>
      <w:r>
        <w:rPr>
          <w:rFonts w:hint="eastAsia" w:ascii="仿宋" w:hAnsi="仿宋" w:eastAsia="仿宋"/>
          <w:sz w:val="32"/>
          <w:szCs w:val="32"/>
        </w:rPr>
        <w:t>因公出国（境）费是指单位公务出国（境）的国际旅费、国外城市间交通费、住宿费、伙食费、培训费、公杂费等支出。</w:t>
      </w:r>
    </w:p>
    <w:p>
      <w:pPr>
        <w:ind w:firstLine="720"/>
        <w:rPr>
          <w:rFonts w:ascii="仿宋" w:hAnsi="仿宋" w:eastAsia="仿宋"/>
          <w:sz w:val="32"/>
          <w:szCs w:val="32"/>
        </w:rPr>
      </w:pPr>
      <w:r>
        <w:rPr>
          <w:rFonts w:hint="eastAsia" w:ascii="仿宋" w:hAnsi="仿宋" w:eastAsia="仿宋"/>
          <w:sz w:val="32"/>
          <w:szCs w:val="32"/>
        </w:rPr>
        <w:t>公务用车购置及运行维护费是指单位购置公务用车及公务用车租用费、燃料费、维修费、路桥费、保险费等支出。</w:t>
      </w:r>
    </w:p>
    <w:p>
      <w:pPr>
        <w:ind w:firstLine="720"/>
        <w:rPr>
          <w:rFonts w:ascii="仿宋" w:hAnsi="仿宋" w:eastAsia="仿宋"/>
          <w:sz w:val="32"/>
          <w:szCs w:val="32"/>
        </w:rPr>
      </w:pPr>
      <w:r>
        <w:rPr>
          <w:rFonts w:hint="eastAsia" w:ascii="仿宋" w:hAnsi="仿宋" w:eastAsia="仿宋"/>
          <w:sz w:val="32"/>
          <w:szCs w:val="32"/>
        </w:rPr>
        <w:t>公务接待费是指单位按规定开支的各类公务接待（含外宾接待）费用。</w:t>
      </w:r>
    </w:p>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cs="仿宋_GB2312"/>
          <w:sz w:val="32"/>
          <w:szCs w:val="32"/>
        </w:rPr>
        <w:t>九、其他需要说明的事项</w:t>
      </w:r>
    </w:p>
    <w:p>
      <w:pPr>
        <w:ind w:firstLine="688" w:firstLineChars="215"/>
        <w:rPr>
          <w:rFonts w:ascii="仿宋" w:hAnsi="仿宋" w:eastAsia="仿宋"/>
          <w:sz w:val="32"/>
          <w:szCs w:val="32"/>
        </w:rPr>
      </w:pPr>
      <w:r>
        <w:rPr>
          <w:rFonts w:hint="eastAsia" w:ascii="仿宋" w:hAnsi="仿宋" w:eastAsia="仿宋"/>
          <w:sz w:val="32"/>
          <w:szCs w:val="32"/>
        </w:rPr>
        <w:t>无。</w:t>
      </w:r>
    </w:p>
    <w:sectPr>
      <w:headerReference r:id="rId3" w:type="default"/>
      <w:pgSz w:w="16839" w:h="11907" w:orient="landscape"/>
      <w:pgMar w:top="1020" w:right="1361" w:bottom="1020" w:left="1361"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方正书宋_GBK">
    <w:panose1 w:val="02000000000000000000"/>
    <w:charset w:val="86"/>
    <w:family w:val="script"/>
    <w:pitch w:val="default"/>
    <w:sig w:usb0="A00002BF" w:usb1="38CF7CFA" w:usb2="00082016" w:usb3="00000000" w:csb0="00040001" w:csb1="00000000"/>
  </w:font>
  <w:font w:name="方正小标宋_GBK">
    <w:panose1 w:val="02000000000000000000"/>
    <w:charset w:val="86"/>
    <w:family w:val="script"/>
    <w:pitch w:val="default"/>
    <w:sig w:usb0="A00002BF" w:usb1="38CF7CFA" w:usb2="00082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1"/>
    <w:multiLevelType w:val="singleLevel"/>
    <w:tmpl w:val="00000001"/>
    <w:lvl w:ilvl="0" w:tentative="0">
      <w:start w:val="2"/>
      <w:numFmt w:val="chineseCounting"/>
      <w:suff w:val="nothing"/>
      <w:lvlText w:val="（%1）"/>
      <w:lvlJc w:val="left"/>
    </w:lvl>
  </w:abstractNum>
  <w:abstractNum w:abstractNumId="1">
    <w:nsid w:val="00000002"/>
    <w:multiLevelType w:val="singleLevel"/>
    <w:tmpl w:val="00000002"/>
    <w:lvl w:ilvl="0" w:tentative="0">
      <w:start w:val="4"/>
      <w:numFmt w:val="chineseCounting"/>
      <w:suff w:val="nothing"/>
      <w:lvlText w:val="%1、"/>
      <w:lvlJc w:val="left"/>
    </w:lvl>
  </w:abstractNum>
  <w:abstractNum w:abstractNumId="2">
    <w:nsid w:val="00000003"/>
    <w:multiLevelType w:val="singleLevel"/>
    <w:tmpl w:val="00000003"/>
    <w:lvl w:ilvl="0" w:tentative="0">
      <w:start w:val="3"/>
      <w:numFmt w:val="chineseCounting"/>
      <w:suff w:val="nothing"/>
      <w:lvlText w:val="（%1）"/>
      <w:lvlJc w:val="left"/>
    </w:lvl>
  </w:abstractNum>
  <w:abstractNum w:abstractNumId="3">
    <w:nsid w:val="00000009"/>
    <w:multiLevelType w:val="singleLevel"/>
    <w:tmpl w:val="00000009"/>
    <w:lvl w:ilvl="0" w:tentative="0">
      <w:start w:val="2"/>
      <w:numFmt w:val="chineseCounting"/>
      <w:suff w:val="nothing"/>
      <w:lvlText w:val="（%1）"/>
      <w:lvlJc w:val="left"/>
    </w:lvl>
  </w:abstractNum>
  <w:abstractNum w:abstractNumId="4">
    <w:nsid w:val="746C1284"/>
    <w:multiLevelType w:val="singleLevel"/>
    <w:tmpl w:val="746C1284"/>
    <w:lvl w:ilvl="0" w:tentative="0">
      <w:start w:val="1"/>
      <w:numFmt w:val="chineseCounting"/>
      <w:suff w:val="nothing"/>
      <w:lvlText w:val="（%1）"/>
      <w:lvlJc w:val="left"/>
    </w:lvl>
  </w:abstractNum>
  <w:num w:numId="1">
    <w:abstractNumId w:val="3"/>
  </w:num>
  <w:num w:numId="2">
    <w:abstractNumId w:val="4"/>
  </w:num>
  <w:num w:numId="3">
    <w:abstractNumId w:val="0"/>
  </w:num>
  <w:num w:numId="4">
    <w:abstractNumId w:val="2"/>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2C089E"/>
    <w:rsid w:val="002C089E"/>
    <w:rsid w:val="00690733"/>
    <w:rsid w:val="007B0514"/>
    <w:rsid w:val="00D30BDC"/>
    <w:rsid w:val="00FD5294"/>
    <w:rsid w:val="055838D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Calibri"/>
      </w:rPr>
    </w:rPrDefault>
    <w:pPrDefault/>
  </w:docDefaults>
  <w:latentStyles w:count="260" w:defQFormat="0" w:defUnhideWhenUsed="1" w:defSemiHidden="1" w:defUIPriority="99" w:defLockedState="0">
    <w:lsdException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9"/>
    <w:qFormat/>
    <w:uiPriority w:val="0"/>
    <w:pPr>
      <w:tabs>
        <w:tab w:val="center" w:pos="4153"/>
        <w:tab w:val="right" w:pos="8306"/>
      </w:tabs>
      <w:snapToGrid w:val="0"/>
      <w:jc w:val="left"/>
    </w:pPr>
    <w:rPr>
      <w:sz w:val="18"/>
      <w:szCs w:val="18"/>
    </w:rPr>
  </w:style>
  <w:style w:type="paragraph" w:styleId="3">
    <w:name w:val="header"/>
    <w:basedOn w:val="1"/>
    <w:link w:val="8"/>
    <w:uiPriority w:val="0"/>
    <w:pPr>
      <w:pBdr>
        <w:bottom w:val="single" w:color="auto" w:sz="6" w:space="1"/>
      </w:pBdr>
      <w:tabs>
        <w:tab w:val="center" w:pos="4153"/>
        <w:tab w:val="right" w:pos="8306"/>
      </w:tabs>
      <w:snapToGrid w:val="0"/>
      <w:jc w:val="center"/>
    </w:pPr>
    <w:rPr>
      <w:sz w:val="18"/>
      <w:szCs w:val="18"/>
    </w:rPr>
  </w:style>
  <w:style w:type="paragraph" w:customStyle="1" w:styleId="6">
    <w:name w:val="列出段落1"/>
    <w:basedOn w:val="1"/>
    <w:qFormat/>
    <w:uiPriority w:val="0"/>
    <w:pPr>
      <w:ind w:firstLine="420" w:firstLineChars="200"/>
    </w:pPr>
  </w:style>
  <w:style w:type="paragraph" w:customStyle="1" w:styleId="7">
    <w:name w:val="[Normal]"/>
    <w:qFormat/>
    <w:uiPriority w:val="0"/>
    <w:rPr>
      <w:rFonts w:ascii="宋体" w:hAnsi="Times New Roman" w:eastAsia="宋体" w:cs="Calibri"/>
      <w:sz w:val="24"/>
      <w:lang w:val="en-US" w:eastAsia="en-US" w:bidi="ar-SA"/>
    </w:rPr>
  </w:style>
  <w:style w:type="character" w:customStyle="1" w:styleId="8">
    <w:name w:val="页眉 Char"/>
    <w:link w:val="3"/>
    <w:semiHidden/>
    <w:uiPriority w:val="0"/>
    <w:rPr>
      <w:rFonts w:ascii="Times New Roman" w:hAnsi="Times New Roman" w:eastAsia="宋体" w:cs="Times New Roman"/>
      <w:sz w:val="18"/>
      <w:szCs w:val="18"/>
    </w:rPr>
  </w:style>
  <w:style w:type="character" w:customStyle="1" w:styleId="9">
    <w:name w:val="页脚 Char"/>
    <w:link w:val="2"/>
    <w:semiHidden/>
    <w:uiPriority w:val="0"/>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微软中国</Company>
  <Pages>13</Pages>
  <Words>838</Words>
  <Characters>4783</Characters>
  <Lines>39</Lines>
  <Paragraphs>11</Paragraphs>
  <TotalTime>16</TotalTime>
  <ScaleCrop>false</ScaleCrop>
  <LinksUpToDate>false</LinksUpToDate>
  <CharactersWithSpaces>5610</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2017-08-22T01:42:00Z</dcterms:created>
  <dc:creator>微软用户</dc:creator>
  <cp:lastModifiedBy>古德纽斯</cp:lastModifiedBy>
  <dcterms:modified xsi:type="dcterms:W3CDTF">2023-09-21T01:53:12Z</dcterms:modified>
  <dc:title>微软用户</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653EDA346BC04EE78EB1BC6FEE77EEAA</vt:lpwstr>
  </property>
</Properties>
</file>