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无极县公安交通警察大队</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无极县公安交通警察大队</w:t>
      </w:r>
      <w:r>
        <w:rPr>
          <w:rFonts w:eastAsia="黑体"/>
          <w:sz w:val="32"/>
          <w:szCs w:val="32"/>
        </w:rPr>
        <w:t>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left="638" w:leftChars="304"/>
        <w:rPr>
          <w:rFonts w:eastAsia="仿宋_GB2312"/>
          <w:sz w:val="20"/>
          <w:szCs w:val="32"/>
        </w:rPr>
      </w:pPr>
      <w:r>
        <w:rPr>
          <w:rFonts w:eastAsia="黑体"/>
          <w:sz w:val="32"/>
          <w:szCs w:val="32"/>
        </w:rPr>
        <w:t xml:space="preserve">第二部分  </w:t>
      </w:r>
      <w:r>
        <w:rPr>
          <w:rFonts w:hint="eastAsia" w:eastAsia="黑体"/>
          <w:sz w:val="32"/>
          <w:szCs w:val="32"/>
        </w:rPr>
        <w:t>无极县公安交通警察大队</w:t>
      </w:r>
      <w:r>
        <w:rPr>
          <w:rFonts w:eastAsia="黑体"/>
          <w:sz w:val="32"/>
          <w:szCs w:val="32"/>
        </w:rPr>
        <w:t>部门2017年度部门决算报表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38" w:leftChars="304"/>
        <w:rPr>
          <w:rFonts w:eastAsia="黑体"/>
          <w:sz w:val="32"/>
          <w:szCs w:val="32"/>
        </w:rPr>
      </w:pPr>
      <w:r>
        <w:rPr>
          <w:rFonts w:eastAsia="黑体"/>
          <w:sz w:val="32"/>
          <w:szCs w:val="32"/>
        </w:rPr>
        <w:t xml:space="preserve">第三部分  </w:t>
      </w:r>
      <w:r>
        <w:rPr>
          <w:rFonts w:hint="eastAsia" w:eastAsia="黑体"/>
          <w:sz w:val="32"/>
          <w:szCs w:val="32"/>
        </w:rPr>
        <w:t>无极县公安交通警察大队</w:t>
      </w:r>
      <w:r>
        <w:rPr>
          <w:rFonts w:eastAsia="黑体"/>
          <w:sz w:val="32"/>
          <w:szCs w:val="32"/>
        </w:rPr>
        <w:t>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Pr>
        <w:pStyle w:val="2"/>
        <w:spacing w:line="560" w:lineRule="exact"/>
        <w:rPr>
          <w:b w:val="0"/>
          <w:bCs w:val="0"/>
          <w:kern w:val="2"/>
          <w:sz w:val="21"/>
          <w:szCs w:val="24"/>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numPr>
          <w:ilvl w:val="0"/>
          <w:numId w:val="1"/>
        </w:numPr>
        <w:spacing w:before="0" w:after="0" w:line="560" w:lineRule="exact"/>
        <w:rPr>
          <w:rFonts w:ascii="黑体" w:hAnsi="Cambria" w:eastAsia="黑体" w:cs="黑体"/>
          <w:kern w:val="0"/>
        </w:rPr>
      </w:pPr>
      <w:r>
        <w:rPr>
          <w:rFonts w:hint="eastAsia" w:ascii="黑体" w:hAnsi="Cambria" w:eastAsia="黑体" w:cs="黑体"/>
          <w:kern w:val="0"/>
        </w:rPr>
        <w:t>部门职责</w:t>
      </w:r>
    </w:p>
    <w:p>
      <w:pPr>
        <w:ind w:firstLine="640"/>
        <w:rPr>
          <w:rFonts w:ascii="仿宋_GB2312" w:hAnsi="仿宋_GB2312" w:eastAsia="仿宋_GB2312" w:cs="仿宋_GB2312"/>
          <w:sz w:val="32"/>
          <w:szCs w:val="32"/>
        </w:rPr>
      </w:pPr>
      <w:r>
        <w:rPr>
          <w:rFonts w:hint="eastAsia" w:ascii="仿宋_GB2312" w:hAnsi="微软雅黑" w:eastAsia="仿宋_GB2312" w:cs="宋体"/>
          <w:color w:val="666666"/>
          <w:kern w:val="0"/>
          <w:sz w:val="32"/>
          <w:szCs w:val="32"/>
        </w:rPr>
        <w:t> </w:t>
      </w:r>
      <w:r>
        <w:rPr>
          <w:rFonts w:hint="eastAsia" w:ascii="仿宋_GB2312" w:hAnsi="仿宋_GB2312" w:eastAsia="仿宋_GB2312" w:cs="仿宋_GB2312"/>
          <w:sz w:val="32"/>
          <w:szCs w:val="32"/>
        </w:rPr>
        <w:t>交警大队是主管全县道路交通安全和交通秩序以及机动车、驾驶人管理工作的职能部门。是负责本地区道路交通的组织、指挥、控制，运用现代管理科学，增强道路交通协调与控制能力。</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维护全县的道路交通秩序，保障道路交通安全畅通。预防和处理交通事故，制止妨碍道路交通安全的行为。预防和打击公路上发生的违法犯罪活动，查缉逃犯及其他犯罪嫌疑人。</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巡逻道路：先期处置道路治安、刑事案件和突发性、群体性事件。</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根据中华人民共和国道路</w:t>
      </w:r>
      <w:r>
        <w:rPr>
          <w:rFonts w:hint="eastAsia" w:ascii="仿宋_GB2312" w:hAnsi="仿宋_GB2312" w:eastAsia="仿宋_GB2312" w:cs="仿宋_GB2312"/>
          <w:sz w:val="32"/>
          <w:szCs w:val="32"/>
          <w:lang w:val="en-US" w:eastAsia="zh-CN"/>
        </w:rPr>
        <w:t>交通</w:t>
      </w:r>
      <w:bookmarkStart w:id="0" w:name="_GoBack"/>
      <w:bookmarkEnd w:id="0"/>
      <w:r>
        <w:rPr>
          <w:rFonts w:hint="eastAsia" w:ascii="仿宋_GB2312" w:hAnsi="仿宋_GB2312" w:eastAsia="仿宋_GB2312" w:cs="仿宋_GB2312"/>
          <w:sz w:val="32"/>
          <w:szCs w:val="32"/>
        </w:rPr>
        <w:t>安全法，对违反交通安全法律、法规、规章的驾驶员和车辆进行纠正。</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widowControl/>
        <w:spacing w:line="580" w:lineRule="exact"/>
        <w:ind w:firstLine="640" w:firstLineChars="200"/>
        <w:rPr>
          <w:rFonts w:hint="eastAsia" w:ascii="仿宋_GB2312" w:hAnsi="仿宋_GB2312" w:eastAsia="仿宋_GB2312" w:cs="仿宋_GB2312"/>
          <w:sz w:val="32"/>
          <w:szCs w:val="32"/>
        </w:rPr>
      </w:pPr>
      <w:r>
        <w:rPr>
          <w:rFonts w:hint="eastAsia" w:ascii="仿宋_GB2312" w:hAnsi="Cambria" w:eastAsia="仿宋_GB2312" w:cs="ArialUnicodeMS"/>
          <w:kern w:val="0"/>
          <w:sz w:val="32"/>
          <w:szCs w:val="32"/>
        </w:rPr>
        <w:t>（以下简称“单位”）共 1个。</w:t>
      </w:r>
      <w:r>
        <w:rPr>
          <w:rFonts w:hint="eastAsia" w:ascii="仿宋_GB2312" w:hAnsi="仿宋_GB2312" w:eastAsia="仿宋_GB2312" w:cs="仿宋_GB2312"/>
          <w:b w:val="0"/>
          <w:i w:val="0"/>
          <w:caps w:val="0"/>
          <w:color w:val="000000"/>
          <w:spacing w:val="0"/>
          <w:sz w:val="32"/>
          <w:szCs w:val="32"/>
        </w:rPr>
        <w:t>是</w:t>
      </w:r>
      <w:r>
        <w:rPr>
          <w:rFonts w:hint="eastAsia" w:ascii="仿宋_GB2312" w:hAnsi="仿宋_GB2312" w:eastAsia="仿宋_GB2312" w:cs="仿宋_GB2312"/>
          <w:b w:val="0"/>
          <w:i w:val="0"/>
          <w:caps w:val="0"/>
          <w:color w:val="000000"/>
          <w:spacing w:val="0"/>
          <w:sz w:val="32"/>
          <w:szCs w:val="32"/>
          <w:lang w:val="en-US" w:eastAsia="zh-CN"/>
        </w:rPr>
        <w:t>无极县交通警察大队</w:t>
      </w:r>
      <w:r>
        <w:rPr>
          <w:rFonts w:hint="eastAsia" w:ascii="仿宋_GB2312" w:hAnsi="仿宋_GB2312" w:eastAsia="仿宋_GB2312" w:cs="仿宋_GB2312"/>
          <w:b w:val="0"/>
          <w:i w:val="0"/>
          <w:caps w:val="0"/>
          <w:color w:val="000000"/>
          <w:spacing w:val="0"/>
          <w:sz w:val="32"/>
          <w:szCs w:val="32"/>
        </w:rPr>
        <w:t>，单位基本性质为行政单位，预算管理级次为</w:t>
      </w:r>
      <w:r>
        <w:rPr>
          <w:rFonts w:hint="eastAsia" w:ascii="仿宋_GB2312" w:hAnsi="仿宋_GB2312" w:eastAsia="仿宋_GB2312" w:cs="仿宋_GB2312"/>
          <w:b w:val="0"/>
          <w:i w:val="0"/>
          <w:caps w:val="0"/>
          <w:color w:val="000000"/>
          <w:spacing w:val="0"/>
          <w:sz w:val="32"/>
          <w:szCs w:val="32"/>
          <w:lang w:val="en-US" w:eastAsia="zh-CN"/>
        </w:rPr>
        <w:t>一</w:t>
      </w:r>
      <w:r>
        <w:rPr>
          <w:rFonts w:hint="eastAsia" w:ascii="仿宋_GB2312" w:hAnsi="仿宋_GB2312" w:eastAsia="仿宋_GB2312" w:cs="仿宋_GB2312"/>
          <w:b w:val="0"/>
          <w:i w:val="0"/>
          <w:caps w:val="0"/>
          <w:color w:val="000000"/>
          <w:spacing w:val="0"/>
          <w:sz w:val="32"/>
          <w:szCs w:val="32"/>
        </w:rPr>
        <w:t>级预算单位，执行</w:t>
      </w:r>
      <w:r>
        <w:rPr>
          <w:rFonts w:hint="eastAsia" w:ascii="仿宋_GB2312" w:hAnsi="仿宋_GB2312" w:eastAsia="仿宋_GB2312" w:cs="仿宋_GB2312"/>
          <w:b w:val="0"/>
          <w:i w:val="0"/>
          <w:caps w:val="0"/>
          <w:color w:val="000000"/>
          <w:spacing w:val="0"/>
          <w:sz w:val="32"/>
          <w:szCs w:val="32"/>
          <w:lang w:val="en-US" w:eastAsia="zh-CN"/>
        </w:rPr>
        <w:t>行政单位</w:t>
      </w:r>
      <w:r>
        <w:rPr>
          <w:rFonts w:hint="eastAsia" w:ascii="仿宋_GB2312" w:hAnsi="仿宋_GB2312" w:eastAsia="仿宋_GB2312" w:cs="仿宋_GB2312"/>
          <w:b w:val="0"/>
          <w:i w:val="0"/>
          <w:caps w:val="0"/>
          <w:color w:val="000000"/>
          <w:spacing w:val="0"/>
          <w:sz w:val="32"/>
          <w:szCs w:val="32"/>
        </w:rPr>
        <w:t>会计制度，较上年无增减变化</w:t>
      </w:r>
    </w:p>
    <w:p>
      <w:pPr>
        <w:autoSpaceDE w:val="0"/>
        <w:autoSpaceDN w:val="0"/>
        <w:adjustRightInd w:val="0"/>
        <w:spacing w:after="0" w:line="240" w:lineRule="auto"/>
        <w:jc w:val="left"/>
        <w:sectPr>
          <w:pgSz w:w="11906" w:h="16838"/>
          <w:pgMar w:top="2098" w:right="1474" w:bottom="1985" w:left="1588" w:header="851" w:footer="992" w:gutter="0"/>
          <w:pgNumType w:start="0"/>
          <w:cols w:space="425" w:num="1"/>
          <w:titlePg/>
          <w:docGrid w:type="lines" w:linePitch="312" w:charSpace="0"/>
        </w:sectPr>
      </w:pPr>
    </w:p>
    <w:p>
      <w:pPr>
        <w:spacing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sz w:val="32"/>
          <w:szCs w:val="32"/>
        </w:rPr>
      </w:pPr>
      <w:r>
        <w:rPr>
          <w:rFonts w:hint="eastAsia"/>
          <w:sz w:val="32"/>
          <w:szCs w:val="32"/>
        </w:rPr>
        <w:t>（见附件）</w:t>
      </w:r>
    </w:p>
    <w:p>
      <w:pPr>
        <w:widowControl/>
        <w:spacing w:after="0" w:line="560" w:lineRule="exact"/>
        <w:rPr>
          <w:rFonts w:ascii="仿宋_GB2312" w:hAnsi="宋体" w:eastAsia="仿宋_GB2312"/>
          <w:b/>
          <w:sz w:val="28"/>
          <w:szCs w:val="28"/>
          <w:highlight w:val="yellow"/>
        </w:rPr>
      </w:pP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after="0" w:line="560" w:lineRule="exact"/>
        <w:rPr>
          <w:rFonts w:ascii="仿宋_GB2312" w:hAnsi="宋体" w:eastAsia="仿宋_GB2312"/>
          <w:b/>
          <w:sz w:val="28"/>
          <w:szCs w:val="28"/>
          <w:highlight w:val="yellow"/>
        </w:rPr>
      </w:pPr>
    </w:p>
    <w:p>
      <w:pPr>
        <w:widowControl/>
        <w:spacing w:after="0" w:line="560" w:lineRule="exact"/>
        <w:sectPr>
          <w:pgSz w:w="11906" w:h="16838"/>
          <w:pgMar w:top="720" w:right="720" w:bottom="720" w:left="720" w:header="851" w:footer="992" w:gutter="0"/>
          <w:cols w:space="425" w:num="1"/>
          <w:docGrid w:type="lines" w:linePitch="312" w:charSpace="0"/>
        </w:sectPr>
      </w:pPr>
    </w:p>
    <w:p>
      <w:pPr>
        <w:autoSpaceDE w:val="0"/>
        <w:autoSpaceDN w:val="0"/>
        <w:adjustRightInd w:val="0"/>
        <w:spacing w:line="560" w:lineRule="exact"/>
        <w:jc w:val="left"/>
        <w:rPr>
          <w:rFonts w:ascii="宋体" w:hAnsi="宋体" w:eastAsia="宋体" w:cs="黑体"/>
          <w:b/>
          <w:color w:val="FF0000"/>
          <w:kern w:val="0"/>
          <w:sz w:val="44"/>
          <w:szCs w:val="44"/>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0.22万元，本年收入1704.01万元；本年支出1416.44万元、年末结转287.79万元。与2016年度决算相比，本年收入增加531.35万元，增长45.3%，主要是项目支出增加；本年支出增加244万元，增长20.8%，主要是项目支出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本部门2017年度本年收入合计1704.01万元，其中：财政拨款收入1704.01万元，占100%。</w:t>
      </w:r>
      <w:r>
        <w:rPr>
          <w:rFonts w:hint="eastAsia" w:ascii="仿宋_GB2312" w:eastAsia="仿宋_GB2312" w:cs="DengXian-Regular"/>
          <w:sz w:val="32"/>
          <w:szCs w:val="32"/>
          <w:lang w:val="en-US" w:eastAsia="zh-CN"/>
        </w:rPr>
        <w:t>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6" gain="65536f" blacklevel="0f" gamma="0" o:title=""/>
            <o:lock v:ext="edit" position="f" selection="f" grouping="f" rotation="f" cropping="f" text="f" aspectratio="t"/>
            <w10:wrap type="none"/>
            <w10:anchorlock/>
          </v:shape>
        </w:pic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本部门2017年度本年支出合计1416.44万元，其中：基本支出649.28万元，占45.8%；项目支出767.16万元，占54.2%。</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如图所示：</w:t>
      </w:r>
    </w:p>
    <w:p>
      <w:pPr>
        <w:adjustRightInd w:val="0"/>
        <w:snapToGrid w:val="0"/>
        <w:spacing w:after="0" w:line="240" w:lineRule="auto"/>
        <w:ind w:firstLine="0" w:firstLine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adjustRightInd w:val="0"/>
        <w:snapToGrid w:val="0"/>
        <w:spacing w:after="0" w:line="240" w:lineRule="auto"/>
        <w:ind w:firstLine="0" w:firstLineChars="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7"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0.22万元、本年收入1704.01万元；本年支出1416.44万元、年末结转和结余287.79万元。与2016年度决算相比，一般公共预算财政拨款本年收入增加531.35万元，增长45.3%，主要是项目支出增加；本年支出增加244万元，增长20.8%，主要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0.22万元、本年收入1704.01万元；本年支出1416.44万元、年末结转和结余287.79万元。与2016年度决算相比，一般公共预算财政拨款本年收入增加531.35万元，增长45.3%，主要是项目支出增加；本年支出增加244万元，增长20.8%，主要是项目支出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本部门2017年度一般公共预算财政拨款本年收入较2017年初预算增加591.17万元，增长53.12%，主要是项目支出增加；本年支出增加303.6万元，增长27.28%，主要是项目支出增加。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其中，本部门2017年度一般公共预算财政拨款本年收入较2017年初预算增加591.17万元，增长53.12%，主要是项目支出增加；本年支出增加303.6万元，增长27.28%，主要是项目支出增加。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“三公”经费支出，较年初预算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因公出国（境）费支出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公务用车购置及运行维护费</w:t>
      </w:r>
      <w:r>
        <w:rPr>
          <w:rFonts w:hint="eastAsia" w:ascii="仿宋_GB2312" w:eastAsia="仿宋_GB2312" w:cs="DengXian-Regular"/>
          <w:sz w:val="32"/>
          <w:szCs w:val="32"/>
          <w:lang w:eastAsia="zh-CN"/>
        </w:rPr>
        <w:t>，</w:t>
      </w:r>
      <w:r>
        <w:rPr>
          <w:rFonts w:hint="eastAsia" w:ascii="仿宋_GB2312" w:eastAsia="仿宋_GB2312" w:cs="DengXian-Regular"/>
          <w:sz w:val="32"/>
          <w:szCs w:val="32"/>
        </w:rPr>
        <w:t>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w:t>
      </w:r>
      <w:r>
        <w:rPr>
          <w:rFonts w:hint="eastAsia" w:ascii="仿宋_GB2312" w:eastAsia="仿宋_GB2312" w:cs="DengXian-Regular"/>
          <w:sz w:val="32"/>
          <w:szCs w:val="32"/>
          <w:lang w:val="en-US" w:eastAsia="zh-CN"/>
        </w:rPr>
        <w:t>决算无增减变化</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发生“公务用车购置”经费支</w:t>
      </w:r>
      <w:r>
        <w:rPr>
          <w:rFonts w:hint="eastAsia" w:ascii="仿宋_GB2312" w:eastAsia="仿宋_GB2312" w:cs="DengXian-Regular"/>
          <w:sz w:val="32"/>
          <w:szCs w:val="32"/>
          <w:lang w:val="en-US" w:eastAsia="zh-CN"/>
        </w:rPr>
        <w:t>出</w:t>
      </w:r>
      <w:r>
        <w:rPr>
          <w:rFonts w:hint="eastAsia" w:ascii="仿宋_GB2312" w:eastAsia="仿宋_GB2312" w:cs="DengXian-Regular"/>
          <w:sz w:val="32"/>
          <w:szCs w:val="32"/>
        </w:rPr>
        <w:t>。公务用车购置费支出较年初预算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公车运行维护费支出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公务接待费支出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eastAsia="仿宋_GB2312" w:cs="DengXian-Regular"/>
          <w:sz w:val="32"/>
          <w:szCs w:val="32"/>
          <w:lang w:val="en-US" w:eastAsia="zh-CN"/>
        </w:rPr>
        <w:t>道路划线工程、信号灯及抓拍设备购置</w:t>
      </w:r>
      <w:r>
        <w:rPr>
          <w:rFonts w:hint="eastAsia" w:ascii="仿宋_GB2312" w:eastAsia="仿宋_GB2312" w:cs="DengXian-Regular"/>
          <w:sz w:val="32"/>
          <w:szCs w:val="32"/>
          <w:lang w:eastAsia="zh-CN"/>
        </w:rPr>
        <w:t>等</w:t>
      </w:r>
      <w:r>
        <w:rPr>
          <w:rFonts w:hint="eastAsia" w:ascii="仿宋_GB2312" w:eastAsia="仿宋_GB2312" w:cs="DengXian-Regular"/>
          <w:sz w:val="32"/>
          <w:szCs w:val="32"/>
          <w:lang w:val="en-US" w:eastAsia="zh-CN"/>
        </w:rPr>
        <w:t>二</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项目，涉及资金</w:t>
      </w:r>
      <w:r>
        <w:rPr>
          <w:rFonts w:hint="eastAsia" w:ascii="仿宋_GB2312" w:eastAsia="仿宋_GB2312" w:cs="DengXian-Regular"/>
          <w:sz w:val="32"/>
          <w:szCs w:val="32"/>
          <w:lang w:val="en-US" w:eastAsia="zh-CN"/>
        </w:rPr>
        <w:t>288</w:t>
      </w:r>
      <w:r>
        <w:rPr>
          <w:rFonts w:hint="eastAsia" w:ascii="仿宋_GB2312" w:eastAsia="仿宋_GB2312" w:cs="DengXian-Regular"/>
          <w:sz w:val="32"/>
          <w:szCs w:val="32"/>
        </w:rPr>
        <w:t>万元，自评结果为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pPr>
      <w:r>
        <w:rPr>
          <w:rFonts w:hint="eastAsia" w:ascii="仿宋_GB2312" w:eastAsia="仿宋_GB2312" w:cs="DengXian-Regular"/>
          <w:sz w:val="32"/>
          <w:szCs w:val="32"/>
        </w:rPr>
        <w:t>    本单位</w:t>
      </w:r>
      <w:r>
        <w:rPr>
          <w:rFonts w:hint="eastAsia" w:ascii="仿宋_GB2312" w:eastAsia="仿宋_GB2312" w:cs="DengXian-Regular"/>
          <w:sz w:val="32"/>
          <w:szCs w:val="32"/>
          <w:lang w:val="en-US" w:eastAsia="zh-CN"/>
        </w:rPr>
        <w:t>道路划线工程</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val="en-US" w:eastAsia="zh-CN"/>
        </w:rPr>
        <w:t>道路划线工程</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110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完成预算的100%</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val="en-US" w:eastAsia="zh-CN"/>
        </w:rPr>
        <w:t>信号灯及抓拍设备购置</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val="en-US" w:eastAsia="zh-CN"/>
        </w:rPr>
        <w:t>信号灯及抓拍设备购置</w:t>
      </w:r>
      <w:r>
        <w:rPr>
          <w:rFonts w:hint="eastAsia" w:ascii="仿宋_GB2312" w:eastAsia="仿宋_GB2312" w:cs="DengXian-Regular"/>
          <w:sz w:val="32"/>
          <w:szCs w:val="32"/>
        </w:rPr>
        <w:t>项目项目自评结果为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178</w:t>
      </w:r>
      <w:r>
        <w:rPr>
          <w:rFonts w:hint="eastAsia" w:ascii="仿宋_GB2312" w:eastAsia="仿宋_GB2312" w:cs="DengXian-Regular"/>
          <w:sz w:val="32"/>
          <w:szCs w:val="32"/>
        </w:rPr>
        <w:t>万元。完成预算的100%。</w:t>
      </w:r>
    </w:p>
    <w:p>
      <w:pPr>
        <w:pStyle w:val="3"/>
        <w:spacing w:before="0" w:after="0" w:line="560" w:lineRule="exact"/>
        <w:ind w:firstLine="643" w:firstLineChars="200"/>
        <w:rPr>
          <w:rFonts w:hint="eastAsia" w:ascii="黑体" w:eastAsia="黑体" w:cs="Times New Roman"/>
        </w:rPr>
      </w:pP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本部门2017年度机关运行经费支出405.16万元，比2016年度减少445.24万元，降低52.36%，主要是大力压减开支。</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本部门2017年度政府采购支出总额462.64万元，其中：政府采购货物支出462.64万元、政府采购工程支出0万元、政府采购服务支出0万元。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截至2017年12月31日，本部门共有车辆15辆，其中，市级领导干部用车0辆、一般公务用车0辆、一般执法执勤用车15辆、特种专业技术用车0辆、其他用车0辆；单位价值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w:t>
      </w:r>
      <w:r>
        <w:rPr>
          <w:rFonts w:eastAsia="仿宋_GB2312"/>
          <w:sz w:val="32"/>
          <w:szCs w:val="32"/>
        </w:rPr>
        <w:t>政府性基金预算财政拨款收入支出决算表</w:t>
      </w:r>
      <w:r>
        <w:rPr>
          <w:rFonts w:hint="eastAsia" w:ascii="仿宋_GB2312" w:eastAsia="仿宋_GB2312" w:cs="DengXian-Regular"/>
          <w:sz w:val="32"/>
          <w:szCs w:val="32"/>
        </w:rPr>
        <w:t>无收支及结转结余情况，故表以</w:t>
      </w:r>
      <w:r>
        <w:rPr>
          <w:rFonts w:eastAsia="仿宋_GB2312"/>
          <w:sz w:val="32"/>
          <w:szCs w:val="32"/>
        </w:rPr>
        <w:t>政府性基金预算财政拨款收入支出决算表</w:t>
      </w:r>
      <w:r>
        <w:rPr>
          <w:rFonts w:hint="eastAsia" w:ascii="仿宋_GB2312" w:eastAsia="仿宋_GB2312" w:cs="DengXian-Regular"/>
          <w:sz w:val="32"/>
          <w:szCs w:val="32"/>
        </w:rPr>
        <w:t>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微软雅黑">
    <w:panose1 w:val="020B0503020204020204"/>
    <w:charset w:val="86"/>
    <w:family w:val="auto"/>
    <w:pitch w:val="default"/>
    <w:sig w:usb0="80000287" w:usb1="2ACF3C50" w:usb2="00000016" w:usb3="00000000" w:csb0="0004001F"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japaneseCounting"/>
      <w:lvlText w:val="%1、"/>
      <w:lvlJc w:val="left"/>
      <w:pPr>
        <w:ind w:left="1318" w:hanging="675"/>
      </w:pPr>
      <w:rPr>
        <w:rFonts w:hint="default"/>
      </w:r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1A75016"/>
    <w:rsid w:val="1EC57011"/>
    <w:rsid w:val="48351E2F"/>
    <w:rsid w:val="5CC938C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numPr>
        <w:ilvl w:val="0"/>
        <w:numId w:val="0"/>
      </w:numPr>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paragraph" w:customStyle="1" w:styleId="16">
    <w:name w:val="批注框文本1"/>
    <w:basedOn w:val="1"/>
    <w:link w:val="17"/>
    <w:uiPriority w:val="0"/>
    <w:rPr>
      <w:rFonts w:ascii="Times New Roman" w:hAnsi="Times New Roman" w:eastAsia="宋体" w:cs="Times New Roman"/>
      <w:sz w:val="18"/>
      <w:szCs w:val="18"/>
    </w:rPr>
  </w:style>
  <w:style w:type="character" w:customStyle="1" w:styleId="17">
    <w:name w:val="批注框文本 Char"/>
    <w:basedOn w:val="11"/>
    <w:link w:val="16"/>
    <w:semiHidden/>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uiPriority w:val="0"/>
    <w:rPr>
      <w:sz w:val="18"/>
      <w:szCs w:val="18"/>
    </w:rPr>
  </w:style>
  <w:style w:type="character" w:customStyle="1" w:styleId="20">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uiPriority w:val="0"/>
    <w:rPr>
      <w:rFonts w:ascii="Calibri" w:hAnsi="Calibri" w:eastAsia="宋体" w:cs="黑体"/>
      <w:color w:val="392B23"/>
      <w:spacing w:val="5"/>
      <w:kern w:val="28"/>
      <w:sz w:val="52"/>
      <w:szCs w:val="52"/>
    </w:rPr>
  </w:style>
  <w:style w:type="paragraph" w:customStyle="1" w:styleId="22">
    <w:name w:val="No Spacing"/>
    <w:link w:val="24"/>
    <w:uiPriority w:val="0"/>
    <w:rPr>
      <w:rFonts w:ascii="Times New Roman" w:hAnsi="Times New Roman" w:eastAsia="宋体" w:cs="Times New Roman"/>
      <w:kern w:val="0"/>
      <w:sz w:val="22"/>
      <w:lang w:val="en-US" w:eastAsia="zh-CN" w:bidi="ar-SA"/>
    </w:rPr>
  </w:style>
  <w:style w:type="paragraph" w:customStyle="1" w:styleId="23">
    <w:name w:val="List Paragraph"/>
    <w:basedOn w:val="1"/>
    <w:uiPriority w:val="0"/>
    <w:pPr>
      <w:ind w:firstLine="420" w:firstLineChars="200"/>
    </w:pPr>
  </w:style>
  <w:style w:type="character" w:customStyle="1" w:styleId="24">
    <w:name w:val="无间隔 Char"/>
    <w:basedOn w:val="11"/>
    <w:link w:val="22"/>
    <w:semiHidden/>
    <w:qFormat/>
    <w:uiPriority w:val="0"/>
    <w:rPr>
      <w:kern w:val="0"/>
      <w:sz w:val="22"/>
    </w:rPr>
  </w:style>
  <w:style w:type="character" w:customStyle="1" w:styleId="25">
    <w:name w:val="Style1"/>
    <w:basedOn w:val="11"/>
    <w:qFormat/>
    <w:uiPriority w:val="0"/>
    <w:rPr>
      <w:rFonts w:ascii="Cambria" w:hAnsi="黑体" w:eastAsia="黑体" w:cs="黑体"/>
      <w:sz w:val="22"/>
      <w:szCs w:val="22"/>
      <w:lang w:eastAsia="zh-CN"/>
    </w:rPr>
  </w:style>
  <w:style w:type="character" w:customStyle="1" w:styleId="26">
    <w:name w:val="Style2"/>
    <w:basedOn w:val="11"/>
    <w:qFormat/>
    <w:uiPriority w:val="0"/>
    <w:rPr>
      <w:rFonts w:ascii="Cambria" w:hAnsi="黑体" w:eastAsia="黑体" w:cs="黑体"/>
      <w:sz w:val="22"/>
      <w:szCs w:val="22"/>
      <w:lang w:eastAsia="zh-CN"/>
    </w:rPr>
  </w:style>
  <w:style w:type="character" w:customStyle="1" w:styleId="27">
    <w:name w:val="Style3"/>
    <w:basedOn w:val="11"/>
    <w:qFormat/>
    <w:uiPriority w:val="0"/>
    <w:rPr>
      <w:rFonts w:ascii="Cambria" w:hAnsi="黑体" w:eastAsia="黑体" w:cs="黑体"/>
      <w:szCs w:val="22"/>
      <w:lang w:eastAsia="zh-CN"/>
    </w:rPr>
  </w:style>
  <w:style w:type="character" w:customStyle="1" w:styleId="28">
    <w:name w:val="Style4"/>
    <w:basedOn w:val="11"/>
    <w:qFormat/>
    <w:uiPriority w:val="0"/>
    <w:rPr>
      <w:rFonts w:ascii="Cambria" w:hAnsi="黑体" w:eastAsia="黑体" w:cs="黑体"/>
      <w:szCs w:val="22"/>
      <w:lang w:eastAsia="zh-CN"/>
    </w:rPr>
  </w:style>
  <w:style w:type="character" w:customStyle="1" w:styleId="29">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14</Pages>
  <Words>721</Words>
  <Characters>4110</Characters>
  <Lines>34</Lines>
  <Paragraphs>9</Paragraphs>
  <TotalTime>7</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cp:lastModifiedBy>古德纽斯</cp:lastModifiedBy>
  <dcterms:modified xsi:type="dcterms:W3CDTF">2023-09-21T07:07:00Z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379B457AD6124D2FA94FF71C87B5103F</vt:lpwstr>
  </property>
</Properties>
</file>