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jc w:val="center"/>
        <w:rPr>
          <w:rFonts w:ascii="宋体" w:hAnsi="宋体" w:eastAsia="宋体" w:cs="Times New Roman"/>
          <w:szCs w:val="21"/>
        </w:rPr>
      </w:pPr>
      <w:bookmarkStart w:id="2" w:name="_GoBack"/>
      <w:bookmarkEnd w:id="2"/>
      <w:r>
        <w:rPr>
          <w:rFonts w:hint="eastAsia" w:ascii="宋体" w:hAnsi="宋体" w:eastAsia="宋体" w:cs="Times New Roman"/>
          <w:sz w:val="44"/>
          <w:szCs w:val="44"/>
        </w:rPr>
        <w:t>关于202</w:t>
      </w:r>
      <w:r>
        <w:rPr>
          <w:rFonts w:ascii="宋体" w:hAnsi="宋体" w:eastAsia="宋体" w:cs="Times New Roman"/>
          <w:sz w:val="44"/>
          <w:szCs w:val="44"/>
        </w:rPr>
        <w:t>2</w:t>
      </w:r>
      <w:r>
        <w:rPr>
          <w:rFonts w:hint="eastAsia" w:ascii="宋体" w:hAnsi="宋体" w:eastAsia="宋体" w:cs="Times New Roman"/>
          <w:sz w:val="44"/>
          <w:szCs w:val="44"/>
        </w:rPr>
        <w:t>年财政决算情况的报告</w:t>
      </w:r>
    </w:p>
    <w:p>
      <w:pPr>
        <w:adjustRightInd w:val="0"/>
        <w:snapToGrid w:val="0"/>
        <w:spacing w:line="560" w:lineRule="exact"/>
        <w:jc w:val="center"/>
        <w:rPr>
          <w:rFonts w:ascii="楷体_GB2312" w:hAnsi="Times New Roman" w:eastAsia="楷体_GB2312" w:cs="Times New Roman"/>
          <w:sz w:val="30"/>
          <w:szCs w:val="30"/>
        </w:rPr>
      </w:pPr>
      <w:r>
        <w:rPr>
          <w:rFonts w:hint="eastAsia" w:ascii="华文中宋" w:hAnsi="华文中宋" w:eastAsia="华文中宋" w:cs="Times New Roman"/>
          <w:sz w:val="32"/>
          <w:szCs w:val="32"/>
        </w:rPr>
        <w:t>—</w:t>
      </w:r>
      <w:r>
        <w:rPr>
          <w:rFonts w:hint="eastAsia" w:ascii="楷体_GB2312" w:hAnsi="华文中宋" w:eastAsia="楷体_GB2312" w:cs="Times New Roman"/>
          <w:sz w:val="30"/>
          <w:szCs w:val="30"/>
        </w:rPr>
        <w:t>202</w:t>
      </w:r>
      <w:r>
        <w:rPr>
          <w:rFonts w:ascii="楷体_GB2312" w:hAnsi="华文中宋" w:eastAsia="楷体_GB2312" w:cs="Times New Roman"/>
          <w:sz w:val="30"/>
          <w:szCs w:val="30"/>
        </w:rPr>
        <w:t>3</w:t>
      </w:r>
      <w:r>
        <w:rPr>
          <w:rFonts w:hint="eastAsia" w:ascii="楷体_GB2312" w:hAnsi="华文中宋" w:eastAsia="楷体_GB2312" w:cs="Times New Roman"/>
          <w:sz w:val="30"/>
          <w:szCs w:val="30"/>
        </w:rPr>
        <w:t>年9月26日</w:t>
      </w:r>
      <w:r>
        <w:rPr>
          <w:rFonts w:hint="eastAsia" w:ascii="楷体_GB2312" w:hAnsi="Times New Roman" w:eastAsia="楷体_GB2312" w:cs="Times New Roman"/>
          <w:sz w:val="30"/>
          <w:szCs w:val="30"/>
        </w:rPr>
        <w:t>在无极县第十七届人大常委会第十八次会议上</w:t>
      </w:r>
    </w:p>
    <w:p>
      <w:pPr>
        <w:adjustRightInd w:val="0"/>
        <w:snapToGrid w:val="0"/>
        <w:spacing w:line="560" w:lineRule="exact"/>
        <w:jc w:val="center"/>
        <w:rPr>
          <w:rFonts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财政局局长  刘亚飞</w:t>
      </w:r>
    </w:p>
    <w:p>
      <w:pPr>
        <w:adjustRightInd w:val="0"/>
        <w:snapToGrid w:val="0"/>
        <w:spacing w:line="560" w:lineRule="exact"/>
        <w:rPr>
          <w:rFonts w:ascii="仿宋_GB2312" w:hAnsi="楷体" w:eastAsia="仿宋_GB2312" w:cs="Times New Roman"/>
          <w:b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rPr>
          <w:rFonts w:ascii="仿宋_GB2312" w:hAnsi="仿宋" w:eastAsia="仿宋_GB2312" w:cs="Times New Roman"/>
          <w:kern w:val="0"/>
          <w:sz w:val="32"/>
          <w:szCs w:val="32"/>
        </w:rPr>
      </w:pPr>
      <w:r>
        <w:rPr>
          <w:rFonts w:hint="eastAsia" w:ascii="仿宋_GB2312" w:hAnsi="仿宋" w:eastAsia="仿宋_GB2312" w:cs="Times New Roman"/>
          <w:kern w:val="0"/>
          <w:sz w:val="32"/>
          <w:szCs w:val="32"/>
        </w:rPr>
        <w:t>各位主任、各位代表：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hAnsi="仿宋" w:eastAsia="仿宋_GB2312" w:cs="Times New Roman"/>
          <w:kern w:val="32"/>
          <w:sz w:val="32"/>
          <w:szCs w:val="32"/>
        </w:rPr>
      </w:pPr>
      <w:r>
        <w:rPr>
          <w:rFonts w:hint="eastAsia" w:ascii="仿宋_GB2312" w:hAnsi="Times New Roman" w:eastAsia="仿宋_GB2312" w:cs="Times New Roman"/>
          <w:bCs/>
          <w:sz w:val="32"/>
          <w:szCs w:val="32"/>
        </w:rPr>
        <w:t>县十七届人大第三次会议审查批准了《关于2022年财政预算执行情况及2023年财政预算草案的报告》。现在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2022年财政决算草案已经汇编完成。先将有关情况报告如下：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hAnsi="仿宋" w:eastAsia="仿宋_GB2312" w:cs="Times New Roman"/>
          <w:kern w:val="32"/>
          <w:sz w:val="32"/>
          <w:szCs w:val="32"/>
        </w:rPr>
      </w:pP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2022年是党的二十大胜利召开之年，也是无极奋进“十四五”、推进现代化建设的重要一年。今年以来，财政部门认真贯彻“疫情要防住、经济要稳住、发展要安全”的重要要求，始终坚持以习近平新时代中国特色社会主义思想为指导，深入落实县委、县政府决策部署，坚持解放思想、真抓实干，高效统筹常态化疫情防控和经济社会发展，积极发挥财政职能作用，全力推动各项政策举措落地落实，全县财政运行在多重压力下保持总体平稳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bCs/>
          <w:kern w:val="32"/>
          <w:sz w:val="32"/>
          <w:szCs w:val="32"/>
        </w:rPr>
      </w:pPr>
      <w:r>
        <w:rPr>
          <w:rFonts w:hint="eastAsia" w:ascii="黑体" w:hAnsi="黑体" w:eastAsia="黑体" w:cs="黑体"/>
          <w:bCs/>
          <w:kern w:val="32"/>
          <w:sz w:val="32"/>
          <w:szCs w:val="32"/>
        </w:rPr>
        <w:t>一、“四本”预算收支决算情况</w:t>
      </w:r>
    </w:p>
    <w:p>
      <w:pPr>
        <w:spacing w:line="560" w:lineRule="exact"/>
        <w:ind w:firstLine="643" w:firstLineChars="200"/>
        <w:rPr>
          <w:rFonts w:ascii="仿宋_GB2312" w:hAnsi="仿宋" w:eastAsia="仿宋_GB2312" w:cs="仿宋"/>
          <w:b/>
          <w:bCs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z w:val="32"/>
          <w:szCs w:val="32"/>
        </w:rPr>
        <w:t>1、一般公共预算收支决算情况</w:t>
      </w:r>
    </w:p>
    <w:p>
      <w:pPr>
        <w:spacing w:line="60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2022年全部财政收入完成178658万元，同比增收49624万元，增长37%。其中一般公共预算收入完成101103万元（不包含津石高速缴纳耕地开垦费37264万元），突破10亿元大关，占年初任务的102.1%,同比增收9473万元，增长10.3%</w:t>
      </w:r>
      <w:r>
        <w:rPr>
          <w:rFonts w:hint="eastAsia" w:ascii="仿宋_GB2312" w:hAnsi="仿宋" w:eastAsia="仿宋_GB2312" w:cs="仿宋"/>
          <w:sz w:val="32"/>
          <w:szCs w:val="32"/>
        </w:rPr>
        <w:t>。其中税收收入完成</w:t>
      </w:r>
      <w:r>
        <w:rPr>
          <w:rFonts w:ascii="仿宋_GB2312" w:hAnsi="仿宋" w:eastAsia="仿宋_GB2312" w:cs="仿宋"/>
          <w:sz w:val="32"/>
          <w:szCs w:val="32"/>
        </w:rPr>
        <w:t>548</w:t>
      </w:r>
      <w:r>
        <w:rPr>
          <w:rFonts w:hint="eastAsia" w:ascii="仿宋_GB2312" w:hAnsi="仿宋" w:eastAsia="仿宋_GB2312" w:cs="仿宋"/>
          <w:sz w:val="32"/>
          <w:szCs w:val="32"/>
        </w:rPr>
        <w:t>49万元，占预算的106.5%，同比增收</w:t>
      </w:r>
      <w:r>
        <w:rPr>
          <w:rFonts w:ascii="仿宋_GB2312" w:hAnsi="仿宋" w:eastAsia="仿宋_GB2312" w:cs="仿宋"/>
          <w:sz w:val="32"/>
          <w:szCs w:val="32"/>
        </w:rPr>
        <w:t>8819</w:t>
      </w:r>
      <w:r>
        <w:rPr>
          <w:rFonts w:hint="eastAsia" w:ascii="仿宋_GB2312" w:hAnsi="仿宋" w:eastAsia="仿宋_GB2312" w:cs="仿宋"/>
          <w:sz w:val="32"/>
          <w:szCs w:val="32"/>
        </w:rPr>
        <w:t>万元，增长</w:t>
      </w:r>
      <w:r>
        <w:rPr>
          <w:rFonts w:ascii="仿宋_GB2312" w:hAnsi="仿宋" w:eastAsia="仿宋_GB2312" w:cs="仿宋"/>
          <w:sz w:val="32"/>
          <w:szCs w:val="32"/>
        </w:rPr>
        <w:t>19.2</w:t>
      </w:r>
      <w:r>
        <w:rPr>
          <w:rFonts w:hint="eastAsia" w:ascii="仿宋_GB2312" w:hAnsi="仿宋" w:eastAsia="仿宋_GB2312" w:cs="仿宋"/>
          <w:sz w:val="32"/>
          <w:szCs w:val="32"/>
        </w:rPr>
        <w:t>%，主要是和土地相关的房产税、城镇土地使用税、土地增值税以及契税增加较多；非税收入完成</w:t>
      </w:r>
      <w:r>
        <w:rPr>
          <w:rFonts w:hint="eastAsia" w:ascii="仿宋_GB2312" w:hAnsi="仿宋" w:eastAsia="仿宋_GB2312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46254</w:t>
      </w:r>
      <w:r>
        <w:rPr>
          <w:rFonts w:hint="eastAsia" w:ascii="仿宋_GB2312" w:hAnsi="仿宋" w:eastAsia="仿宋_GB2312" w:cs="仿宋"/>
          <w:sz w:val="32"/>
          <w:szCs w:val="32"/>
        </w:rPr>
        <w:t>万元，占年初预算的97.4%，同比增收654万元，增长1.4%。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全县一般公共预算收入，加上上级补助收入187727万元、地方政府一般债券转贷收入</w:t>
      </w:r>
      <w:r>
        <w:rPr>
          <w:rFonts w:ascii="仿宋_GB2312" w:hAnsi="仿宋" w:eastAsia="仿宋_GB2312" w:cs="仿宋"/>
          <w:sz w:val="32"/>
          <w:szCs w:val="32"/>
        </w:rPr>
        <w:t>16500</w:t>
      </w:r>
      <w:r>
        <w:rPr>
          <w:rFonts w:hint="eastAsia" w:ascii="仿宋_GB2312" w:hAnsi="仿宋" w:eastAsia="仿宋_GB2312" w:cs="仿宋"/>
          <w:sz w:val="32"/>
          <w:szCs w:val="32"/>
        </w:rPr>
        <w:t>万元、调入资金</w:t>
      </w:r>
      <w:r>
        <w:rPr>
          <w:rFonts w:ascii="仿宋_GB2312" w:hAnsi="仿宋" w:eastAsia="仿宋_GB2312" w:cs="仿宋"/>
          <w:sz w:val="32"/>
          <w:szCs w:val="32"/>
        </w:rPr>
        <w:t>67752</w:t>
      </w:r>
      <w:r>
        <w:rPr>
          <w:rFonts w:hint="eastAsia" w:ascii="仿宋_GB2312" w:hAnsi="仿宋" w:eastAsia="仿宋_GB2312" w:cs="仿宋"/>
          <w:sz w:val="32"/>
          <w:szCs w:val="32"/>
        </w:rPr>
        <w:t>万元、动用预算稳定调节基金</w:t>
      </w:r>
      <w:r>
        <w:rPr>
          <w:rFonts w:ascii="仿宋_GB2312" w:hAnsi="仿宋" w:eastAsia="仿宋_GB2312" w:cs="仿宋"/>
          <w:sz w:val="32"/>
          <w:szCs w:val="32"/>
        </w:rPr>
        <w:t>2500</w:t>
      </w:r>
      <w:r>
        <w:rPr>
          <w:rFonts w:hint="eastAsia" w:ascii="仿宋_GB2312" w:hAnsi="仿宋" w:eastAsia="仿宋_GB2312" w:cs="仿宋"/>
          <w:sz w:val="32"/>
          <w:szCs w:val="32"/>
        </w:rPr>
        <w:t>万元、上年结余</w:t>
      </w:r>
      <w:r>
        <w:rPr>
          <w:rFonts w:ascii="仿宋_GB2312" w:hAnsi="仿宋" w:eastAsia="仿宋_GB2312" w:cs="仿宋"/>
          <w:sz w:val="32"/>
          <w:szCs w:val="32"/>
        </w:rPr>
        <w:t>5572</w:t>
      </w:r>
      <w:r>
        <w:rPr>
          <w:rFonts w:hint="eastAsia" w:ascii="仿宋_GB2312" w:hAnsi="仿宋" w:eastAsia="仿宋_GB2312" w:cs="仿宋"/>
          <w:sz w:val="32"/>
          <w:szCs w:val="32"/>
        </w:rPr>
        <w:t>万元，收入总计418418万元。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全县一般公共预算支出</w:t>
      </w:r>
      <w:r>
        <w:rPr>
          <w:rFonts w:ascii="仿宋_GB2312" w:hAnsi="仿宋" w:eastAsia="仿宋_GB2312" w:cs="仿宋"/>
          <w:sz w:val="32"/>
          <w:szCs w:val="32"/>
        </w:rPr>
        <w:t>3</w:t>
      </w:r>
      <w:r>
        <w:rPr>
          <w:rFonts w:hint="eastAsia" w:ascii="仿宋_GB2312" w:hAnsi="仿宋" w:eastAsia="仿宋_GB2312" w:cs="仿宋"/>
          <w:sz w:val="32"/>
          <w:szCs w:val="32"/>
        </w:rPr>
        <w:t>9</w:t>
      </w:r>
      <w:r>
        <w:rPr>
          <w:rFonts w:ascii="仿宋_GB2312" w:hAnsi="仿宋" w:eastAsia="仿宋_GB2312" w:cs="仿宋"/>
          <w:sz w:val="32"/>
          <w:szCs w:val="32"/>
        </w:rPr>
        <w:t>8595</w:t>
      </w:r>
      <w:r>
        <w:rPr>
          <w:rFonts w:hint="eastAsia" w:ascii="仿宋_GB2312" w:hAnsi="仿宋" w:eastAsia="仿宋_GB2312" w:cs="仿宋"/>
          <w:sz w:val="32"/>
          <w:szCs w:val="32"/>
        </w:rPr>
        <w:t>万元，为调整预算的96.98%，同比增支63312万元，增长18.88%。主要支出大类分别为：一般公共服务支出</w:t>
      </w:r>
      <w:r>
        <w:rPr>
          <w:rFonts w:ascii="仿宋_GB2312" w:hAnsi="仿宋" w:eastAsia="仿宋_GB2312" w:cs="仿宋"/>
          <w:sz w:val="32"/>
          <w:szCs w:val="32"/>
        </w:rPr>
        <w:t>54622</w:t>
      </w:r>
      <w:r>
        <w:rPr>
          <w:rFonts w:hint="eastAsia" w:ascii="仿宋_GB2312" w:hAnsi="仿宋" w:eastAsia="仿宋_GB2312" w:cs="仿宋"/>
          <w:sz w:val="32"/>
          <w:szCs w:val="32"/>
        </w:rPr>
        <w:t>万元；公共安全支出</w:t>
      </w:r>
      <w:r>
        <w:rPr>
          <w:rFonts w:ascii="仿宋_GB2312" w:hAnsi="仿宋" w:eastAsia="仿宋_GB2312" w:cs="仿宋"/>
          <w:sz w:val="32"/>
          <w:szCs w:val="32"/>
        </w:rPr>
        <w:t>11920</w:t>
      </w:r>
      <w:r>
        <w:rPr>
          <w:rFonts w:hint="eastAsia" w:ascii="仿宋_GB2312" w:hAnsi="仿宋" w:eastAsia="仿宋_GB2312" w:cs="仿宋"/>
          <w:sz w:val="32"/>
          <w:szCs w:val="32"/>
        </w:rPr>
        <w:t>万元；教育支出</w:t>
      </w:r>
      <w:r>
        <w:rPr>
          <w:rFonts w:ascii="仿宋_GB2312" w:hAnsi="仿宋" w:eastAsia="仿宋_GB2312" w:cs="仿宋"/>
          <w:sz w:val="32"/>
          <w:szCs w:val="32"/>
        </w:rPr>
        <w:t>67768</w:t>
      </w:r>
      <w:r>
        <w:rPr>
          <w:rFonts w:hint="eastAsia" w:ascii="仿宋_GB2312" w:hAnsi="仿宋" w:eastAsia="仿宋_GB2312" w:cs="仿宋"/>
          <w:sz w:val="32"/>
          <w:szCs w:val="32"/>
        </w:rPr>
        <w:t>万元；社会保障和就业支出</w:t>
      </w:r>
      <w:r>
        <w:rPr>
          <w:rFonts w:ascii="仿宋_GB2312" w:hAnsi="仿宋" w:eastAsia="仿宋_GB2312" w:cs="仿宋"/>
          <w:sz w:val="32"/>
          <w:szCs w:val="32"/>
        </w:rPr>
        <w:t>46788</w:t>
      </w:r>
      <w:r>
        <w:rPr>
          <w:rFonts w:hint="eastAsia" w:ascii="仿宋_GB2312" w:hAnsi="仿宋" w:eastAsia="仿宋_GB2312" w:cs="仿宋"/>
          <w:sz w:val="32"/>
          <w:szCs w:val="32"/>
        </w:rPr>
        <w:t>万元；卫生健康支出</w:t>
      </w:r>
      <w:r>
        <w:rPr>
          <w:rFonts w:ascii="仿宋_GB2312" w:hAnsi="仿宋" w:eastAsia="仿宋_GB2312" w:cs="仿宋"/>
          <w:sz w:val="32"/>
          <w:szCs w:val="32"/>
        </w:rPr>
        <w:t>27292</w:t>
      </w:r>
      <w:r>
        <w:rPr>
          <w:rFonts w:hint="eastAsia" w:ascii="仿宋_GB2312" w:hAnsi="仿宋" w:eastAsia="仿宋_GB2312" w:cs="仿宋"/>
          <w:sz w:val="32"/>
          <w:szCs w:val="32"/>
        </w:rPr>
        <w:t>万元；节能环保支出</w:t>
      </w:r>
      <w:r>
        <w:rPr>
          <w:rFonts w:ascii="仿宋_GB2312" w:hAnsi="仿宋" w:eastAsia="仿宋_GB2312" w:cs="仿宋"/>
          <w:sz w:val="32"/>
          <w:szCs w:val="32"/>
        </w:rPr>
        <w:t>13734</w:t>
      </w:r>
      <w:r>
        <w:rPr>
          <w:rFonts w:hint="eastAsia" w:ascii="仿宋_GB2312" w:hAnsi="仿宋" w:eastAsia="仿宋_GB2312" w:cs="仿宋"/>
          <w:sz w:val="32"/>
          <w:szCs w:val="32"/>
        </w:rPr>
        <w:t>万元；城乡社区支出</w:t>
      </w:r>
      <w:r>
        <w:rPr>
          <w:rFonts w:ascii="仿宋_GB2312" w:hAnsi="仿宋" w:eastAsia="仿宋_GB2312" w:cs="仿宋"/>
          <w:sz w:val="32"/>
          <w:szCs w:val="32"/>
        </w:rPr>
        <w:t>90081</w:t>
      </w:r>
      <w:r>
        <w:rPr>
          <w:rFonts w:hint="eastAsia" w:ascii="仿宋_GB2312" w:hAnsi="仿宋" w:eastAsia="仿宋_GB2312" w:cs="仿宋"/>
          <w:sz w:val="32"/>
          <w:szCs w:val="32"/>
        </w:rPr>
        <w:t>万元；农林水支出</w:t>
      </w:r>
      <w:r>
        <w:rPr>
          <w:rFonts w:ascii="仿宋_GB2312" w:hAnsi="仿宋" w:eastAsia="仿宋_GB2312" w:cs="仿宋"/>
          <w:sz w:val="32"/>
          <w:szCs w:val="32"/>
        </w:rPr>
        <w:t>40436</w:t>
      </w:r>
      <w:r>
        <w:rPr>
          <w:rFonts w:hint="eastAsia" w:ascii="仿宋_GB2312" w:hAnsi="仿宋" w:eastAsia="仿宋_GB2312" w:cs="仿宋"/>
          <w:sz w:val="32"/>
          <w:szCs w:val="32"/>
        </w:rPr>
        <w:t>万元；交通运输支出</w:t>
      </w:r>
      <w:r>
        <w:rPr>
          <w:rFonts w:ascii="仿宋_GB2312" w:hAnsi="仿宋" w:eastAsia="仿宋_GB2312" w:cs="仿宋"/>
          <w:sz w:val="32"/>
          <w:szCs w:val="32"/>
        </w:rPr>
        <w:t>5986</w:t>
      </w:r>
      <w:r>
        <w:rPr>
          <w:rFonts w:hint="eastAsia" w:ascii="仿宋_GB2312" w:hAnsi="仿宋" w:eastAsia="仿宋_GB2312" w:cs="仿宋"/>
          <w:sz w:val="32"/>
          <w:szCs w:val="32"/>
        </w:rPr>
        <w:t>万元；自然资源海洋气象等支出</w:t>
      </w:r>
      <w:r>
        <w:rPr>
          <w:rFonts w:ascii="仿宋_GB2312" w:hAnsi="仿宋" w:eastAsia="仿宋_GB2312" w:cs="仿宋"/>
          <w:sz w:val="32"/>
          <w:szCs w:val="32"/>
        </w:rPr>
        <w:t>4574</w:t>
      </w:r>
      <w:r>
        <w:rPr>
          <w:rFonts w:hint="eastAsia" w:ascii="仿宋_GB2312" w:hAnsi="仿宋" w:eastAsia="仿宋_GB2312" w:cs="仿宋"/>
          <w:sz w:val="32"/>
          <w:szCs w:val="32"/>
        </w:rPr>
        <w:t>万元；住房保障支出</w:t>
      </w:r>
      <w:r>
        <w:rPr>
          <w:rFonts w:ascii="仿宋_GB2312" w:hAnsi="仿宋" w:eastAsia="仿宋_GB2312" w:cs="仿宋"/>
          <w:sz w:val="32"/>
          <w:szCs w:val="32"/>
        </w:rPr>
        <w:t>14779</w:t>
      </w:r>
      <w:r>
        <w:rPr>
          <w:rFonts w:hint="eastAsia" w:ascii="仿宋_GB2312" w:hAnsi="仿宋" w:eastAsia="仿宋_GB2312" w:cs="仿宋"/>
          <w:sz w:val="32"/>
          <w:szCs w:val="32"/>
        </w:rPr>
        <w:t>万元；债务付息支出</w:t>
      </w:r>
      <w:r>
        <w:rPr>
          <w:rFonts w:ascii="仿宋_GB2312" w:hAnsi="仿宋" w:eastAsia="仿宋_GB2312" w:cs="仿宋"/>
          <w:sz w:val="32"/>
          <w:szCs w:val="32"/>
        </w:rPr>
        <w:t>7331</w:t>
      </w:r>
      <w:r>
        <w:rPr>
          <w:rFonts w:hint="eastAsia" w:ascii="仿宋_GB2312" w:hAnsi="仿宋" w:eastAsia="仿宋_GB2312" w:cs="仿宋"/>
          <w:sz w:val="32"/>
          <w:szCs w:val="32"/>
        </w:rPr>
        <w:t>万元。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全县一般公共预算支出，加上上解上级支出-2083万元、调出资金5004万元、地方政府一般债务还本支出</w:t>
      </w:r>
      <w:r>
        <w:rPr>
          <w:rFonts w:ascii="仿宋_GB2312" w:hAnsi="仿宋" w:eastAsia="仿宋_GB2312" w:cs="仿宋"/>
          <w:sz w:val="32"/>
          <w:szCs w:val="32"/>
        </w:rPr>
        <w:t>2400</w:t>
      </w:r>
      <w:r>
        <w:rPr>
          <w:rFonts w:hint="eastAsia" w:ascii="仿宋_GB2312" w:hAnsi="仿宋" w:eastAsia="仿宋_GB2312" w:cs="仿宋"/>
          <w:sz w:val="32"/>
          <w:szCs w:val="32"/>
        </w:rPr>
        <w:t>万元、安排预算稳定调节基金2</w:t>
      </w:r>
      <w:r>
        <w:rPr>
          <w:rFonts w:ascii="仿宋_GB2312" w:hAnsi="仿宋" w:eastAsia="仿宋_GB2312" w:cs="仿宋"/>
          <w:sz w:val="32"/>
          <w:szCs w:val="32"/>
        </w:rPr>
        <w:t>103</w:t>
      </w:r>
      <w:r>
        <w:rPr>
          <w:rFonts w:hint="eastAsia" w:ascii="仿宋_GB2312" w:hAnsi="仿宋" w:eastAsia="仿宋_GB2312" w:cs="仿宋"/>
          <w:sz w:val="32"/>
          <w:szCs w:val="32"/>
        </w:rPr>
        <w:t>万元，支出总计406019万元。收支相抵后，按规定结转下年支出</w:t>
      </w:r>
      <w:r>
        <w:rPr>
          <w:rFonts w:ascii="仿宋_GB2312" w:hAnsi="仿宋" w:eastAsia="仿宋_GB2312" w:cs="仿宋"/>
          <w:sz w:val="32"/>
          <w:szCs w:val="32"/>
        </w:rPr>
        <w:t>12399</w:t>
      </w:r>
      <w:r>
        <w:rPr>
          <w:rFonts w:hint="eastAsia" w:ascii="仿宋_GB2312" w:hAnsi="仿宋" w:eastAsia="仿宋_GB2312" w:cs="仿宋"/>
          <w:sz w:val="32"/>
          <w:szCs w:val="32"/>
        </w:rPr>
        <w:t>万元。</w:t>
      </w:r>
    </w:p>
    <w:p>
      <w:pPr>
        <w:spacing w:line="560" w:lineRule="exact"/>
        <w:ind w:firstLine="643" w:firstLineChars="200"/>
        <w:rPr>
          <w:rFonts w:ascii="仿宋_GB2312" w:hAnsi="仿宋" w:eastAsia="仿宋_GB2312" w:cs="仿宋"/>
          <w:b/>
          <w:bCs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z w:val="32"/>
          <w:szCs w:val="32"/>
        </w:rPr>
        <w:t>2、政府性基金收支决算情况</w:t>
      </w:r>
    </w:p>
    <w:p>
      <w:pPr>
        <w:spacing w:line="600" w:lineRule="exact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2022年政府性基金收入完成74751万元，占调整预算的100%，其中土地出让收入73103万元；新增政府专项债券收入125200万元，专项债券再融资7500万元，补助资金</w:t>
      </w:r>
      <w:r>
        <w:rPr>
          <w:rFonts w:ascii="仿宋_GB2312" w:hAnsi="Times New Roman" w:eastAsia="仿宋_GB2312" w:cs="Times New Roman"/>
          <w:kern w:val="0"/>
          <w:sz w:val="32"/>
          <w:szCs w:val="32"/>
        </w:rPr>
        <w:t>4429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万元，上年结余35309万元，调入资金5004万元，全县政府性基金收入总计为252193万元。</w:t>
      </w:r>
    </w:p>
    <w:p>
      <w:pPr>
        <w:spacing w:line="600" w:lineRule="exact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政府性基金支出完成103436万元，其中国有土地使用权出让支出15888万元；调入一般公共预算54755万元；政府专项债券还本12100万元，支出总计</w:t>
      </w:r>
      <w:r>
        <w:rPr>
          <w:rFonts w:ascii="仿宋_GB2312" w:hAnsi="Times New Roman" w:eastAsia="仿宋_GB2312" w:cs="Times New Roman"/>
          <w:kern w:val="0"/>
          <w:sz w:val="32"/>
          <w:szCs w:val="32"/>
        </w:rPr>
        <w:t>为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170291万元。收支</w:t>
      </w:r>
      <w:r>
        <w:rPr>
          <w:rFonts w:ascii="仿宋_GB2312" w:hAnsi="Times New Roman" w:eastAsia="仿宋_GB2312" w:cs="Times New Roman"/>
          <w:kern w:val="0"/>
          <w:sz w:val="32"/>
          <w:szCs w:val="32"/>
        </w:rPr>
        <w:t>相抵后，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按</w:t>
      </w:r>
      <w:r>
        <w:rPr>
          <w:rFonts w:ascii="仿宋_GB2312" w:hAnsi="Times New Roman" w:eastAsia="仿宋_GB2312" w:cs="Times New Roman"/>
          <w:kern w:val="0"/>
          <w:sz w:val="32"/>
          <w:szCs w:val="32"/>
        </w:rPr>
        <w:t>规定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结转下年支出81902万元。</w:t>
      </w:r>
    </w:p>
    <w:p>
      <w:pPr>
        <w:spacing w:line="560" w:lineRule="exact"/>
        <w:ind w:firstLine="643" w:firstLineChars="200"/>
        <w:rPr>
          <w:rFonts w:ascii="仿宋_GB2312" w:hAnsi="仿宋" w:eastAsia="仿宋_GB2312" w:cs="仿宋"/>
          <w:b/>
          <w:bCs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z w:val="32"/>
          <w:szCs w:val="32"/>
        </w:rPr>
        <w:t>3、社会保险基金收支决算情况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全县收入完成38632万元（主要包括城乡居民基本养老保险、机关事业单位基本养老保险），支出完成35484万元，年末滚存结余44419万元。</w:t>
      </w:r>
    </w:p>
    <w:p>
      <w:pPr>
        <w:spacing w:line="560" w:lineRule="exact"/>
        <w:ind w:firstLine="643" w:firstLineChars="200"/>
        <w:rPr>
          <w:rFonts w:ascii="仿宋_GB2312" w:hAnsi="仿宋" w:eastAsia="仿宋_GB2312" w:cs="仿宋"/>
          <w:b/>
          <w:bCs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z w:val="32"/>
          <w:szCs w:val="32"/>
        </w:rPr>
        <w:t>4、国有资本经营收支决算情况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年初安排没有安排国有资本经营预算收入，当年上级补助收入</w:t>
      </w:r>
      <w:r>
        <w:rPr>
          <w:rFonts w:ascii="仿宋_GB2312" w:hAnsi="仿宋" w:eastAsia="仿宋_GB2312" w:cs="仿宋"/>
          <w:sz w:val="32"/>
          <w:szCs w:val="32"/>
        </w:rPr>
        <w:t>4</w:t>
      </w:r>
      <w:r>
        <w:rPr>
          <w:rFonts w:hint="eastAsia" w:ascii="仿宋_GB2312" w:hAnsi="仿宋" w:eastAsia="仿宋_GB2312" w:cs="仿宋"/>
          <w:sz w:val="32"/>
          <w:szCs w:val="32"/>
        </w:rPr>
        <w:t>万元，上年</w:t>
      </w:r>
      <w:r>
        <w:rPr>
          <w:rFonts w:ascii="仿宋_GB2312" w:hAnsi="仿宋" w:eastAsia="仿宋_GB2312" w:cs="仿宋"/>
          <w:sz w:val="32"/>
          <w:szCs w:val="32"/>
        </w:rPr>
        <w:t>结余</w:t>
      </w:r>
      <w:r>
        <w:rPr>
          <w:rFonts w:hint="eastAsia" w:ascii="仿宋_GB2312" w:hAnsi="仿宋" w:eastAsia="仿宋_GB2312" w:cs="仿宋"/>
          <w:sz w:val="32"/>
          <w:szCs w:val="32"/>
        </w:rPr>
        <w:t>8万元</w:t>
      </w:r>
      <w:r>
        <w:rPr>
          <w:rFonts w:ascii="仿宋_GB2312" w:hAnsi="仿宋" w:eastAsia="仿宋_GB2312" w:cs="仿宋"/>
          <w:sz w:val="32"/>
          <w:szCs w:val="32"/>
        </w:rPr>
        <w:t>，国有资本经营预算支出</w:t>
      </w:r>
      <w:r>
        <w:rPr>
          <w:rFonts w:hint="eastAsia" w:ascii="仿宋_GB2312" w:hAnsi="仿宋" w:eastAsia="仿宋_GB2312" w:cs="仿宋"/>
          <w:sz w:val="32"/>
          <w:szCs w:val="32"/>
        </w:rPr>
        <w:t>4万元</w:t>
      </w:r>
      <w:r>
        <w:rPr>
          <w:rFonts w:ascii="仿宋_GB2312" w:hAnsi="仿宋" w:eastAsia="仿宋_GB2312" w:cs="仿宋"/>
          <w:sz w:val="32"/>
          <w:szCs w:val="32"/>
        </w:rPr>
        <w:t>，</w:t>
      </w:r>
      <w:r>
        <w:rPr>
          <w:rFonts w:hint="eastAsia" w:ascii="仿宋_GB2312" w:hAnsi="仿宋" w:eastAsia="仿宋_GB2312" w:cs="仿宋"/>
          <w:sz w:val="32"/>
          <w:szCs w:val="32"/>
        </w:rPr>
        <w:t>结转下年支出8万元。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Times New Roman"/>
          <w:kern w:val="32"/>
          <w:sz w:val="32"/>
          <w:szCs w:val="32"/>
        </w:rPr>
      </w:pPr>
      <w:r>
        <w:rPr>
          <w:rFonts w:hint="eastAsia" w:ascii="黑体" w:hAnsi="黑体" w:eastAsia="黑体" w:cs="Times New Roman"/>
          <w:kern w:val="32"/>
          <w:sz w:val="32"/>
          <w:szCs w:val="32"/>
        </w:rPr>
        <w:t>二、财政转移支付资金执行情况</w:t>
      </w:r>
    </w:p>
    <w:p>
      <w:pPr>
        <w:spacing w:line="560" w:lineRule="exact"/>
        <w:ind w:firstLine="643"/>
        <w:rPr>
          <w:rFonts w:ascii="仿宋_GB2312" w:eastAsia="仿宋_GB2312"/>
          <w:kern w:val="32"/>
          <w:sz w:val="32"/>
          <w:szCs w:val="32"/>
        </w:rPr>
      </w:pPr>
      <w:r>
        <w:rPr>
          <w:rFonts w:hint="eastAsia" w:ascii="仿宋_GB2312" w:eastAsia="仿宋_GB2312"/>
          <w:kern w:val="32"/>
          <w:sz w:val="32"/>
          <w:szCs w:val="32"/>
        </w:rPr>
        <w:t>1、上级补助收入总计187727万元，包括：</w:t>
      </w:r>
      <w:r>
        <w:rPr>
          <w:rFonts w:hint="eastAsia" w:ascii="仿宋_GB2312" w:hAnsi="宋体" w:eastAsia="仿宋_GB2312" w:cs="宋体"/>
          <w:kern w:val="32"/>
          <w:sz w:val="32"/>
          <w:szCs w:val="32"/>
        </w:rPr>
        <w:t>①</w:t>
      </w:r>
      <w:r>
        <w:rPr>
          <w:rFonts w:hint="eastAsia" w:ascii="仿宋_GB2312" w:eastAsia="仿宋_GB2312"/>
          <w:kern w:val="32"/>
          <w:sz w:val="32"/>
          <w:szCs w:val="32"/>
        </w:rPr>
        <w:t>税收返还9794万元，其中：所得税基数返还2100万元、成品油税费改革税收返还1398万元、增值税税收返还1888万元、增值税“五五分享”税收返还收入4408万元；</w:t>
      </w:r>
      <w:r>
        <w:rPr>
          <w:rFonts w:hint="eastAsia" w:ascii="仿宋_GB2312" w:hAnsi="宋体" w:eastAsia="仿宋_GB2312" w:cs="宋体"/>
          <w:kern w:val="32"/>
          <w:sz w:val="32"/>
          <w:szCs w:val="32"/>
        </w:rPr>
        <w:t>②</w:t>
      </w:r>
      <w:r>
        <w:rPr>
          <w:rFonts w:hint="eastAsia" w:ascii="仿宋_GB2312" w:eastAsia="仿宋_GB2312"/>
          <w:kern w:val="32"/>
          <w:sz w:val="32"/>
          <w:szCs w:val="32"/>
        </w:rPr>
        <w:t>一般性转移支付159973万元，其中：体制补助收入769万元、均衡性转移支付</w:t>
      </w:r>
      <w:r>
        <w:rPr>
          <w:rFonts w:ascii="仿宋_GB2312" w:eastAsia="仿宋_GB2312"/>
          <w:kern w:val="32"/>
          <w:sz w:val="32"/>
          <w:szCs w:val="32"/>
        </w:rPr>
        <w:t>28891</w:t>
      </w:r>
      <w:r>
        <w:rPr>
          <w:rFonts w:hint="eastAsia" w:ascii="仿宋_GB2312" w:eastAsia="仿宋_GB2312"/>
          <w:kern w:val="32"/>
          <w:sz w:val="32"/>
          <w:szCs w:val="32"/>
        </w:rPr>
        <w:t>万元、县级基本财力保障机制奖补</w:t>
      </w:r>
      <w:r>
        <w:rPr>
          <w:rFonts w:ascii="仿宋_GB2312" w:eastAsia="仿宋_GB2312"/>
          <w:kern w:val="32"/>
          <w:sz w:val="32"/>
          <w:szCs w:val="32"/>
        </w:rPr>
        <w:t>17344</w:t>
      </w:r>
      <w:r>
        <w:rPr>
          <w:rFonts w:hint="eastAsia" w:ascii="仿宋_GB2312" w:eastAsia="仿宋_GB2312"/>
          <w:kern w:val="32"/>
          <w:sz w:val="32"/>
          <w:szCs w:val="32"/>
        </w:rPr>
        <w:t>万元、结算补助收入4215万元、产粮（油）大县奖励资金2</w:t>
      </w:r>
      <w:r>
        <w:rPr>
          <w:rFonts w:ascii="仿宋_GB2312" w:eastAsia="仿宋_GB2312"/>
          <w:kern w:val="32"/>
          <w:sz w:val="32"/>
          <w:szCs w:val="32"/>
        </w:rPr>
        <w:t>410</w:t>
      </w:r>
      <w:r>
        <w:rPr>
          <w:rFonts w:hint="eastAsia" w:ascii="仿宋_GB2312" w:eastAsia="仿宋_GB2312"/>
          <w:kern w:val="32"/>
          <w:sz w:val="32"/>
          <w:szCs w:val="32"/>
        </w:rPr>
        <w:t>万元、固定数额补助11728万元、革命老区转移支付</w:t>
      </w:r>
      <w:r>
        <w:rPr>
          <w:rFonts w:ascii="仿宋_GB2312" w:eastAsia="仿宋_GB2312"/>
          <w:kern w:val="32"/>
          <w:sz w:val="32"/>
          <w:szCs w:val="32"/>
        </w:rPr>
        <w:t>584</w:t>
      </w:r>
      <w:r>
        <w:rPr>
          <w:rFonts w:hint="eastAsia" w:ascii="仿宋_GB2312" w:eastAsia="仿宋_GB2312"/>
          <w:kern w:val="32"/>
          <w:sz w:val="32"/>
          <w:szCs w:val="32"/>
        </w:rPr>
        <w:t>万元、民族地区转移支付</w:t>
      </w:r>
      <w:r>
        <w:rPr>
          <w:rFonts w:ascii="仿宋_GB2312" w:eastAsia="仿宋_GB2312"/>
          <w:kern w:val="32"/>
          <w:sz w:val="32"/>
          <w:szCs w:val="32"/>
        </w:rPr>
        <w:t>12</w:t>
      </w:r>
      <w:r>
        <w:rPr>
          <w:rFonts w:hint="eastAsia" w:ascii="仿宋_GB2312" w:eastAsia="仿宋_GB2312"/>
          <w:kern w:val="32"/>
          <w:sz w:val="32"/>
          <w:szCs w:val="32"/>
        </w:rPr>
        <w:t>万元、欠</w:t>
      </w:r>
      <w:r>
        <w:rPr>
          <w:rFonts w:ascii="仿宋_GB2312" w:eastAsia="仿宋_GB2312"/>
          <w:kern w:val="32"/>
          <w:sz w:val="32"/>
          <w:szCs w:val="32"/>
        </w:rPr>
        <w:t>发达</w:t>
      </w:r>
      <w:r>
        <w:rPr>
          <w:rFonts w:hint="eastAsia" w:ascii="仿宋_GB2312" w:eastAsia="仿宋_GB2312"/>
          <w:kern w:val="32"/>
          <w:sz w:val="32"/>
          <w:szCs w:val="32"/>
        </w:rPr>
        <w:t>地区转移支付收入</w:t>
      </w:r>
      <w:r>
        <w:rPr>
          <w:rFonts w:ascii="仿宋_GB2312" w:eastAsia="仿宋_GB2312"/>
          <w:kern w:val="32"/>
          <w:sz w:val="32"/>
          <w:szCs w:val="32"/>
        </w:rPr>
        <w:t>1286</w:t>
      </w:r>
      <w:r>
        <w:rPr>
          <w:rFonts w:hint="eastAsia" w:ascii="仿宋_GB2312" w:eastAsia="仿宋_GB2312"/>
          <w:kern w:val="32"/>
          <w:sz w:val="32"/>
          <w:szCs w:val="32"/>
        </w:rPr>
        <w:t>万元、一般公共服务共同财政事权转移支付收入</w:t>
      </w:r>
      <w:r>
        <w:rPr>
          <w:rFonts w:ascii="仿宋_GB2312" w:eastAsia="仿宋_GB2312"/>
          <w:kern w:val="32"/>
          <w:sz w:val="32"/>
          <w:szCs w:val="32"/>
        </w:rPr>
        <w:t>44</w:t>
      </w:r>
      <w:r>
        <w:rPr>
          <w:rFonts w:hint="eastAsia" w:ascii="仿宋_GB2312" w:eastAsia="仿宋_GB2312"/>
          <w:kern w:val="32"/>
          <w:sz w:val="32"/>
          <w:szCs w:val="32"/>
        </w:rPr>
        <w:t>万元、公共安全共同财政事权转移支付收入</w:t>
      </w:r>
      <w:r>
        <w:rPr>
          <w:rFonts w:ascii="仿宋_GB2312" w:eastAsia="仿宋_GB2312"/>
          <w:kern w:val="32"/>
          <w:sz w:val="32"/>
          <w:szCs w:val="32"/>
        </w:rPr>
        <w:t>1546</w:t>
      </w:r>
      <w:r>
        <w:rPr>
          <w:rFonts w:hint="eastAsia" w:ascii="仿宋_GB2312" w:eastAsia="仿宋_GB2312"/>
          <w:kern w:val="32"/>
          <w:sz w:val="32"/>
          <w:szCs w:val="32"/>
        </w:rPr>
        <w:t>万元、教育共同财政事权转移支付收入</w:t>
      </w:r>
      <w:r>
        <w:rPr>
          <w:rFonts w:ascii="仿宋_GB2312" w:eastAsia="仿宋_GB2312"/>
          <w:kern w:val="32"/>
          <w:sz w:val="32"/>
          <w:szCs w:val="32"/>
        </w:rPr>
        <w:t>11078</w:t>
      </w:r>
      <w:r>
        <w:rPr>
          <w:rFonts w:hint="eastAsia" w:ascii="仿宋_GB2312" w:eastAsia="仿宋_GB2312"/>
          <w:kern w:val="32"/>
          <w:sz w:val="32"/>
          <w:szCs w:val="32"/>
        </w:rPr>
        <w:t>万元、科学技术共同财政事权转移支付收入</w:t>
      </w:r>
      <w:r>
        <w:rPr>
          <w:rFonts w:ascii="仿宋_GB2312" w:eastAsia="仿宋_GB2312"/>
          <w:kern w:val="32"/>
          <w:sz w:val="32"/>
          <w:szCs w:val="32"/>
        </w:rPr>
        <w:t>175</w:t>
      </w:r>
      <w:r>
        <w:rPr>
          <w:rFonts w:hint="eastAsia" w:ascii="仿宋_GB2312" w:eastAsia="仿宋_GB2312"/>
          <w:kern w:val="32"/>
          <w:sz w:val="32"/>
          <w:szCs w:val="32"/>
        </w:rPr>
        <w:t>万元、文化旅游体育与传媒共同财政事权转移支付收入</w:t>
      </w:r>
      <w:r>
        <w:rPr>
          <w:rFonts w:ascii="仿宋_GB2312" w:eastAsia="仿宋_GB2312"/>
          <w:kern w:val="32"/>
          <w:sz w:val="32"/>
          <w:szCs w:val="32"/>
        </w:rPr>
        <w:t>288</w:t>
      </w:r>
      <w:r>
        <w:rPr>
          <w:rFonts w:hint="eastAsia" w:ascii="仿宋_GB2312" w:eastAsia="仿宋_GB2312"/>
          <w:kern w:val="32"/>
          <w:sz w:val="32"/>
          <w:szCs w:val="32"/>
        </w:rPr>
        <w:t>万元、社会保障和就业共同财政事权转移支付收入22</w:t>
      </w:r>
      <w:r>
        <w:rPr>
          <w:rFonts w:ascii="仿宋_GB2312" w:eastAsia="仿宋_GB2312"/>
          <w:kern w:val="32"/>
          <w:sz w:val="32"/>
          <w:szCs w:val="32"/>
        </w:rPr>
        <w:t>481</w:t>
      </w:r>
      <w:r>
        <w:rPr>
          <w:rFonts w:hint="eastAsia" w:ascii="仿宋_GB2312" w:eastAsia="仿宋_GB2312"/>
          <w:kern w:val="32"/>
          <w:sz w:val="32"/>
          <w:szCs w:val="32"/>
        </w:rPr>
        <w:t>万元、卫生健康共同财政事权转移支付收入</w:t>
      </w:r>
      <w:r>
        <w:rPr>
          <w:rFonts w:ascii="仿宋_GB2312" w:eastAsia="仿宋_GB2312"/>
          <w:kern w:val="32"/>
          <w:sz w:val="32"/>
          <w:szCs w:val="32"/>
        </w:rPr>
        <w:t>6048</w:t>
      </w:r>
      <w:r>
        <w:rPr>
          <w:rFonts w:hint="eastAsia" w:ascii="仿宋_GB2312" w:eastAsia="仿宋_GB2312"/>
          <w:kern w:val="32"/>
          <w:sz w:val="32"/>
          <w:szCs w:val="32"/>
        </w:rPr>
        <w:t>万元、农林水共同财政事权转移支付收入</w:t>
      </w:r>
      <w:r>
        <w:rPr>
          <w:rFonts w:ascii="仿宋_GB2312" w:eastAsia="仿宋_GB2312"/>
          <w:kern w:val="32"/>
          <w:sz w:val="32"/>
          <w:szCs w:val="32"/>
        </w:rPr>
        <w:t>20048</w:t>
      </w:r>
      <w:r>
        <w:rPr>
          <w:rFonts w:hint="eastAsia" w:ascii="仿宋_GB2312" w:eastAsia="仿宋_GB2312"/>
          <w:kern w:val="32"/>
          <w:sz w:val="32"/>
          <w:szCs w:val="32"/>
        </w:rPr>
        <w:t>万元、交通运输共同财政事权转移支付收入</w:t>
      </w:r>
      <w:r>
        <w:rPr>
          <w:rFonts w:ascii="仿宋_GB2312" w:eastAsia="仿宋_GB2312"/>
          <w:kern w:val="32"/>
          <w:sz w:val="32"/>
          <w:szCs w:val="32"/>
        </w:rPr>
        <w:t>977</w:t>
      </w:r>
      <w:r>
        <w:rPr>
          <w:rFonts w:hint="eastAsia" w:ascii="仿宋_GB2312" w:eastAsia="仿宋_GB2312"/>
          <w:kern w:val="32"/>
          <w:sz w:val="32"/>
          <w:szCs w:val="32"/>
        </w:rPr>
        <w:t>万元、自然资源海洋气象等共同财政事权转移支付收入</w:t>
      </w:r>
      <w:r>
        <w:rPr>
          <w:rFonts w:ascii="仿宋_GB2312" w:eastAsia="仿宋_GB2312"/>
          <w:kern w:val="32"/>
          <w:sz w:val="32"/>
          <w:szCs w:val="32"/>
        </w:rPr>
        <w:t>94</w:t>
      </w:r>
      <w:r>
        <w:rPr>
          <w:rFonts w:hint="eastAsia" w:ascii="仿宋_GB2312" w:eastAsia="仿宋_GB2312"/>
          <w:kern w:val="32"/>
          <w:sz w:val="32"/>
          <w:szCs w:val="32"/>
        </w:rPr>
        <w:t>万元、住房保障共同财政事权转移支付收入</w:t>
      </w:r>
      <w:r>
        <w:rPr>
          <w:rFonts w:ascii="仿宋_GB2312" w:eastAsia="仿宋_GB2312"/>
          <w:kern w:val="32"/>
          <w:sz w:val="32"/>
          <w:szCs w:val="32"/>
        </w:rPr>
        <w:t>1052</w:t>
      </w:r>
      <w:r>
        <w:rPr>
          <w:rFonts w:hint="eastAsia" w:ascii="仿宋_GB2312" w:eastAsia="仿宋_GB2312"/>
          <w:kern w:val="32"/>
          <w:sz w:val="32"/>
          <w:szCs w:val="32"/>
        </w:rPr>
        <w:t>万元、灾害防治及应急管理共同财政事权转移支付收入13万元、增值税留抵退税转移支付收入1268万元</w:t>
      </w:r>
      <w:r>
        <w:rPr>
          <w:rFonts w:ascii="仿宋_GB2312" w:eastAsia="仿宋_GB2312"/>
          <w:kern w:val="32"/>
          <w:sz w:val="32"/>
          <w:szCs w:val="32"/>
        </w:rPr>
        <w:t>、</w:t>
      </w:r>
      <w:r>
        <w:rPr>
          <w:rFonts w:hint="eastAsia" w:ascii="仿宋_GB2312" w:eastAsia="仿宋_GB2312"/>
          <w:kern w:val="32"/>
          <w:sz w:val="32"/>
          <w:szCs w:val="32"/>
        </w:rPr>
        <w:t>其他退税减税降费转移支付收入4227万元</w:t>
      </w:r>
      <w:r>
        <w:rPr>
          <w:rFonts w:ascii="仿宋_GB2312" w:eastAsia="仿宋_GB2312"/>
          <w:kern w:val="32"/>
          <w:sz w:val="32"/>
          <w:szCs w:val="32"/>
        </w:rPr>
        <w:t>、</w:t>
      </w:r>
      <w:r>
        <w:rPr>
          <w:rFonts w:hint="eastAsia" w:ascii="仿宋_GB2312" w:eastAsia="仿宋_GB2312"/>
          <w:kern w:val="32"/>
          <w:sz w:val="32"/>
          <w:szCs w:val="32"/>
        </w:rPr>
        <w:t>补充县区财力转移支付收入16394万元</w:t>
      </w:r>
      <w:r>
        <w:rPr>
          <w:rFonts w:ascii="仿宋_GB2312" w:eastAsia="仿宋_GB2312"/>
          <w:kern w:val="32"/>
          <w:sz w:val="32"/>
          <w:szCs w:val="32"/>
        </w:rPr>
        <w:t>、</w:t>
      </w:r>
      <w:r>
        <w:rPr>
          <w:rFonts w:hint="eastAsia" w:ascii="仿宋_GB2312" w:eastAsia="仿宋_GB2312"/>
          <w:kern w:val="32"/>
          <w:sz w:val="32"/>
          <w:szCs w:val="32"/>
        </w:rPr>
        <w:t>其他一般性转移支付收入</w:t>
      </w:r>
      <w:r>
        <w:rPr>
          <w:rFonts w:ascii="仿宋_GB2312" w:eastAsia="仿宋_GB2312"/>
          <w:kern w:val="32"/>
          <w:sz w:val="32"/>
          <w:szCs w:val="32"/>
        </w:rPr>
        <w:t>7001</w:t>
      </w:r>
      <w:r>
        <w:rPr>
          <w:rFonts w:hint="eastAsia" w:ascii="仿宋_GB2312" w:eastAsia="仿宋_GB2312"/>
          <w:kern w:val="32"/>
          <w:sz w:val="32"/>
          <w:szCs w:val="32"/>
        </w:rPr>
        <w:t>万元；</w:t>
      </w:r>
      <w:r>
        <w:rPr>
          <w:rFonts w:hint="eastAsia" w:ascii="仿宋_GB2312" w:hAnsi="宋体" w:eastAsia="仿宋_GB2312" w:cs="宋体"/>
          <w:kern w:val="32"/>
          <w:sz w:val="32"/>
          <w:szCs w:val="32"/>
        </w:rPr>
        <w:t>③</w:t>
      </w:r>
      <w:r>
        <w:rPr>
          <w:rFonts w:hint="eastAsia" w:ascii="仿宋_GB2312" w:eastAsia="仿宋_GB2312"/>
          <w:kern w:val="32"/>
          <w:sz w:val="32"/>
          <w:szCs w:val="32"/>
        </w:rPr>
        <w:t>专项转移支付</w:t>
      </w:r>
      <w:r>
        <w:rPr>
          <w:rFonts w:ascii="仿宋_GB2312" w:eastAsia="仿宋_GB2312"/>
          <w:kern w:val="32"/>
          <w:sz w:val="32"/>
          <w:szCs w:val="32"/>
        </w:rPr>
        <w:t>17960</w:t>
      </w:r>
      <w:r>
        <w:rPr>
          <w:rFonts w:hint="eastAsia" w:ascii="仿宋_GB2312" w:eastAsia="仿宋_GB2312"/>
          <w:kern w:val="32"/>
          <w:sz w:val="32"/>
          <w:szCs w:val="32"/>
        </w:rPr>
        <w:t>万元，包括：一般</w:t>
      </w:r>
      <w:r>
        <w:rPr>
          <w:rFonts w:ascii="仿宋_GB2312" w:eastAsia="仿宋_GB2312"/>
          <w:kern w:val="32"/>
          <w:sz w:val="32"/>
          <w:szCs w:val="32"/>
        </w:rPr>
        <w:t>公共服务</w:t>
      </w:r>
      <w:r>
        <w:rPr>
          <w:rFonts w:hint="eastAsia" w:ascii="仿宋_GB2312" w:eastAsia="仿宋_GB2312"/>
          <w:kern w:val="32"/>
          <w:sz w:val="32"/>
          <w:szCs w:val="32"/>
        </w:rPr>
        <w:t>500万元</w:t>
      </w:r>
      <w:r>
        <w:rPr>
          <w:rFonts w:ascii="仿宋_GB2312" w:eastAsia="仿宋_GB2312"/>
          <w:kern w:val="32"/>
          <w:sz w:val="32"/>
          <w:szCs w:val="32"/>
        </w:rPr>
        <w:t>、</w:t>
      </w:r>
      <w:r>
        <w:rPr>
          <w:rFonts w:hint="eastAsia" w:ascii="仿宋_GB2312" w:eastAsia="仿宋_GB2312"/>
          <w:kern w:val="32"/>
          <w:sz w:val="32"/>
          <w:szCs w:val="32"/>
        </w:rPr>
        <w:t>公共</w:t>
      </w:r>
      <w:r>
        <w:rPr>
          <w:rFonts w:ascii="仿宋_GB2312" w:eastAsia="仿宋_GB2312"/>
          <w:kern w:val="32"/>
          <w:sz w:val="32"/>
          <w:szCs w:val="32"/>
        </w:rPr>
        <w:t>安全</w:t>
      </w:r>
      <w:r>
        <w:rPr>
          <w:rFonts w:hint="eastAsia" w:ascii="仿宋_GB2312" w:eastAsia="仿宋_GB2312"/>
          <w:kern w:val="32"/>
          <w:sz w:val="32"/>
          <w:szCs w:val="32"/>
        </w:rPr>
        <w:t>1187万元</w:t>
      </w:r>
      <w:r>
        <w:rPr>
          <w:rFonts w:ascii="仿宋_GB2312" w:eastAsia="仿宋_GB2312"/>
          <w:kern w:val="32"/>
          <w:sz w:val="32"/>
          <w:szCs w:val="32"/>
        </w:rPr>
        <w:t>、</w:t>
      </w:r>
      <w:r>
        <w:rPr>
          <w:rFonts w:hint="eastAsia" w:ascii="仿宋_GB2312" w:eastAsia="仿宋_GB2312"/>
          <w:kern w:val="32"/>
          <w:sz w:val="32"/>
          <w:szCs w:val="32"/>
        </w:rPr>
        <w:t>卫生健康11</w:t>
      </w:r>
      <w:r>
        <w:rPr>
          <w:rFonts w:ascii="仿宋_GB2312" w:eastAsia="仿宋_GB2312"/>
          <w:kern w:val="32"/>
          <w:sz w:val="32"/>
          <w:szCs w:val="32"/>
        </w:rPr>
        <w:t>160</w:t>
      </w:r>
      <w:r>
        <w:rPr>
          <w:rFonts w:hint="eastAsia" w:ascii="仿宋_GB2312" w:eastAsia="仿宋_GB2312"/>
          <w:kern w:val="32"/>
          <w:sz w:val="32"/>
          <w:szCs w:val="32"/>
        </w:rPr>
        <w:t>万元、节能环保</w:t>
      </w:r>
      <w:r>
        <w:rPr>
          <w:rFonts w:ascii="仿宋_GB2312" w:eastAsia="仿宋_GB2312"/>
          <w:kern w:val="32"/>
          <w:sz w:val="32"/>
          <w:szCs w:val="32"/>
        </w:rPr>
        <w:t>2615</w:t>
      </w:r>
      <w:r>
        <w:rPr>
          <w:rFonts w:hint="eastAsia" w:ascii="仿宋_GB2312" w:eastAsia="仿宋_GB2312"/>
          <w:kern w:val="32"/>
          <w:sz w:val="32"/>
          <w:szCs w:val="32"/>
        </w:rPr>
        <w:t>万元、农林水</w:t>
      </w:r>
      <w:r>
        <w:rPr>
          <w:rFonts w:ascii="仿宋_GB2312" w:eastAsia="仿宋_GB2312"/>
          <w:kern w:val="32"/>
          <w:sz w:val="32"/>
          <w:szCs w:val="32"/>
        </w:rPr>
        <w:t>2157</w:t>
      </w:r>
      <w:r>
        <w:rPr>
          <w:rFonts w:hint="eastAsia" w:ascii="仿宋_GB2312" w:eastAsia="仿宋_GB2312"/>
          <w:kern w:val="32"/>
          <w:sz w:val="32"/>
          <w:szCs w:val="32"/>
        </w:rPr>
        <w:t>万元、资源勘探工业信息等</w:t>
      </w:r>
      <w:r>
        <w:rPr>
          <w:rFonts w:ascii="仿宋_GB2312" w:eastAsia="仿宋_GB2312"/>
          <w:kern w:val="32"/>
          <w:sz w:val="32"/>
          <w:szCs w:val="32"/>
        </w:rPr>
        <w:t>-20</w:t>
      </w:r>
      <w:r>
        <w:rPr>
          <w:rFonts w:hint="eastAsia" w:ascii="仿宋_GB2312" w:eastAsia="仿宋_GB2312"/>
          <w:kern w:val="32"/>
          <w:sz w:val="32"/>
          <w:szCs w:val="32"/>
        </w:rPr>
        <w:t>万元、商业服务等</w:t>
      </w:r>
      <w:r>
        <w:rPr>
          <w:rFonts w:ascii="仿宋_GB2312" w:eastAsia="仿宋_GB2312"/>
          <w:kern w:val="32"/>
          <w:sz w:val="32"/>
          <w:szCs w:val="32"/>
        </w:rPr>
        <w:t>361</w:t>
      </w:r>
      <w:r>
        <w:rPr>
          <w:rFonts w:hint="eastAsia" w:ascii="仿宋_GB2312" w:eastAsia="仿宋_GB2312"/>
          <w:kern w:val="32"/>
          <w:sz w:val="32"/>
          <w:szCs w:val="32"/>
        </w:rPr>
        <w:t>万元。</w:t>
      </w:r>
    </w:p>
    <w:p>
      <w:pPr>
        <w:spacing w:line="560" w:lineRule="exact"/>
        <w:ind w:firstLine="643"/>
        <w:rPr>
          <w:rFonts w:ascii="仿宋_GB2312" w:eastAsia="仿宋_GB2312"/>
          <w:kern w:val="32"/>
          <w:sz w:val="32"/>
          <w:szCs w:val="32"/>
        </w:rPr>
      </w:pPr>
      <w:r>
        <w:rPr>
          <w:rFonts w:hint="eastAsia" w:ascii="仿宋_GB2312" w:eastAsia="仿宋_GB2312"/>
          <w:kern w:val="32"/>
          <w:sz w:val="32"/>
          <w:szCs w:val="32"/>
        </w:rPr>
        <w:t>2、政府性基金上级补助收入总计</w:t>
      </w:r>
      <w:r>
        <w:rPr>
          <w:rFonts w:ascii="仿宋_GB2312" w:eastAsia="仿宋_GB2312"/>
          <w:kern w:val="32"/>
          <w:sz w:val="32"/>
          <w:szCs w:val="32"/>
        </w:rPr>
        <w:t>4429</w:t>
      </w:r>
      <w:r>
        <w:rPr>
          <w:rFonts w:hint="eastAsia" w:ascii="仿宋_GB2312" w:eastAsia="仿宋_GB2312"/>
          <w:kern w:val="32"/>
          <w:sz w:val="32"/>
          <w:szCs w:val="32"/>
        </w:rPr>
        <w:t>万元，其中文化旅游体育与传媒31万元、社会保障和就业1万元、城乡社区</w:t>
      </w:r>
      <w:r>
        <w:rPr>
          <w:rFonts w:ascii="仿宋_GB2312" w:eastAsia="仿宋_GB2312"/>
          <w:kern w:val="32"/>
          <w:sz w:val="32"/>
          <w:szCs w:val="32"/>
        </w:rPr>
        <w:t>3795</w:t>
      </w:r>
      <w:r>
        <w:rPr>
          <w:rFonts w:hint="eastAsia" w:ascii="仿宋_GB2312" w:eastAsia="仿宋_GB2312"/>
          <w:kern w:val="32"/>
          <w:sz w:val="32"/>
          <w:szCs w:val="32"/>
        </w:rPr>
        <w:t>万元、其他收入</w:t>
      </w:r>
      <w:r>
        <w:rPr>
          <w:rFonts w:ascii="仿宋_GB2312" w:eastAsia="仿宋_GB2312"/>
          <w:kern w:val="32"/>
          <w:sz w:val="32"/>
          <w:szCs w:val="32"/>
        </w:rPr>
        <w:t>602</w:t>
      </w:r>
      <w:r>
        <w:rPr>
          <w:rFonts w:hint="eastAsia" w:ascii="仿宋_GB2312" w:eastAsia="仿宋_GB2312"/>
          <w:kern w:val="32"/>
          <w:sz w:val="32"/>
          <w:szCs w:val="32"/>
        </w:rPr>
        <w:t>万元。</w:t>
      </w:r>
    </w:p>
    <w:p>
      <w:pPr>
        <w:spacing w:line="560" w:lineRule="exact"/>
        <w:ind w:firstLine="643"/>
        <w:rPr>
          <w:rFonts w:ascii="黑体" w:hAnsi="黑体" w:eastAsia="黑体" w:cs="宋体"/>
          <w:kern w:val="32"/>
          <w:sz w:val="32"/>
          <w:szCs w:val="32"/>
        </w:rPr>
      </w:pPr>
      <w:r>
        <w:rPr>
          <w:rFonts w:hint="eastAsia" w:ascii="黑体" w:hAnsi="黑体" w:eastAsia="黑体" w:cs="宋体"/>
          <w:kern w:val="32"/>
          <w:sz w:val="32"/>
          <w:szCs w:val="32"/>
        </w:rPr>
        <w:t>三、举借债务情况</w:t>
      </w:r>
    </w:p>
    <w:p>
      <w:pPr>
        <w:adjustRightInd w:val="0"/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202</w:t>
      </w:r>
      <w:r>
        <w:rPr>
          <w:rFonts w:ascii="仿宋_GB2312" w:hAnsi="仿宋" w:eastAsia="仿宋_GB2312" w:cs="仿宋"/>
          <w:sz w:val="32"/>
          <w:szCs w:val="32"/>
        </w:rPr>
        <w:t>2</w:t>
      </w:r>
      <w:r>
        <w:rPr>
          <w:rFonts w:hint="eastAsia" w:ascii="仿宋_GB2312" w:hAnsi="仿宋" w:eastAsia="仿宋_GB2312" w:cs="仿宋"/>
          <w:sz w:val="32"/>
          <w:szCs w:val="32"/>
        </w:rPr>
        <w:t>年新增加139300万元，其中一般债券</w:t>
      </w:r>
      <w:r>
        <w:rPr>
          <w:rFonts w:ascii="仿宋_GB2312" w:hAnsi="仿宋" w:eastAsia="仿宋_GB2312" w:cs="仿宋"/>
          <w:sz w:val="32"/>
          <w:szCs w:val="32"/>
        </w:rPr>
        <w:t>14100</w:t>
      </w:r>
      <w:r>
        <w:rPr>
          <w:rFonts w:hint="eastAsia" w:ascii="仿宋_GB2312" w:hAnsi="仿宋" w:eastAsia="仿宋_GB2312" w:cs="仿宋"/>
          <w:sz w:val="32"/>
          <w:szCs w:val="32"/>
        </w:rPr>
        <w:t>万元，专项债券</w:t>
      </w:r>
      <w:r>
        <w:rPr>
          <w:rFonts w:ascii="仿宋_GB2312" w:hAnsi="仿宋" w:eastAsia="仿宋_GB2312" w:cs="仿宋"/>
          <w:sz w:val="32"/>
          <w:szCs w:val="32"/>
        </w:rPr>
        <w:t>125200</w:t>
      </w:r>
      <w:r>
        <w:rPr>
          <w:rFonts w:hint="eastAsia" w:ascii="仿宋_GB2312" w:hAnsi="仿宋" w:eastAsia="仿宋_GB2312" w:cs="仿宋"/>
          <w:sz w:val="32"/>
          <w:szCs w:val="32"/>
        </w:rPr>
        <w:t>万元。主要用于基础设施建设、城区综合整治、医疗健康、滹沱河河道村庄防洪整治、文化创意园、停车场升级改造等。</w:t>
      </w:r>
    </w:p>
    <w:p>
      <w:pPr>
        <w:spacing w:line="60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截至2022年</w:t>
      </w:r>
      <w:r>
        <w:rPr>
          <w:rFonts w:hint="eastAsia" w:ascii="仿宋_GB2312" w:hAnsi="仿宋" w:eastAsia="仿宋_GB2312" w:cs="仿宋"/>
          <w:sz w:val="32"/>
          <w:szCs w:val="32"/>
        </w:rPr>
        <w:t>底，全县政府债务余额</w:t>
      </w:r>
      <w:r>
        <w:rPr>
          <w:rFonts w:ascii="仿宋_GB2312" w:hAnsi="仿宋" w:eastAsia="仿宋_GB2312" w:cs="仿宋"/>
          <w:sz w:val="32"/>
          <w:szCs w:val="32"/>
        </w:rPr>
        <w:t>4917</w:t>
      </w:r>
      <w:r>
        <w:rPr>
          <w:rFonts w:hint="eastAsia" w:ascii="仿宋_GB2312" w:hAnsi="仿宋" w:eastAsia="仿宋_GB2312" w:cs="仿宋"/>
          <w:sz w:val="32"/>
          <w:szCs w:val="32"/>
        </w:rPr>
        <w:t>43万元，其中一般债券</w:t>
      </w:r>
      <w:r>
        <w:rPr>
          <w:rFonts w:ascii="仿宋_GB2312" w:hAnsi="仿宋" w:eastAsia="仿宋_GB2312" w:cs="仿宋"/>
          <w:sz w:val="32"/>
          <w:szCs w:val="32"/>
        </w:rPr>
        <w:t>207</w:t>
      </w:r>
      <w:r>
        <w:rPr>
          <w:rFonts w:hint="eastAsia" w:ascii="仿宋_GB2312" w:hAnsi="仿宋" w:eastAsia="仿宋_GB2312" w:cs="仿宋"/>
          <w:sz w:val="32"/>
          <w:szCs w:val="32"/>
        </w:rPr>
        <w:t>343万元，专项债券</w:t>
      </w:r>
      <w:r>
        <w:rPr>
          <w:rFonts w:ascii="仿宋_GB2312" w:hAnsi="仿宋" w:eastAsia="仿宋_GB2312" w:cs="仿宋"/>
          <w:sz w:val="32"/>
          <w:szCs w:val="32"/>
        </w:rPr>
        <w:t>2844</w:t>
      </w:r>
      <w:r>
        <w:rPr>
          <w:rFonts w:hint="eastAsia" w:ascii="仿宋_GB2312" w:hAnsi="仿宋" w:eastAsia="仿宋_GB2312" w:cs="仿宋"/>
          <w:sz w:val="32"/>
          <w:szCs w:val="32"/>
        </w:rPr>
        <w:t>00万元。</w:t>
      </w:r>
    </w:p>
    <w:p>
      <w:pPr>
        <w:adjustRightInd w:val="0"/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债务总限额</w:t>
      </w:r>
      <w:r>
        <w:rPr>
          <w:rFonts w:ascii="仿宋_GB2312" w:hAnsi="仿宋" w:eastAsia="仿宋_GB2312" w:cs="仿宋"/>
          <w:sz w:val="32"/>
          <w:szCs w:val="32"/>
        </w:rPr>
        <w:t>532082</w:t>
      </w:r>
      <w:r>
        <w:rPr>
          <w:rFonts w:hint="eastAsia" w:ascii="仿宋_GB2312" w:hAnsi="仿宋" w:eastAsia="仿宋_GB2312" w:cs="仿宋"/>
          <w:sz w:val="32"/>
          <w:szCs w:val="32"/>
        </w:rPr>
        <w:t>万元，其中一般债务限额</w:t>
      </w:r>
      <w:r>
        <w:rPr>
          <w:rFonts w:ascii="仿宋_GB2312" w:hAnsi="仿宋" w:eastAsia="仿宋_GB2312" w:cs="仿宋"/>
          <w:sz w:val="32"/>
          <w:szCs w:val="32"/>
        </w:rPr>
        <w:t>2461</w:t>
      </w:r>
      <w:r>
        <w:rPr>
          <w:rFonts w:hint="eastAsia" w:ascii="仿宋_GB2312" w:hAnsi="仿宋" w:eastAsia="仿宋_GB2312" w:cs="仿宋"/>
          <w:sz w:val="32"/>
          <w:szCs w:val="32"/>
        </w:rPr>
        <w:t>89万元，专项债务限额</w:t>
      </w:r>
      <w:r>
        <w:rPr>
          <w:rFonts w:ascii="仿宋_GB2312" w:hAnsi="仿宋" w:eastAsia="仿宋_GB2312" w:cs="仿宋"/>
          <w:sz w:val="32"/>
          <w:szCs w:val="32"/>
        </w:rPr>
        <w:t>2858</w:t>
      </w:r>
      <w:r>
        <w:rPr>
          <w:rFonts w:hint="eastAsia" w:ascii="仿宋_GB2312" w:hAnsi="仿宋" w:eastAsia="仿宋_GB2312" w:cs="仿宋"/>
          <w:sz w:val="32"/>
          <w:szCs w:val="32"/>
        </w:rPr>
        <w:t>93万元。</w:t>
      </w:r>
    </w:p>
    <w:p>
      <w:pPr>
        <w:adjustRightInd w:val="0"/>
        <w:spacing w:line="560" w:lineRule="exact"/>
        <w:ind w:firstLine="640" w:firstLineChars="200"/>
        <w:rPr>
          <w:rFonts w:ascii="仿宋_GB2312" w:eastAsia="仿宋_GB2312"/>
          <w:kern w:val="32"/>
          <w:sz w:val="32"/>
          <w:szCs w:val="32"/>
        </w:rPr>
      </w:pPr>
      <w:r>
        <w:rPr>
          <w:rFonts w:hint="eastAsia" w:ascii="黑体" w:eastAsia="黑体"/>
          <w:kern w:val="32"/>
          <w:sz w:val="32"/>
          <w:szCs w:val="32"/>
        </w:rPr>
        <w:t>四、其他需要说明的情况</w:t>
      </w:r>
    </w:p>
    <w:p>
      <w:pPr>
        <w:spacing w:line="560" w:lineRule="exact"/>
        <w:ind w:firstLine="640" w:firstLineChars="200"/>
        <w:rPr>
          <w:rFonts w:ascii="仿宋_GB2312" w:hAnsi="仿宋" w:eastAsia="仿宋_GB2312" w:cs="Times New Roman"/>
          <w:kern w:val="32"/>
          <w:sz w:val="32"/>
          <w:szCs w:val="32"/>
        </w:rPr>
      </w:pPr>
      <w:r>
        <w:rPr>
          <w:rFonts w:hint="eastAsia" w:ascii="仿宋_GB2312" w:eastAsia="仿宋_GB2312"/>
          <w:kern w:val="32"/>
          <w:sz w:val="32"/>
          <w:szCs w:val="32"/>
        </w:rPr>
        <w:t>根据《预算法》、《预算法实施条例》和《河北省预算审查监督条例》相关规定，另就以下几项内容予以说明：一是关于上年结转资金使用。一般公共预算上年结转余资金</w:t>
      </w:r>
      <w:r>
        <w:rPr>
          <w:rFonts w:ascii="仿宋_GB2312" w:eastAsia="仿宋_GB2312"/>
          <w:kern w:val="32"/>
          <w:sz w:val="32"/>
          <w:szCs w:val="32"/>
        </w:rPr>
        <w:t>5572</w:t>
      </w:r>
      <w:r>
        <w:rPr>
          <w:rFonts w:hint="eastAsia" w:ascii="仿宋_GB2312" w:eastAsia="仿宋_GB2312"/>
          <w:kern w:val="32"/>
          <w:sz w:val="32"/>
          <w:szCs w:val="32"/>
        </w:rPr>
        <w:t>万元，政府性基金上年结转资金</w:t>
      </w:r>
      <w:r>
        <w:rPr>
          <w:rFonts w:ascii="仿宋_GB2312" w:eastAsia="仿宋_GB2312"/>
          <w:kern w:val="32"/>
          <w:sz w:val="32"/>
          <w:szCs w:val="32"/>
        </w:rPr>
        <w:t>35309</w:t>
      </w:r>
      <w:r>
        <w:rPr>
          <w:rFonts w:hint="eastAsia" w:ascii="仿宋_GB2312" w:eastAsia="仿宋_GB2312"/>
          <w:kern w:val="32"/>
          <w:sz w:val="32"/>
          <w:szCs w:val="32"/>
        </w:rPr>
        <w:t>万元，已全部使用完毕。二是关于超收收入。2022年一般公共预算超收</w:t>
      </w:r>
      <w:r>
        <w:rPr>
          <w:rFonts w:ascii="仿宋_GB2312" w:eastAsia="仿宋_GB2312"/>
          <w:kern w:val="32"/>
          <w:sz w:val="32"/>
          <w:szCs w:val="32"/>
        </w:rPr>
        <w:t>2103</w:t>
      </w:r>
      <w:r>
        <w:rPr>
          <w:rFonts w:hint="eastAsia" w:ascii="仿宋_GB2312" w:eastAsia="仿宋_GB2312"/>
          <w:kern w:val="32"/>
          <w:sz w:val="32"/>
          <w:szCs w:val="32"/>
        </w:rPr>
        <w:t>万元，按规定全部安排预算稳定调节基金。三是关于预算稳定调节基金。2022年决算调入预算稳定调节基金</w:t>
      </w:r>
      <w:r>
        <w:rPr>
          <w:rFonts w:ascii="仿宋_GB2312" w:eastAsia="仿宋_GB2312"/>
          <w:kern w:val="32"/>
          <w:sz w:val="32"/>
          <w:szCs w:val="32"/>
        </w:rPr>
        <w:t>2500</w:t>
      </w:r>
      <w:r>
        <w:rPr>
          <w:rFonts w:hint="eastAsia" w:ascii="仿宋_GB2312" w:eastAsia="仿宋_GB2312"/>
          <w:kern w:val="32"/>
          <w:sz w:val="32"/>
          <w:szCs w:val="32"/>
        </w:rPr>
        <w:t>万元，安排预算稳定调节基金2</w:t>
      </w:r>
      <w:r>
        <w:rPr>
          <w:rFonts w:ascii="仿宋_GB2312" w:eastAsia="仿宋_GB2312"/>
          <w:kern w:val="32"/>
          <w:sz w:val="32"/>
          <w:szCs w:val="32"/>
        </w:rPr>
        <w:t>103</w:t>
      </w:r>
      <w:r>
        <w:rPr>
          <w:rFonts w:hint="eastAsia" w:ascii="仿宋_GB2312" w:eastAsia="仿宋_GB2312"/>
          <w:kern w:val="32"/>
          <w:sz w:val="32"/>
          <w:szCs w:val="32"/>
        </w:rPr>
        <w:t>万元。四是关于“三公”经费。2022年“三公”经费支出154.9万元，比年初预算少150.1万元，比去年减少89.2万元。</w:t>
      </w:r>
    </w:p>
    <w:p>
      <w:pPr>
        <w:adjustRightInd w:val="0"/>
        <w:spacing w:line="560" w:lineRule="exact"/>
        <w:ind w:firstLine="640" w:firstLineChars="200"/>
        <w:rPr>
          <w:rFonts w:ascii="黑体" w:hAnsi="黑体" w:eastAsia="黑体" w:cs="宋体"/>
          <w:kern w:val="32"/>
          <w:sz w:val="32"/>
          <w:szCs w:val="32"/>
        </w:rPr>
      </w:pPr>
      <w:r>
        <w:rPr>
          <w:rFonts w:hint="eastAsia" w:ascii="黑体" w:hAnsi="黑体" w:eastAsia="黑体" w:cs="宋体"/>
          <w:kern w:val="32"/>
          <w:sz w:val="32"/>
          <w:szCs w:val="32"/>
        </w:rPr>
        <w:t>五、2022年重点举措及执行效果</w:t>
      </w:r>
    </w:p>
    <w:p>
      <w:pPr>
        <w:spacing w:line="600" w:lineRule="exact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2022年，财税部门紧紧围绕县委、县人大的决策部署及工作要求，</w:t>
      </w:r>
      <w:r>
        <w:rPr>
          <w:rFonts w:ascii="仿宋_GB2312" w:hAnsi="Times New Roman" w:eastAsia="仿宋_GB2312" w:cs="Times New Roman"/>
          <w:kern w:val="0"/>
          <w:sz w:val="32"/>
          <w:szCs w:val="32"/>
        </w:rPr>
        <w:t>认真执行人大各项决议和批准的预算，统筹推进疫情防控和经济社会发展，统筹发展和安全，积极发挥财政调控保障作用，各项工作取得明显成效。</w:t>
      </w:r>
    </w:p>
    <w:p>
      <w:pPr>
        <w:numPr>
          <w:ilvl w:val="0"/>
          <w:numId w:val="1"/>
        </w:numPr>
        <w:spacing w:line="600" w:lineRule="exact"/>
        <w:ind w:firstLine="643" w:firstLineChars="200"/>
        <w:rPr>
          <w:rFonts w:ascii="楷体_GB2312" w:hAnsi="楷体" w:eastAsia="楷体_GB2312" w:cs="楷体"/>
          <w:b/>
          <w:sz w:val="32"/>
          <w:szCs w:val="32"/>
        </w:rPr>
      </w:pPr>
      <w:r>
        <w:rPr>
          <w:rFonts w:hint="eastAsia" w:ascii="楷体_GB2312" w:hAnsi="楷体" w:eastAsia="楷体_GB2312" w:cs="楷体"/>
          <w:b/>
          <w:sz w:val="32"/>
          <w:szCs w:val="32"/>
        </w:rPr>
        <w:t>一般公共预算收入超额完成全年任务目标</w:t>
      </w:r>
    </w:p>
    <w:p>
      <w:pPr>
        <w:spacing w:line="600" w:lineRule="exact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全县一般公共预算收入完成101102万元(不包含津石高速缴纳耕地开垦费37264万元)，突破10亿元，占预算的102.1%，增收9472万元，增长10.02%。主要是清理耕地占用税、房地产业欠缴税费以及受工业生产平稳增长、服务业加快恢复、企业经营效益提高等因素影响。</w:t>
      </w:r>
    </w:p>
    <w:p>
      <w:pPr>
        <w:spacing w:line="600" w:lineRule="exact"/>
        <w:ind w:firstLine="643" w:firstLineChars="200"/>
        <w:rPr>
          <w:rFonts w:ascii="楷体_GB2312" w:hAnsi="等线" w:eastAsia="楷体_GB2312" w:cs="Times New Roman"/>
          <w:b/>
          <w:sz w:val="32"/>
          <w:szCs w:val="32"/>
        </w:rPr>
      </w:pPr>
      <w:r>
        <w:rPr>
          <w:rFonts w:hint="eastAsia" w:ascii="楷体_GB2312" w:hAnsi="楷体" w:eastAsia="楷体_GB2312" w:cs="楷体"/>
          <w:b/>
          <w:sz w:val="32"/>
          <w:szCs w:val="32"/>
        </w:rPr>
        <w:t>（二）加快支出进度，保障重点支出</w:t>
      </w:r>
    </w:p>
    <w:p>
      <w:pPr>
        <w:spacing w:line="600" w:lineRule="exact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财政部门加强资源统筹，合理确定保障重点和支出顺序，对最急需最紧迫的大事优先安排，对必保的刚性支出足额保障，切实兜牢兜实“三保”底线，并着力发挥财政资金对优化经济结构的撬动作用，全县一般公共预算支出累计完成398595万元，为保障基层财政运行、补齐公共卫生服务体系短板、促进教育等社会事业发展、兜牢民生底线提供了有力保障。民生支出完成317544万元，占一般公共预算支出的80%，七项重点支出完成312205万元，占一般公共预算支出的78.3%，同比增长15.1%，需要特别说明的是，今年县财政共筹集、支付各类防疫防控资金5854万元，为我县核酸检测、疫苗接种、疫情防控提供了资金保证。</w:t>
      </w:r>
    </w:p>
    <w:p>
      <w:pPr>
        <w:spacing w:line="600" w:lineRule="exact"/>
        <w:ind w:firstLine="643" w:firstLineChars="200"/>
        <w:rPr>
          <w:rFonts w:ascii="楷体_GB2312" w:hAnsi="楷体" w:eastAsia="楷体_GB2312" w:cs="Times New Roman"/>
          <w:b/>
          <w:bCs/>
          <w:sz w:val="32"/>
          <w:szCs w:val="32"/>
        </w:rPr>
      </w:pPr>
      <w:r>
        <w:rPr>
          <w:rFonts w:hint="eastAsia" w:ascii="楷体_GB2312" w:hAnsi="楷体" w:eastAsia="楷体_GB2312" w:cs="Times New Roman"/>
          <w:b/>
          <w:bCs/>
          <w:sz w:val="32"/>
          <w:szCs w:val="32"/>
        </w:rPr>
        <w:t>（三）严格落实稳住经济一揽子政策措施</w:t>
      </w:r>
    </w:p>
    <w:p>
      <w:pPr>
        <w:spacing w:line="600" w:lineRule="exact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加大退税减税政策实施力度，全年留抵退税10620万元；加快各类资金支出进度，尽快落实到具体单位和项目；加快专项债券资金拨付使用，尽快形成实物工作量；发挥政府性农业融资担保机构支小支农作用，落实小微企业融资担保降费奖补政策；落实政府采购货物服务项目预留中小企业份额30%以上的要求，提高政府采购工程面向中小企业预留份额；扩大实施社保费缓缴政策，加大稳岗支持力度；加强基本民生保障，用好困难群众救助补助资金；加大创业担保贷款贴息力度，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落实好社会救助和保障标准与物价上涨挂钩联动机制。</w:t>
      </w:r>
    </w:p>
    <w:p>
      <w:pPr>
        <w:widowControl/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（四）加强财政投资评审工作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完成财政评审项目138项，送审金额90931万元，审定金额81887万元，审减9044万元，平均审减率10%。高标准完成了2022年老旧小区建筑主体改造项目和配套基础设施改造项目、无极县环境全域保洁服务、无极县高头回族乡道路改建项目、无极县2021-2022年度农村生活水源江水置换、无极县联村水厂供水管网江水置换项目、无极县城镇基础设施提升改造项目</w:t>
      </w:r>
      <w:r>
        <w:rPr>
          <w:rFonts w:hint="eastAsia" w:ascii="仿宋_GB2312" w:hAnsi="Times New Roman" w:eastAsia="仿宋_GB2312" w:cs="Times New Roman"/>
          <w:kern w:val="0"/>
          <w:sz w:val="32"/>
          <w:szCs w:val="32"/>
        </w:rPr>
        <w:t>——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生活垃圾填埋场雨污分流管网及附属设施工程等重点项目评审工作。</w:t>
      </w:r>
    </w:p>
    <w:p>
      <w:pPr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（五）严格政府采购项目管理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我县政府采购工作坚持“规范、高效、公正、廉洁”的工作理念，以政府采购监管为中心，狠抓管理制度化、程序规范化、办事透明化、服务效率化，确保了政府采购项目优质高效地完成。共执行政府采购项目预算97700万元，实际采购金额完成94100万元,节约资金3600万元。</w:t>
      </w:r>
    </w:p>
    <w:p>
      <w:pPr>
        <w:spacing w:line="600" w:lineRule="exact"/>
        <w:ind w:firstLine="643" w:firstLineChars="200"/>
        <w:rPr>
          <w:rFonts w:ascii="楷体_GB2312" w:hAnsi="楷体" w:eastAsia="楷体_GB2312" w:cs="Times New Roman"/>
          <w:b/>
          <w:bCs/>
          <w:sz w:val="32"/>
          <w:szCs w:val="32"/>
        </w:rPr>
      </w:pPr>
      <w:r>
        <w:rPr>
          <w:rFonts w:hint="eastAsia" w:ascii="楷体_GB2312" w:hAnsi="楷体" w:eastAsia="楷体_GB2312" w:cs="Times New Roman"/>
          <w:b/>
          <w:bCs/>
          <w:sz w:val="32"/>
          <w:szCs w:val="32"/>
        </w:rPr>
        <w:t>（六）开展“双问计”活动，积极争取上级资金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继续开展问计省市财政，一是全力争取政府新增债券资金，省下达新增一般债券14100万元，专项债券125200万元</w:t>
      </w:r>
      <w:r>
        <w:rPr>
          <w:rFonts w:hint="eastAsia" w:ascii="仿宋" w:hAnsi="仿宋" w:eastAsia="仿宋" w:cs="Times New Roman"/>
          <w:sz w:val="32"/>
          <w:szCs w:val="32"/>
        </w:rPr>
        <w:t>；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二是积极争取财力性补助资金25000万元，极大地缓解了县级财力压力，持续为无极发展、建设助力。</w:t>
      </w:r>
    </w:p>
    <w:p>
      <w:pPr>
        <w:spacing w:line="600" w:lineRule="exact"/>
        <w:ind w:firstLine="640" w:firstLineChars="200"/>
        <w:rPr>
          <w:rFonts w:ascii="黑体" w:hAnsi="楷体_GB2312" w:eastAsia="黑体" w:cs="楷体_GB2312"/>
          <w:bCs/>
          <w:sz w:val="32"/>
          <w:szCs w:val="32"/>
        </w:rPr>
      </w:pPr>
      <w:r>
        <w:rPr>
          <w:rFonts w:hint="eastAsia" w:ascii="黑体" w:hAnsi="楷体_GB2312" w:eastAsia="黑体" w:cs="楷体_GB2312"/>
          <w:bCs/>
          <w:sz w:val="32"/>
          <w:szCs w:val="32"/>
        </w:rPr>
        <w:t>六、下一步工作措施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今年以来，各部门加力提效落实积极的财政政策，财政收入保持平稳增长，重点支出得到较好保障，财政运行总体平稳，为全县经济社会发展提供有力财政支撑。1—6 月，全县一般公共预算收入完成67292万元，增长 9.2%，占预算的 61.1%。 其中，税收收入32757万元，增长26.5%；非税收入34535万元，下降3.3%。下半年，我们将认真落实县委、县人大各项决策部署和工作要求，围绕年初预算安排，坚持依法理财，落实减税政策，强化预算约束，严控债务风险，树立长期过“紧日子”思想，努力完成全年预算任务。</w:t>
      </w:r>
    </w:p>
    <w:p>
      <w:pPr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（一）加强预算约束和管理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ascii="仿宋_GB2312" w:hAnsi="楷体_GB2312" w:eastAsia="仿宋_GB2312" w:cs="楷体_GB2312"/>
          <w:bCs/>
          <w:sz w:val="32"/>
          <w:szCs w:val="32"/>
        </w:rPr>
        <w:t>严格执行《预算法》和《中华人民共和国预算法实施条例》以及相关法律法规，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做好财政收支管理工作</w:t>
      </w:r>
      <w:r>
        <w:rPr>
          <w:rFonts w:ascii="仿宋_GB2312" w:hAnsi="楷体_GB2312" w:eastAsia="仿宋_GB2312" w:cs="楷体_GB2312"/>
          <w:bCs/>
          <w:sz w:val="32"/>
          <w:szCs w:val="32"/>
        </w:rPr>
        <w:t>。依法组织收入，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应收尽收，</w:t>
      </w:r>
      <w:r>
        <w:rPr>
          <w:rFonts w:ascii="仿宋_GB2312" w:hAnsi="楷体_GB2312" w:eastAsia="仿宋_GB2312" w:cs="楷体_GB2312"/>
          <w:bCs/>
          <w:sz w:val="32"/>
          <w:szCs w:val="32"/>
        </w:rPr>
        <w:t>不搞虚收空转、不收过头税费，切实提高收入质量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，确保税收占比50%以上，如期完成年初人大批准的任务目标</w:t>
      </w:r>
      <w:r>
        <w:rPr>
          <w:rFonts w:ascii="仿宋_GB2312" w:hAnsi="楷体_GB2312" w:eastAsia="仿宋_GB2312" w:cs="楷体_GB2312"/>
          <w:bCs/>
          <w:sz w:val="32"/>
          <w:szCs w:val="32"/>
        </w:rPr>
        <w:t>；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加快健全财政支出督导机制，特别是对用于重点项目建设、有利于稳增长的资金，要早督促、早使用、早见效。直达资金要严管快用，确保直达基层、惠企利民；硬化预算刚性约束，</w:t>
      </w:r>
      <w:r>
        <w:rPr>
          <w:rFonts w:ascii="仿宋_GB2312" w:hAnsi="楷体_GB2312" w:eastAsia="仿宋_GB2312" w:cs="楷体_GB2312"/>
          <w:bCs/>
          <w:sz w:val="32"/>
          <w:szCs w:val="32"/>
        </w:rPr>
        <w:t>严格执行人大批准的财政预算，真正做到无预算不支出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，</w:t>
      </w:r>
      <w:r>
        <w:rPr>
          <w:rFonts w:ascii="仿宋_GB2312" w:hAnsi="楷体_GB2312" w:eastAsia="仿宋_GB2312" w:cs="楷体_GB2312"/>
          <w:bCs/>
          <w:sz w:val="32"/>
          <w:szCs w:val="32"/>
        </w:rPr>
        <w:t>对确需追加的临时预算，财政部门把细把严把实第一关，并严格按程序审批。</w:t>
      </w:r>
    </w:p>
    <w:p>
      <w:pPr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（二）着力防范化解财政运行风险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ascii="仿宋_GB2312" w:hAnsi="楷体_GB2312" w:eastAsia="仿宋_GB2312" w:cs="楷体_GB2312"/>
          <w:bCs/>
          <w:sz w:val="32"/>
          <w:szCs w:val="32"/>
        </w:rPr>
        <w:t>一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是</w:t>
      </w:r>
      <w:r>
        <w:rPr>
          <w:rFonts w:ascii="仿宋_GB2312" w:hAnsi="楷体_GB2312" w:eastAsia="仿宋_GB2312" w:cs="楷体_GB2312"/>
          <w:bCs/>
          <w:sz w:val="32"/>
          <w:szCs w:val="32"/>
        </w:rPr>
        <w:t>要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切实</w:t>
      </w:r>
      <w:r>
        <w:rPr>
          <w:rFonts w:ascii="仿宋_GB2312" w:hAnsi="楷体_GB2312" w:eastAsia="仿宋_GB2312" w:cs="楷体_GB2312"/>
          <w:bCs/>
          <w:sz w:val="32"/>
          <w:szCs w:val="32"/>
        </w:rPr>
        <w:t>防范财政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运行</w:t>
      </w:r>
      <w:r>
        <w:rPr>
          <w:rFonts w:ascii="仿宋_GB2312" w:hAnsi="楷体_GB2312" w:eastAsia="仿宋_GB2312" w:cs="楷体_GB2312"/>
          <w:bCs/>
          <w:sz w:val="32"/>
          <w:szCs w:val="32"/>
        </w:rPr>
        <w:t>风险，坚决兜牢“三保”底线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，按照“保工资、保运转、保基本民生”的保障顺序安全支出；</w:t>
      </w:r>
      <w:r>
        <w:rPr>
          <w:rFonts w:ascii="仿宋_GB2312" w:hAnsi="楷体_GB2312" w:eastAsia="仿宋_GB2312" w:cs="楷体_GB2312"/>
          <w:bCs/>
          <w:sz w:val="32"/>
          <w:szCs w:val="32"/>
        </w:rPr>
        <w:t>充分考虑财政承受能力，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有多少钱、办多少事，</w:t>
      </w:r>
      <w:r>
        <w:rPr>
          <w:rFonts w:ascii="仿宋_GB2312" w:hAnsi="楷体_GB2312" w:eastAsia="仿宋_GB2312" w:cs="楷体_GB2312"/>
          <w:bCs/>
          <w:sz w:val="32"/>
          <w:szCs w:val="32"/>
        </w:rPr>
        <w:t>合理有序实施项目建设，不搞政绩工程、形象工程；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树立政府长期</w:t>
      </w:r>
      <w:r>
        <w:rPr>
          <w:rFonts w:ascii="仿宋_GB2312" w:hAnsi="楷体_GB2312" w:eastAsia="仿宋_GB2312" w:cs="楷体_GB2312"/>
          <w:bCs/>
          <w:sz w:val="32"/>
          <w:szCs w:val="32"/>
        </w:rPr>
        <w:t>过“紧日子”思想，把好钢用在刀刃上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。二是</w:t>
      </w:r>
      <w:r>
        <w:rPr>
          <w:rFonts w:ascii="仿宋_GB2312" w:hAnsi="楷体_GB2312" w:eastAsia="仿宋_GB2312" w:cs="楷体_GB2312"/>
          <w:bCs/>
          <w:sz w:val="32"/>
          <w:szCs w:val="32"/>
        </w:rPr>
        <w:t>要切实防范债务风险，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一方面严格执行债务限额管理，加强风险防控，将政府债务本息足额列入预算，确保如期偿还、不违约；另一方面要努力提高政府性基金收支规模，降低综合债务率。三是要切实防范暂付款风险，持续坚持去存量、禁增量，统筹财力化解消化暂付款，逐步降低暂付款潜在风险。</w:t>
      </w:r>
    </w:p>
    <w:p>
      <w:pPr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（三）继续做好“双问计”争取省市政策支持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ascii="仿宋_GB2312" w:hAnsi="楷体_GB2312" w:eastAsia="仿宋_GB2312" w:cs="楷体_GB2312"/>
          <w:bCs/>
          <w:sz w:val="32"/>
          <w:szCs w:val="32"/>
        </w:rPr>
        <w:t>积极问计省市财政部门，争取政策和资金支持。要主动向上级财政汇报收支情况、财力状况以及项目的梳理、储备和建设情况，争取财力性转移支付和新增债券额度支持。</w:t>
      </w:r>
    </w:p>
    <w:p>
      <w:pPr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（四）努力提高人民生活水平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持续保障和改善民生，尽力而为、量力而行，稳步加大民生投入，让群众共享改革发展成果。积极推进民生工程和民生实事，解决群众急难愁盼问题。推进教育事业高质量发展，落实“两个只增不减”要求，支持民办教育均衡发展。提高卫生医疗服务水平，满足群众对优质医疗的需求，同时解决好医护人员工资待遇。提高社会保障水平，逐步适时提高低保户、五保户、城乡居民养老标准，落实增加退休人员养老金，完善退役军人服务保障体系，不断提升群众生活品质和水平。</w:t>
      </w:r>
    </w:p>
    <w:p>
      <w:pPr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（五）强化监督提高效能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加强县人大常委会的日常监督，确保监督常态化；继续推进</w:t>
      </w:r>
      <w:r>
        <w:rPr>
          <w:rFonts w:ascii="仿宋_GB2312" w:hAnsi="楷体_GB2312" w:eastAsia="仿宋_GB2312" w:cs="楷体_GB2312"/>
          <w:bCs/>
          <w:sz w:val="32"/>
          <w:szCs w:val="32"/>
        </w:rPr>
        <w:t>预算管理一体化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改革</w:t>
      </w:r>
      <w:r>
        <w:rPr>
          <w:rFonts w:ascii="仿宋_GB2312" w:hAnsi="楷体_GB2312" w:eastAsia="仿宋_GB2312" w:cs="楷体_GB2312"/>
          <w:bCs/>
          <w:sz w:val="32"/>
          <w:szCs w:val="32"/>
        </w:rPr>
        <w:t>，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确保预算绩效管理全面实施；建立重大政策和项目事前绩效评估机制，尤其是政府专项债券，将审核与评估结果作为预算安排的重要参考依据；进一步提高投资评审和政府采购工作效率，使节约资金与规范化、高效化有机结合；继续推动重点项目的绩效评价工作，提高财政资金使用效益和财政管理科学化、精细化水平。</w:t>
      </w:r>
    </w:p>
    <w:p>
      <w:pPr>
        <w:spacing w:line="60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各位代表，尽管财税工作取得了很大成绩，同时我们也清醒地认识到，财政运行面临风险和压力，收支矛盾更加尖锐，仍在紧平衡下负重前行。税收收入的减免缓退政策和刚性支出双重叠加，财政预算平衡更加困难；政府债务还款压力增加，尤其是专项债券潜在风险防控任务较重。对此，我们将认真对待、高度重视，采取有力措施加以解决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ascii="仿宋_GB2312" w:hAnsi="仿宋" w:eastAsia="仿宋_GB2312" w:cs="仿宋"/>
          <w:sz w:val="32"/>
          <w:szCs w:val="32"/>
        </w:rPr>
        <w:t>同时，更需要各部门、各单位的理解与支持。恳请</w:t>
      </w:r>
      <w:r>
        <w:rPr>
          <w:rFonts w:hint="eastAsia" w:ascii="仿宋_GB2312" w:hAnsi="仿宋" w:eastAsia="仿宋_GB2312" w:cs="仿宋"/>
          <w:sz w:val="32"/>
          <w:szCs w:val="32"/>
        </w:rPr>
        <w:t>大家</w:t>
      </w:r>
      <w:r>
        <w:rPr>
          <w:rFonts w:ascii="仿宋_GB2312" w:hAnsi="仿宋" w:eastAsia="仿宋_GB2312" w:cs="仿宋"/>
          <w:sz w:val="32"/>
          <w:szCs w:val="32"/>
        </w:rPr>
        <w:t>一如既往地加强对财政工作的监督并提出宝贵意见、建议。</w:t>
      </w:r>
    </w:p>
    <w:p>
      <w:pPr>
        <w:adjustRightInd w:val="0"/>
        <w:snapToGrid w:val="0"/>
        <w:spacing w:line="600" w:lineRule="exact"/>
        <w:ind w:firstLine="320" w:firstLineChars="1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附表：1、202</w:t>
      </w:r>
      <w:r>
        <w:rPr>
          <w:rFonts w:ascii="楷体_GB2312" w:hAnsi="楷体_GB2312" w:eastAsia="楷体_GB2312" w:cs="楷体_GB2312"/>
          <w:sz w:val="32"/>
          <w:szCs w:val="32"/>
        </w:rPr>
        <w:t>2</w:t>
      </w:r>
      <w:r>
        <w:rPr>
          <w:rFonts w:hint="eastAsia" w:ascii="楷体_GB2312" w:hAnsi="楷体_GB2312" w:eastAsia="楷体_GB2312" w:cs="楷体_GB2312"/>
          <w:sz w:val="32"/>
          <w:szCs w:val="32"/>
        </w:rPr>
        <w:t>年度无极县一般公共预算收入决算表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2、202</w:t>
      </w:r>
      <w:r>
        <w:rPr>
          <w:rFonts w:ascii="楷体_GB2312" w:hAnsi="楷体_GB2312" w:eastAsia="楷体_GB2312" w:cs="楷体_GB2312"/>
          <w:sz w:val="32"/>
          <w:szCs w:val="32"/>
        </w:rPr>
        <w:t>2</w:t>
      </w:r>
      <w:r>
        <w:rPr>
          <w:rFonts w:hint="eastAsia" w:ascii="楷体_GB2312" w:hAnsi="楷体_GB2312" w:eastAsia="楷体_GB2312" w:cs="楷体_GB2312"/>
          <w:sz w:val="32"/>
          <w:szCs w:val="32"/>
        </w:rPr>
        <w:t>年度无极县一般公共预算支出决算表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3、202</w:t>
      </w:r>
      <w:r>
        <w:rPr>
          <w:rFonts w:ascii="楷体_GB2312" w:hAnsi="楷体_GB2312" w:eastAsia="楷体_GB2312" w:cs="楷体_GB2312"/>
          <w:sz w:val="32"/>
          <w:szCs w:val="32"/>
        </w:rPr>
        <w:t>2</w:t>
      </w:r>
      <w:r>
        <w:rPr>
          <w:rFonts w:hint="eastAsia" w:ascii="楷体_GB2312" w:hAnsi="楷体_GB2312" w:eastAsia="楷体_GB2312" w:cs="楷体_GB2312"/>
          <w:sz w:val="32"/>
          <w:szCs w:val="32"/>
        </w:rPr>
        <w:t>年度无极县一般公共预算收支平衡表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4、202</w:t>
      </w:r>
      <w:r>
        <w:rPr>
          <w:rFonts w:ascii="楷体_GB2312" w:hAnsi="楷体_GB2312" w:eastAsia="楷体_GB2312" w:cs="楷体_GB2312"/>
          <w:sz w:val="32"/>
          <w:szCs w:val="32"/>
        </w:rPr>
        <w:t>2</w:t>
      </w:r>
      <w:r>
        <w:rPr>
          <w:rFonts w:hint="eastAsia" w:ascii="楷体_GB2312" w:hAnsi="楷体_GB2312" w:eastAsia="楷体_GB2312" w:cs="楷体_GB2312"/>
          <w:sz w:val="32"/>
          <w:szCs w:val="32"/>
        </w:rPr>
        <w:t>年无极县一般公共预算支出预算变动及结余、结转情况表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5、202</w:t>
      </w:r>
      <w:r>
        <w:rPr>
          <w:rFonts w:ascii="楷体_GB2312" w:hAnsi="楷体_GB2312" w:eastAsia="楷体_GB2312" w:cs="楷体_GB2312"/>
          <w:sz w:val="32"/>
          <w:szCs w:val="32"/>
        </w:rPr>
        <w:t>2</w:t>
      </w:r>
      <w:r>
        <w:rPr>
          <w:rFonts w:hint="eastAsia" w:ascii="楷体_GB2312" w:hAnsi="楷体_GB2312" w:eastAsia="楷体_GB2312" w:cs="楷体_GB2312"/>
          <w:sz w:val="32"/>
          <w:szCs w:val="32"/>
        </w:rPr>
        <w:t>年无极县政府性基金收支决算总表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6、202</w:t>
      </w:r>
      <w:r>
        <w:rPr>
          <w:rFonts w:ascii="楷体_GB2312" w:hAnsi="楷体_GB2312" w:eastAsia="楷体_GB2312" w:cs="楷体_GB2312"/>
          <w:sz w:val="32"/>
          <w:szCs w:val="32"/>
        </w:rPr>
        <w:t>2</w:t>
      </w:r>
      <w:r>
        <w:rPr>
          <w:rFonts w:hint="eastAsia" w:ascii="楷体_GB2312" w:hAnsi="楷体_GB2312" w:eastAsia="楷体_GB2312" w:cs="楷体_GB2312"/>
          <w:sz w:val="32"/>
          <w:szCs w:val="32"/>
        </w:rPr>
        <w:t>年无极县社会保险基金收支情况表</w:t>
      </w:r>
    </w:p>
    <w:tbl>
      <w:tblPr>
        <w:tblStyle w:val="6"/>
        <w:tblW w:w="8520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92"/>
        <w:gridCol w:w="1748"/>
        <w:gridCol w:w="1654"/>
        <w:gridCol w:w="186"/>
        <w:gridCol w:w="19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附表一</w:t>
            </w: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85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36"/>
                <w:szCs w:val="36"/>
              </w:rPr>
            </w:pPr>
            <w:bookmarkStart w:id="0" w:name="OLE_LINK2"/>
            <w:bookmarkStart w:id="1" w:name="OLE_LINK1"/>
            <w:r>
              <w:rPr>
                <w:rFonts w:hint="eastAsia" w:ascii="宋体" w:hAnsi="宋体" w:eastAsia="宋体" w:cs="宋体"/>
                <w:kern w:val="0"/>
                <w:sz w:val="36"/>
                <w:szCs w:val="36"/>
              </w:rPr>
              <w:t>2022年度无极县一般公共预算收入决算表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单位:万元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预算科目</w:t>
            </w:r>
          </w:p>
        </w:tc>
        <w:tc>
          <w:tcPr>
            <w:tcW w:w="17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预算数</w:t>
            </w:r>
          </w:p>
        </w:tc>
        <w:tc>
          <w:tcPr>
            <w:tcW w:w="16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决算数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完成预算%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一、税收收入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51500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54849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1.07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增值税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19000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15294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0.80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企业所得税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3000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2883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0.96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个人所得税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200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547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2.74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资源税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200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168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0.84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城市维护建设税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2200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1486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0.68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房产税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2729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4.55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印花税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900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745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0.83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城镇土地使用税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5000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7199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1.44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土地增值税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1800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3431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1.91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车船税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4000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3625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0.91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耕地占用税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9900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10659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1.08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契税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4500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5940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1.32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 xml:space="preserve">    环境保护税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143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0.72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其他税收收入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二、非税收入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47500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83518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1.76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专项收入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9950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>10,328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1.04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行政事业性收费收入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3000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>39,510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13.17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罚没收入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4000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>4,829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1.21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国有资本经营收入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25100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>25,567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1.02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国有资源(资产)有偿使用收入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>1,609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0.32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    捐赠收入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    政府住房基金收入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450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>1675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3.72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　其他收入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</w:rPr>
              <w:t>本 年 收 入 合 计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99000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eastAsia="宋体"/>
                <w:color w:val="000000"/>
                <w:sz w:val="22"/>
              </w:rPr>
              <w:t>138367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1.4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</w:pPr>
    </w:p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</w:pPr>
    </w:p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24"/>
          <w:szCs w:val="24"/>
        </w:rPr>
        <w:t>附表二</w:t>
      </w:r>
    </w:p>
    <w:tbl>
      <w:tblPr>
        <w:tblStyle w:val="6"/>
        <w:tblW w:w="9317" w:type="dxa"/>
        <w:tblInd w:w="5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kern w:val="0"/>
                <w:sz w:val="36"/>
                <w:szCs w:val="36"/>
              </w:rPr>
              <w:t>2022年度无极县一般公共预算支出决算表</w:t>
            </w:r>
          </w:p>
        </w:tc>
      </w:tr>
    </w:tbl>
    <w:p>
      <w:pPr>
        <w:adjustRightInd w:val="0"/>
        <w:snapToGrid w:val="0"/>
        <w:spacing w:line="600" w:lineRule="exact"/>
        <w:ind w:firstLine="2640" w:firstLineChars="1100"/>
        <w:jc w:val="left"/>
        <w:rPr>
          <w:rFonts w:cs="Times New Roman" w:asciiTheme="minorEastAsia" w:hAnsiTheme="minorEastAsia"/>
          <w:sz w:val="24"/>
          <w:szCs w:val="24"/>
        </w:rPr>
      </w:pPr>
      <w:r>
        <w:rPr>
          <w:rFonts w:hint="eastAsia" w:cs="Times New Roman" w:asciiTheme="minorEastAsia" w:hAnsiTheme="minorEastAsia"/>
          <w:sz w:val="24"/>
          <w:szCs w:val="24"/>
        </w:rPr>
        <w:t xml:space="preserve">                                       单位：万元</w:t>
      </w:r>
    </w:p>
    <w:tbl>
      <w:tblPr>
        <w:tblStyle w:val="6"/>
        <w:tblW w:w="8726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20"/>
        <w:gridCol w:w="1254"/>
        <w:gridCol w:w="1276"/>
        <w:gridCol w:w="1276"/>
        <w:gridCol w:w="130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3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预算科目</w:t>
            </w:r>
          </w:p>
        </w:tc>
        <w:tc>
          <w:tcPr>
            <w:tcW w:w="12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预算数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0"/>
                <w:szCs w:val="20"/>
              </w:rPr>
            </w:pPr>
            <w:r>
              <w:rPr>
                <w:rFonts w:hint="eastAsia" w:cs="宋体" w:asciiTheme="minorEastAsia" w:hAnsiTheme="minorEastAsia"/>
                <w:kern w:val="0"/>
                <w:sz w:val="20"/>
                <w:szCs w:val="20"/>
              </w:rPr>
              <w:t>调整预算数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  <w:u w:val="single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决算数</w:t>
            </w:r>
          </w:p>
        </w:tc>
        <w:tc>
          <w:tcPr>
            <w:tcW w:w="13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完成调整预算数%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一、一般公共服务支出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51,157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55,922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54,622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97.68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二、外交支出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三、国防支出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四、公共安全支出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9,254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11,920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11,920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五、教育支出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55,123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69,368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67,768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97.69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六、科学技术支出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75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5,005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5,005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七、文化旅游体育与传媒支出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2,524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1,827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1,827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八、社会保障和就业支出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33,456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46,788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46,788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九、卫生健康支出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18,148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28,192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27,292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96.81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十、节能环保支出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15,633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13,734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13,734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十一、城乡社区支出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20,524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93,581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90,081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96.26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十二、农林水支出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13,586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42,336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40,436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95.51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十三、交通运输支出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4,346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9,185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5,986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65.17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十四、资源勘探信息等支出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749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749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十五、商业服务业等支出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857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2,297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2,297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十六、金融支出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十七、援助其他地区支出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十八、自然资源海洋气象等支出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2,947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4,574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4,574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十九、住房保障支出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6,850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14,779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14,779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二十、粮油物资储备支出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352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277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277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二十一、灾害防治及应急管理支出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2,144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2,541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2,541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二十二、预备费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二十三、其他支出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4,485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574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574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二十四、债务付息支出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7,177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7,331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7,331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二十五、债务发行费用支出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100.00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2"/>
              </w:rPr>
            </w:pPr>
            <w:r>
              <w:rPr>
                <w:rFonts w:hint="eastAsia"/>
                <w:b/>
                <w:color w:val="000000"/>
                <w:sz w:val="22"/>
              </w:rPr>
              <w:t>本 年 支 出 合 计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hint="eastAsia" w:ascii="Calibri" w:hAnsi="Calibri" w:eastAsia="宋体" w:cs="Calibri"/>
                <w:color w:val="000000"/>
                <w:sz w:val="22"/>
              </w:rPr>
              <w:t>248668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>410,994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>398,595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2"/>
              </w:rPr>
            </w:pPr>
            <w:r>
              <w:rPr>
                <w:rFonts w:ascii="Calibri" w:hAnsi="Calibri" w:eastAsia="宋体" w:cs="Calibri"/>
                <w:color w:val="000000"/>
                <w:kern w:val="0"/>
                <w:sz w:val="22"/>
                <w:lang w:bidi="ar"/>
              </w:rPr>
              <w:t xml:space="preserve">96.98 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</w:pPr>
    </w:p>
    <w:bookmarkEnd w:id="0"/>
    <w:bookmarkEnd w:id="1"/>
    <w:p>
      <w:r>
        <w:br w:type="page"/>
      </w:r>
    </w:p>
    <w:tbl>
      <w:tblPr>
        <w:tblStyle w:val="6"/>
        <w:tblW w:w="11949" w:type="dxa"/>
        <w:tblInd w:w="-42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"/>
        <w:gridCol w:w="3714"/>
        <w:gridCol w:w="1173"/>
        <w:gridCol w:w="41"/>
        <w:gridCol w:w="1500"/>
        <w:gridCol w:w="2309"/>
        <w:gridCol w:w="825"/>
        <w:gridCol w:w="1846"/>
        <w:gridCol w:w="23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305" w:type="dxa"/>
          <w:trHeight w:val="90" w:hRule="atLeast"/>
          <w:tblHeader/>
        </w:trPr>
        <w:tc>
          <w:tcPr>
            <w:tcW w:w="49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br w:type="page"/>
            </w:r>
            <w:r>
              <w:br w:type="page"/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附表三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49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2"/>
          <w:wBefore w:w="305" w:type="dxa"/>
          <w:wAfter w:w="2082" w:type="dxa"/>
          <w:trHeight w:val="480" w:hRule="atLeast"/>
          <w:tblHeader/>
        </w:trPr>
        <w:tc>
          <w:tcPr>
            <w:tcW w:w="9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36"/>
                <w:szCs w:val="36"/>
              </w:rPr>
              <w:t>2022年度无极县一般公共预算收支平衡表</w:t>
            </w:r>
          </w:p>
          <w:p>
            <w:pPr>
              <w:widowControl/>
              <w:ind w:firstLine="2520" w:firstLineChars="1050"/>
              <w:jc w:val="left"/>
              <w:rPr>
                <w:rFonts w:cs="宋体" w:asciiTheme="minorEastAsia" w:hAnsiTheme="minorEastAsia"/>
                <w:bCs/>
                <w:kern w:val="0"/>
                <w:sz w:val="24"/>
                <w:szCs w:val="24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 w:val="24"/>
                <w:szCs w:val="24"/>
              </w:rPr>
              <w:t xml:space="preserve">                                         单位：万元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589" w:hRule="atLeast"/>
          <w:tblHeader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预算科目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决算数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预算科目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决算数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一般公共预算收入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138,367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一般公共预算支出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398595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上级补助收入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187,727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补助下级支出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返还性收入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9,794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返还性支出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所得税基数返还收入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2,100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所得税基数返还支出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成品油税费改革税收返还收入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1,398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/>
                <w:sz w:val="20"/>
                <w:szCs w:val="20"/>
              </w:rPr>
              <w:t xml:space="preserve">   </w:t>
            </w:r>
            <w:r>
              <w:rPr>
                <w:rFonts w:hint="eastAsia"/>
                <w:sz w:val="18"/>
                <w:szCs w:val="18"/>
              </w:rPr>
              <w:t xml:space="preserve"> 成品油税费改革税收返还支出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347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增值税税收返还收入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1,888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增值税税收返还支出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/>
                <w:sz w:val="20"/>
                <w:szCs w:val="20"/>
              </w:rPr>
              <w:t xml:space="preserve">    </w:t>
            </w:r>
            <w:r>
              <w:rPr>
                <w:rFonts w:hint="eastAsia"/>
                <w:sz w:val="18"/>
                <w:szCs w:val="18"/>
              </w:rPr>
              <w:t>增值税“五五分享”税收返还收入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tabs>
                <w:tab w:val="left" w:pos="551"/>
              </w:tabs>
              <w:jc w:val="lef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ab/>
            </w: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4408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hint="eastAsia"/>
                <w:sz w:val="20"/>
                <w:szCs w:val="20"/>
              </w:rPr>
              <w:t xml:space="preserve">    </w:t>
            </w:r>
            <w:r>
              <w:rPr>
                <w:rFonts w:hint="eastAsia"/>
                <w:sz w:val="16"/>
                <w:szCs w:val="16"/>
              </w:rPr>
              <w:t>增值税“五五分享”税收返还支出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一般性转移支付收入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159,973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一般性转移支付支出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体制补助收入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769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体制补助支出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均衡性转移支付收入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28,891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均衡性转移支付支出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480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县级基本财力保障机制奖补资金收入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17,344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县级基本财力保障机制奖补资金支出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结算补助收入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4,215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结算补助支出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产粮(油)大县奖励资金收入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2410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产粮(油)大县奖励资金支出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41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固定数额补助收入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11,728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固定数额补助支出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革命老区转移支付收入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584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革命老区转移支付支出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480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民族地区转移支付收入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民族地区转移支付支出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欠地区转移支付收入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1286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贫困地区转移支付支出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一般公共服务共同财政事权转移支付收入  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44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一般公共服务共同财政事权转移支付支出  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93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公共安全共同财政事权转移支付收入  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1,546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公共安全共同财政事权转移支付支出 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 xml:space="preserve">教育共同财政事权转移支付收入  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11,078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教育共同财政事权转移支付支出 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科学技术共同财政事权转移支付收入  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175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科学技术共同财政事权转移支付支出  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文化旅游体育与传媒共同财政事权转移支付收入  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288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文化旅游体育与传媒共同财政事权转移支付支出  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社会保障和就业共同财政事权转移支付收入  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22,481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社会保障和就业共同财政事权转移支付支出 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卫生健康共同财政事权转移支付收入  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6,048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卫生健康共同财政事权转移支付支出  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农林水共同财政事权转移支付收入  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20,048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农林水共同财政事权转移支付支出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交通运输共同财政事权转移支付收入  </w:t>
            </w:r>
          </w:p>
        </w:tc>
        <w:tc>
          <w:tcPr>
            <w:tcW w:w="11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977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交通运输共同财政事权转移支付支出 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自然资源海洋气象等共同财政事权转移支付收入  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94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自然资源海洋气象等共同财政事权转移支付支出  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住房保障共同财政事权转移支付收入  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1,052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住房保障共同财政事权转移支付支出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ind w:firstLine="400" w:firstLineChars="200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灾害防治及应急管理共同财政事权转移支付收入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13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其他一般性转移支付支出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 xml:space="preserve">    增值税留抵退税转移支付收入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1,268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 xml:space="preserve">    其他退税减税降费转移支付收入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4,227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 xml:space="preserve">    补充县区财力转移支付收入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16,394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其他一般性转移支付收入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7,001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专项转移支付收入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17960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专项转移支付支出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cs="Calibri"/>
                <w:color w:val="000000"/>
                <w:sz w:val="20"/>
                <w:szCs w:val="20"/>
              </w:rPr>
              <w:t xml:space="preserve">    一般公共服务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500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文化旅游体育与传媒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cs="Calibri"/>
                <w:color w:val="000000"/>
                <w:sz w:val="20"/>
                <w:szCs w:val="20"/>
              </w:rPr>
              <w:t xml:space="preserve">    公共安全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1187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卫生健康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</w:t>
            </w:r>
            <w:r>
              <w:rPr>
                <w:rFonts w:hint="eastAsia" w:cs="Calibri"/>
                <w:color w:val="000000"/>
                <w:sz w:val="20"/>
                <w:szCs w:val="20"/>
              </w:rPr>
              <w:t>卫生健康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11160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节能环保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</w:t>
            </w:r>
            <w:r>
              <w:rPr>
                <w:rFonts w:hint="eastAsia" w:cs="Calibri"/>
                <w:color w:val="000000"/>
                <w:sz w:val="20"/>
                <w:szCs w:val="20"/>
              </w:rPr>
              <w:t>节能环保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2615</w:t>
            </w: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农林水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</w:t>
            </w:r>
            <w:r>
              <w:rPr>
                <w:rFonts w:hint="eastAsia" w:cs="Calibri"/>
                <w:color w:val="000000"/>
                <w:sz w:val="20"/>
                <w:szCs w:val="20"/>
              </w:rPr>
              <w:t>农林水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2157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商业服务业等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资源勘探工业信息等共同财政事权转移支付收入  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-20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自然资源海洋气象等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</w:t>
            </w:r>
            <w:r>
              <w:rPr>
                <w:rFonts w:hint="eastAsia" w:cs="Calibri"/>
                <w:color w:val="000000"/>
                <w:sz w:val="20"/>
                <w:szCs w:val="20"/>
              </w:rPr>
              <w:t>商业服务业等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361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</w:t>
            </w:r>
            <w:r>
              <w:rPr>
                <w:rFonts w:hint="eastAsia" w:cs="Calibri"/>
                <w:color w:val="000000"/>
                <w:sz w:val="20"/>
                <w:szCs w:val="20"/>
              </w:rPr>
              <w:t>灾害及应急管理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下级上解收入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上解上级支出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-2083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专项上解收入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专项上解支出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-2083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上年结余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5572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调入资金   </w:t>
            </w:r>
          </w:p>
        </w:tc>
        <w:tc>
          <w:tcPr>
            <w:tcW w:w="11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67752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调出资金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eastAsia="宋体"/>
                <w:color w:val="000000"/>
                <w:sz w:val="20"/>
                <w:szCs w:val="20"/>
              </w:rPr>
              <w:t>5004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从政府性基金预算调入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54755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从国有资本经营预算调入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债务还本支出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2,400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从其他资金调入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12997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地方政府一般债务还本支出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2,400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债务收入</w:t>
            </w:r>
          </w:p>
        </w:tc>
        <w:tc>
          <w:tcPr>
            <w:tcW w:w="11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地方政府一般债券还本支出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2,400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地方政府债务收入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</w:t>
            </w:r>
            <w:r>
              <w:rPr>
                <w:rFonts w:hint="eastAsia"/>
                <w:sz w:val="16"/>
                <w:szCs w:val="16"/>
              </w:rPr>
              <w:t>地方政府向外国政府借款还本支出</w:t>
            </w:r>
          </w:p>
        </w:tc>
        <w:tc>
          <w:tcPr>
            <w:tcW w:w="8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  一般债务收入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债务转贷支出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地方政府一般债券收入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地方政府一般债券转贷支出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债务转贷收入</w:t>
            </w:r>
          </w:p>
        </w:tc>
        <w:tc>
          <w:tcPr>
            <w:tcW w:w="11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16,500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18"/>
                <w:szCs w:val="18"/>
              </w:rPr>
              <w:t>地方政府向外国政府借款转贷支出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314" w:hRule="atLeast"/>
        </w:trPr>
        <w:tc>
          <w:tcPr>
            <w:tcW w:w="40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地方政府一般债务转贷收入</w:t>
            </w:r>
          </w:p>
        </w:tc>
        <w:tc>
          <w:tcPr>
            <w:tcW w:w="11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16,500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新增一般债券转贷收入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16,500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安排预算稳定调节基金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2103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再融资一般债券转贷收入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年终结余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12399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调入预算稳定调节基金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  <w:r>
              <w:rPr>
                <w:rFonts w:hint="eastAsia" w:ascii="Calibri" w:hAnsi="Calibri" w:eastAsia="宋体" w:cs="Calibri"/>
                <w:color w:val="000000"/>
                <w:sz w:val="20"/>
                <w:szCs w:val="20"/>
              </w:rPr>
              <w:t>2500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减:结转下年的支出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12399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20"/>
                <w:szCs w:val="20"/>
              </w:rPr>
            </w:pP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净结余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082" w:type="dxa"/>
          <w:trHeight w:val="285" w:hRule="atLeast"/>
        </w:trPr>
        <w:tc>
          <w:tcPr>
            <w:tcW w:w="401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收  入  总  计</w:t>
            </w:r>
          </w:p>
        </w:tc>
        <w:tc>
          <w:tcPr>
            <w:tcW w:w="11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418418</w:t>
            </w:r>
          </w:p>
        </w:tc>
        <w:tc>
          <w:tcPr>
            <w:tcW w:w="3850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支  出  总  计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</w:rPr>
              <w:t>418418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  <w:sectPr>
          <w:footerReference r:id="rId3" w:type="default"/>
          <w:footerReference r:id="rId4" w:type="even"/>
          <w:pgSz w:w="11906" w:h="16838"/>
          <w:pgMar w:top="1440" w:right="1474" w:bottom="1361" w:left="1797" w:header="851" w:footer="992" w:gutter="0"/>
          <w:cols w:space="425" w:num="1"/>
          <w:docGrid w:type="lines" w:linePitch="312" w:charSpace="0"/>
        </w:sectPr>
      </w:pPr>
    </w:p>
    <w:tbl>
      <w:tblPr>
        <w:tblStyle w:val="6"/>
        <w:tblW w:w="1504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0"/>
        <w:gridCol w:w="1973"/>
        <w:gridCol w:w="417"/>
        <w:gridCol w:w="471"/>
        <w:gridCol w:w="867"/>
        <w:gridCol w:w="136"/>
        <w:gridCol w:w="1064"/>
        <w:gridCol w:w="213"/>
        <w:gridCol w:w="657"/>
        <w:gridCol w:w="731"/>
        <w:gridCol w:w="259"/>
        <w:gridCol w:w="142"/>
        <w:gridCol w:w="340"/>
        <w:gridCol w:w="510"/>
        <w:gridCol w:w="851"/>
        <w:gridCol w:w="816"/>
        <w:gridCol w:w="743"/>
        <w:gridCol w:w="224"/>
        <w:gridCol w:w="493"/>
        <w:gridCol w:w="942"/>
        <w:gridCol w:w="110"/>
        <w:gridCol w:w="1003"/>
        <w:gridCol w:w="305"/>
        <w:gridCol w:w="334"/>
        <w:gridCol w:w="658"/>
        <w:gridCol w:w="4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5040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ascii="仿宋_GB2312" w:eastAsia="仿宋_GB2312"/>
                <w:bCs/>
                <w:sz w:val="24"/>
                <w:szCs w:val="24"/>
              </w:rPr>
            </w:pPr>
            <w:r>
              <w:br w:type="page"/>
            </w:r>
            <w:r>
              <w:rPr>
                <w:rFonts w:hint="eastAsia" w:ascii="仿宋_GB2312" w:eastAsia="仿宋_GB2312"/>
                <w:bCs/>
                <w:sz w:val="24"/>
                <w:szCs w:val="24"/>
              </w:rPr>
              <w:t>附表四：</w:t>
            </w:r>
          </w:p>
          <w:p>
            <w:pPr>
              <w:jc w:val="center"/>
              <w:rPr>
                <w:rFonts w:ascii="宋体" w:hAnsi="宋体" w:eastAsia="宋体" w:cs="宋体"/>
                <w:b/>
                <w:bCs/>
                <w:sz w:val="36"/>
                <w:szCs w:val="36"/>
              </w:rPr>
            </w:pPr>
            <w:r>
              <w:rPr>
                <w:rFonts w:hint="eastAsia"/>
                <w:b/>
                <w:bCs/>
                <w:sz w:val="36"/>
                <w:szCs w:val="36"/>
              </w:rPr>
              <w:t>2022年度无极县一般公共预算支出预算变动及结余、结转情况表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15040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单位:万元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271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预算科目</w:t>
            </w:r>
          </w:p>
        </w:tc>
        <w:tc>
          <w:tcPr>
            <w:tcW w:w="88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预算数</w:t>
            </w:r>
          </w:p>
        </w:tc>
        <w:tc>
          <w:tcPr>
            <w:tcW w:w="8046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变    动    项    目</w:t>
            </w:r>
          </w:p>
        </w:tc>
        <w:tc>
          <w:tcPr>
            <w:tcW w:w="105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调整预算数</w:t>
            </w:r>
          </w:p>
        </w:tc>
        <w:tc>
          <w:tcPr>
            <w:tcW w:w="10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决算数</w:t>
            </w:r>
          </w:p>
        </w:tc>
        <w:tc>
          <w:tcPr>
            <w:tcW w:w="639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预算结余</w:t>
            </w:r>
          </w:p>
        </w:tc>
        <w:tc>
          <w:tcPr>
            <w:tcW w:w="699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结转下年使用数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</w:trPr>
        <w:tc>
          <w:tcPr>
            <w:tcW w:w="271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888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003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小计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一般性转移支付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专项转移支付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上年结转使用数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调入资金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13"/>
                <w:szCs w:val="13"/>
              </w:rPr>
            </w:pPr>
            <w:r>
              <w:rPr>
                <w:rFonts w:hint="eastAsia"/>
                <w:sz w:val="13"/>
                <w:szCs w:val="13"/>
              </w:rPr>
              <w:t>债务(转贷)收入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动支预备费</w:t>
            </w:r>
          </w:p>
        </w:tc>
        <w:tc>
          <w:tcPr>
            <w:tcW w:w="967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科目调剂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其他</w:t>
            </w:r>
          </w:p>
        </w:tc>
        <w:tc>
          <w:tcPr>
            <w:tcW w:w="105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0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639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699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一般公共服务支出</w:t>
            </w:r>
          </w:p>
        </w:tc>
        <w:tc>
          <w:tcPr>
            <w:tcW w:w="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51,157</w:t>
            </w:r>
          </w:p>
        </w:tc>
        <w:tc>
          <w:tcPr>
            <w:tcW w:w="100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28,924</w:t>
            </w:r>
          </w:p>
        </w:tc>
        <w:tc>
          <w:tcPr>
            <w:tcW w:w="10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500</w:t>
            </w:r>
          </w:p>
        </w:tc>
        <w:tc>
          <w:tcPr>
            <w:tcW w:w="113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200</w:t>
            </w:r>
          </w:p>
        </w:tc>
        <w:tc>
          <w:tcPr>
            <w:tcW w:w="85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1,300</w:t>
            </w:r>
          </w:p>
        </w:tc>
        <w:tc>
          <w:tcPr>
            <w:tcW w:w="8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2,765</w:t>
            </w:r>
          </w:p>
        </w:tc>
        <w:tc>
          <w:tcPr>
            <w:tcW w:w="4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55,922</w:t>
            </w: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54,622</w:t>
            </w:r>
          </w:p>
        </w:tc>
        <w:tc>
          <w:tcPr>
            <w:tcW w:w="63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1,300</w:t>
            </w:r>
          </w:p>
        </w:tc>
        <w:tc>
          <w:tcPr>
            <w:tcW w:w="69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1,300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公共安全支出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9,254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2,823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1,187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300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1,179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11,920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11,920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教育支出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55,123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-1,299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11,361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2,000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884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69,368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67,768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1,600</w:t>
            </w: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1,600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科学技术支出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75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2,710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4,930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5,005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5,005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文化旅游体育与传媒支出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2,524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26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-697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1,827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1,827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社会保障和就业支出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33,456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1,718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22,481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-9,149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46,788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46,788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卫生健康支出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18,148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21,951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6,496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11,036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-7,688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28,192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27,292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900</w:t>
            </w: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900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节能环保支出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15,633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11,686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1,868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747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1,630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-6,144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13,734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13,734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城乡社区支出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20,524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36,158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2,800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2,154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57,233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700</w:t>
            </w: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10,170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93,581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90,081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3,500</w:t>
            </w: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3,500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农林水支出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13,586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11,173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21,519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686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1,900</w:t>
            </w: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4,645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42,336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40,436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1,900</w:t>
            </w: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1,900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交通运输支出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4,346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-587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7,799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3,600</w:t>
            </w: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-6,560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9,185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5,986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3,199</w:t>
            </w: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3,199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资源勘探工业信息等支出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0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482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-20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296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473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749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749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商业服务业等支出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857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380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361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1,079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2,297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2,297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自然资源海洋气象等支出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2,947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538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1,627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4,574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4,574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住房保障支出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6,850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-867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1,000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6,929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14,779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14,779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粮油物资储备支出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352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/>
                <w:color w:val="000000"/>
                <w:sz w:val="15"/>
                <w:szCs w:val="15"/>
              </w:rPr>
              <w:t>343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-75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277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277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灾害防治及应急管理支出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2,144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1,324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992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-595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2,541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2,541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预备费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0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-2,000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其他支出(类)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4,485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-2,952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-3,911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574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574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债务付息支出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7,177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112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154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7,331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7,331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债务发行费用支出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30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-14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-16</w:t>
            </w: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14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5"/>
                <w:szCs w:val="15"/>
                <w:lang w:bidi="ar"/>
              </w:rPr>
              <w:t>14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1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sz w:val="20"/>
                <w:szCs w:val="20"/>
              </w:rPr>
            </w:pPr>
            <w:r>
              <w:rPr>
                <w:rFonts w:hint="eastAsia"/>
                <w:b/>
                <w:sz w:val="20"/>
                <w:szCs w:val="20"/>
              </w:rPr>
              <w:t>合       计</w:t>
            </w:r>
          </w:p>
        </w:tc>
        <w:tc>
          <w:tcPr>
            <w:tcW w:w="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248668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162326</w:t>
            </w:r>
          </w:p>
        </w:tc>
        <w:tc>
          <w:tcPr>
            <w:tcW w:w="10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67525</w:t>
            </w:r>
          </w:p>
        </w:tc>
        <w:tc>
          <w:tcPr>
            <w:tcW w:w="8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14497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5572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67032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7700</w:t>
            </w: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96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410994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398595</w:t>
            </w:r>
          </w:p>
        </w:tc>
        <w:tc>
          <w:tcPr>
            <w:tcW w:w="6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12399</w:t>
            </w:r>
          </w:p>
        </w:tc>
        <w:tc>
          <w:tcPr>
            <w:tcW w:w="6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 w:val="15"/>
                <w:szCs w:val="15"/>
              </w:rPr>
            </w:pPr>
            <w:r>
              <w:rPr>
                <w:rFonts w:hint="eastAsia" w:ascii="Calibri" w:hAnsi="Calibri" w:eastAsia="宋体" w:cs="Calibri"/>
                <w:color w:val="000000"/>
                <w:sz w:val="15"/>
                <w:szCs w:val="15"/>
              </w:rPr>
              <w:t>12399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435" w:hRule="atLeast"/>
        </w:trPr>
        <w:tc>
          <w:tcPr>
            <w:tcW w:w="14999" w:type="dxa"/>
            <w:gridSpan w:val="25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552" w:hRule="atLeast"/>
        </w:trPr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</w:p>
        </w:tc>
        <w:tc>
          <w:tcPr>
            <w:tcW w:w="14259" w:type="dxa"/>
            <w:gridSpan w:val="2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36"/>
                <w:szCs w:val="36"/>
              </w:rPr>
              <w:t>2022年无极县政府性基金收支决算总表</w:t>
            </w:r>
          </w:p>
          <w:p>
            <w:pPr>
              <w:widowControl/>
              <w:ind w:firstLine="2880" w:firstLineChars="1200"/>
              <w:jc w:val="left"/>
              <w:rPr>
                <w:rFonts w:ascii="宋体" w:hAnsi="宋体" w:eastAsia="宋体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 xml:space="preserve">                                                                                单位：万元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收入预算科目</w:t>
            </w:r>
          </w:p>
        </w:tc>
        <w:tc>
          <w:tcPr>
            <w:tcW w:w="13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年初预算数</w:t>
            </w:r>
          </w:p>
        </w:tc>
        <w:tc>
          <w:tcPr>
            <w:tcW w:w="141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调整预算数</w:t>
            </w:r>
          </w:p>
        </w:tc>
        <w:tc>
          <w:tcPr>
            <w:tcW w:w="13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决算数</w:t>
            </w:r>
          </w:p>
        </w:tc>
        <w:tc>
          <w:tcPr>
            <w:tcW w:w="7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292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支出预算科目</w:t>
            </w:r>
          </w:p>
        </w:tc>
        <w:tc>
          <w:tcPr>
            <w:tcW w:w="165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年初预算数</w:t>
            </w:r>
          </w:p>
        </w:tc>
        <w:tc>
          <w:tcPr>
            <w:tcW w:w="141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调整预算数</w:t>
            </w:r>
          </w:p>
        </w:tc>
        <w:tc>
          <w:tcPr>
            <w:tcW w:w="99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决算数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农网还贷资金收入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文化体育与传媒支出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4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32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国家电影事业发展专项资金收入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社会保障与就业支出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城市公用事业附加收入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城乡社区支出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92318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17981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16246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国有土地收益基金收入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5200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4,217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4,217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资源勘探工业信息等支出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农业土地开发资金收入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400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195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195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其他支出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34360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160197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80062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国有土地使用权出让收入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121000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68,691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68,691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债务付息支出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7017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7017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7017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彩票公益金收入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300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336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336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债务发行费用支出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110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110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110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城市基础设施配套费收入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3500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1162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1162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抗疫特别国债安排的支出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污水处理费收入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200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150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150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0"/>
                <w:szCs w:val="20"/>
              </w:rPr>
              <w:t>本 年 支 出 合 计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133809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185338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103436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其他政府性基金收入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调出资金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20000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54755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54755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0"/>
                <w:szCs w:val="20"/>
              </w:rPr>
              <w:t>本 年 收 入 合 计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130600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74751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74751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债务还本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12100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12100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12100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政府性基金上级补助收入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4429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4429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政府性基金补助下级支出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政府性基金上年结余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  <w:r>
              <w:rPr>
                <w:rFonts w:hint="eastAsia" w:ascii="Calibri" w:hAnsi="Calibri" w:cs="Calibri"/>
                <w:color w:val="000000"/>
                <w:szCs w:val="21"/>
              </w:rPr>
              <w:t>35309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35309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35309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政府性基金调出资金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债务转贷收入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132700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132700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上年结余资金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政府性基金调入资金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5004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eastAsia="宋体"/>
                <w:color w:val="000000"/>
                <w:szCs w:val="21"/>
              </w:rPr>
              <w:t>5004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政府性基金年终结余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81902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1.一般公共预算调入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5004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5004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2.调入专项收入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3.其他调入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1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0"/>
                <w:szCs w:val="20"/>
              </w:rPr>
              <w:t>收　　入　　总　　计　</w:t>
            </w:r>
          </w:p>
        </w:tc>
        <w:tc>
          <w:tcPr>
            <w:tcW w:w="133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Calibri" w:hAnsi="Calibri" w:eastAsia="宋体" w:cs="Calibri"/>
                <w:color w:val="000000"/>
                <w:szCs w:val="21"/>
              </w:rPr>
            </w:pPr>
            <w:r>
              <w:rPr>
                <w:rFonts w:hint="eastAsia" w:ascii="Calibri" w:hAnsi="Calibri" w:cs="Calibri"/>
                <w:color w:val="000000"/>
                <w:szCs w:val="21"/>
              </w:rPr>
              <w:t>165909</w:t>
            </w:r>
            <w:r>
              <w:rPr>
                <w:rFonts w:ascii="Calibri" w:hAnsi="Calibri" w:cs="Calibri"/>
                <w:color w:val="000000"/>
                <w:szCs w:val="21"/>
              </w:rPr>
              <w:t>　</w:t>
            </w:r>
          </w:p>
        </w:tc>
        <w:tc>
          <w:tcPr>
            <w:tcW w:w="14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252193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252193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0"/>
                <w:szCs w:val="20"/>
              </w:rPr>
              <w:t>支　　出　　总　　计</w:t>
            </w:r>
          </w:p>
        </w:tc>
        <w:tc>
          <w:tcPr>
            <w:tcW w:w="165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165909　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252193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252193</w:t>
            </w:r>
          </w:p>
        </w:tc>
      </w:tr>
    </w:tbl>
    <w:p>
      <w:r>
        <w:br w:type="page"/>
      </w:r>
    </w:p>
    <w:tbl>
      <w:tblPr>
        <w:tblStyle w:val="6"/>
        <w:tblW w:w="16021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88"/>
        <w:gridCol w:w="62"/>
        <w:gridCol w:w="805"/>
        <w:gridCol w:w="649"/>
        <w:gridCol w:w="504"/>
        <w:gridCol w:w="603"/>
        <w:gridCol w:w="1417"/>
        <w:gridCol w:w="949"/>
        <w:gridCol w:w="469"/>
        <w:gridCol w:w="284"/>
        <w:gridCol w:w="1275"/>
        <w:gridCol w:w="37"/>
        <w:gridCol w:w="938"/>
        <w:gridCol w:w="868"/>
        <w:gridCol w:w="1275"/>
        <w:gridCol w:w="1418"/>
        <w:gridCol w:w="9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附表六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11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9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5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679" w:hRule="atLeast"/>
        </w:trPr>
        <w:tc>
          <w:tcPr>
            <w:tcW w:w="15041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36"/>
                <w:szCs w:val="36"/>
              </w:rPr>
              <w:t>2022年度无极县社会保险基金收支情况表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338" w:hRule="atLeast"/>
        </w:trPr>
        <w:tc>
          <w:tcPr>
            <w:tcW w:w="15041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单位：万元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1215" w:hRule="atLeast"/>
        </w:trPr>
        <w:tc>
          <w:tcPr>
            <w:tcW w:w="35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项    目</w:t>
            </w:r>
          </w:p>
        </w:tc>
        <w:tc>
          <w:tcPr>
            <w:tcW w:w="145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合计</w:t>
            </w:r>
          </w:p>
        </w:tc>
        <w:tc>
          <w:tcPr>
            <w:tcW w:w="110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企业职工基本养老保险基金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城乡居民基本养老保险基金</w:t>
            </w: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机关事业单位基本养老保险基金</w:t>
            </w: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职工基本医疗保险(含生育保险)基金</w:t>
            </w:r>
          </w:p>
        </w:tc>
        <w:tc>
          <w:tcPr>
            <w:tcW w:w="184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城乡居民基本医疗保险基金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工伤保险基金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失业保险基金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一、收入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38,632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17,735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20,897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其中:社会保险费收入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19,032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4,432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14,600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利息收入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16,017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13,017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3,000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财政补贴收入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237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206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委托投资收益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其他收入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1,163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1,161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转移收入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86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82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中央调剂资金收入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二、支出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35,484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12,836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22,648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其中:社会保险待遇支出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35,139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12,833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22,306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其他支出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293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290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转移支出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中央调剂资金支出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三、本年收支结余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3,148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4,899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-1,751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80" w:type="dxa"/>
          <w:trHeight w:val="405" w:hRule="atLeast"/>
        </w:trPr>
        <w:tc>
          <w:tcPr>
            <w:tcW w:w="355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四、年末滚存结余</w:t>
            </w:r>
          </w:p>
        </w:tc>
        <w:tc>
          <w:tcPr>
            <w:tcW w:w="145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44,419</w:t>
            </w:r>
          </w:p>
        </w:tc>
        <w:tc>
          <w:tcPr>
            <w:tcW w:w="110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42,570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1,849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</w:pPr>
    </w:p>
    <w:sectPr>
      <w:pgSz w:w="16838" w:h="11906" w:orient="landscape"/>
      <w:pgMar w:top="851" w:right="851" w:bottom="851" w:left="851" w:header="851" w:footer="567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560"/>
      <w:jc w:val="center"/>
      <w:rPr>
        <w:sz w:val="28"/>
        <w:szCs w:val="28"/>
      </w:rPr>
    </w:pPr>
    <w:r>
      <w:rPr>
        <w:rFonts w:hint="eastAsia"/>
        <w:sz w:val="28"/>
        <w:szCs w:val="28"/>
      </w:rPr>
      <w:t>－</w:t>
    </w:r>
    <w:sdt>
      <w:sdtPr>
        <w:rPr>
          <w:sz w:val="28"/>
          <w:szCs w:val="28"/>
        </w:rPr>
        <w:id w:val="633145010"/>
      </w:sdtPr>
      <w:sdtEndPr>
        <w:rPr>
          <w:sz w:val="28"/>
          <w:szCs w:val="28"/>
        </w:rPr>
      </w:sdtEndPr>
      <w:sdtContent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17</w:t>
        </w:r>
        <w:r>
          <w:rPr>
            <w:sz w:val="28"/>
            <w:szCs w:val="28"/>
          </w:rPr>
          <w:fldChar w:fldCharType="end"/>
        </w:r>
        <w:r>
          <w:rPr>
            <w:rFonts w:hint="eastAsia"/>
            <w:sz w:val="28"/>
            <w:szCs w:val="28"/>
          </w:rPr>
          <w:t>－</w:t>
        </w:r>
      </w:sdtContent>
    </w:sdt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sz w:val="28"/>
        <w:szCs w:val="28"/>
      </w:rPr>
    </w:pPr>
    <w:r>
      <w:rPr>
        <w:rFonts w:hint="eastAsia"/>
        <w:sz w:val="28"/>
        <w:szCs w:val="28"/>
      </w:rPr>
      <w:t>－</w:t>
    </w:r>
    <w:sdt>
      <w:sdtPr>
        <w:rPr>
          <w:sz w:val="28"/>
          <w:szCs w:val="28"/>
        </w:rPr>
        <w:id w:val="-774014756"/>
      </w:sdtPr>
      <w:sdtEndPr>
        <w:rPr>
          <w:sz w:val="28"/>
          <w:szCs w:val="28"/>
          <w:lang w:val="zh-CN"/>
        </w:rPr>
      </w:sdtEndPr>
      <w:sdtContent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16</w:t>
        </w:r>
        <w:r>
          <w:rPr>
            <w:sz w:val="28"/>
            <w:szCs w:val="28"/>
            <w:lang w:val="zh-CN"/>
          </w:rPr>
          <w:fldChar w:fldCharType="end"/>
        </w:r>
        <w:r>
          <w:rPr>
            <w:rFonts w:hint="eastAsia"/>
            <w:sz w:val="28"/>
            <w:szCs w:val="28"/>
            <w:lang w:val="zh-CN"/>
          </w:rPr>
          <w:t>－</w:t>
        </w:r>
      </w:sdtContent>
    </w:sdt>
  </w:p>
  <w:p>
    <w:pPr>
      <w:pStyle w:val="4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D517019"/>
    <w:multiLevelType w:val="singleLevel"/>
    <w:tmpl w:val="7D517019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gutterAtTop/>
  <w:documentProtection w:enforcement="0"/>
  <w:defaultTabStop w:val="420"/>
  <w:evenAndOddHeaders w:val="1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349"/>
    <w:rsid w:val="000010FB"/>
    <w:rsid w:val="000013E5"/>
    <w:rsid w:val="00001B3A"/>
    <w:rsid w:val="0000443F"/>
    <w:rsid w:val="00007F8F"/>
    <w:rsid w:val="00010243"/>
    <w:rsid w:val="00016B19"/>
    <w:rsid w:val="00021C52"/>
    <w:rsid w:val="000267A3"/>
    <w:rsid w:val="00030FD7"/>
    <w:rsid w:val="00035E2F"/>
    <w:rsid w:val="0004428B"/>
    <w:rsid w:val="00050644"/>
    <w:rsid w:val="00055F9E"/>
    <w:rsid w:val="00062EBD"/>
    <w:rsid w:val="000726AC"/>
    <w:rsid w:val="00072922"/>
    <w:rsid w:val="000753E1"/>
    <w:rsid w:val="00082B7B"/>
    <w:rsid w:val="000863B4"/>
    <w:rsid w:val="00090EC2"/>
    <w:rsid w:val="00093F1A"/>
    <w:rsid w:val="000947B6"/>
    <w:rsid w:val="000955C9"/>
    <w:rsid w:val="000A0E77"/>
    <w:rsid w:val="000A1BE2"/>
    <w:rsid w:val="000A7A6D"/>
    <w:rsid w:val="000B4D3B"/>
    <w:rsid w:val="000B5343"/>
    <w:rsid w:val="000C2D89"/>
    <w:rsid w:val="000C6810"/>
    <w:rsid w:val="000D0D63"/>
    <w:rsid w:val="000D72E6"/>
    <w:rsid w:val="000D7C22"/>
    <w:rsid w:val="000E0BA4"/>
    <w:rsid w:val="000E32A8"/>
    <w:rsid w:val="000E3CE0"/>
    <w:rsid w:val="000F2083"/>
    <w:rsid w:val="000F55E6"/>
    <w:rsid w:val="0011747F"/>
    <w:rsid w:val="00121668"/>
    <w:rsid w:val="00121FE8"/>
    <w:rsid w:val="00132F97"/>
    <w:rsid w:val="00147CE4"/>
    <w:rsid w:val="001677BE"/>
    <w:rsid w:val="0017146C"/>
    <w:rsid w:val="001755D8"/>
    <w:rsid w:val="001975B1"/>
    <w:rsid w:val="00197DE7"/>
    <w:rsid w:val="001E1ABD"/>
    <w:rsid w:val="001E3ADC"/>
    <w:rsid w:val="001E3D71"/>
    <w:rsid w:val="001E7261"/>
    <w:rsid w:val="001F0FF7"/>
    <w:rsid w:val="0020231B"/>
    <w:rsid w:val="00211238"/>
    <w:rsid w:val="00215CA2"/>
    <w:rsid w:val="002238D8"/>
    <w:rsid w:val="00232634"/>
    <w:rsid w:val="00243EA6"/>
    <w:rsid w:val="002475CE"/>
    <w:rsid w:val="00250D30"/>
    <w:rsid w:val="002530A1"/>
    <w:rsid w:val="002544A6"/>
    <w:rsid w:val="00261FD3"/>
    <w:rsid w:val="002767DC"/>
    <w:rsid w:val="00295C97"/>
    <w:rsid w:val="002966B1"/>
    <w:rsid w:val="002B1B36"/>
    <w:rsid w:val="002B2861"/>
    <w:rsid w:val="002C1F75"/>
    <w:rsid w:val="002C49C4"/>
    <w:rsid w:val="002C5721"/>
    <w:rsid w:val="002D617E"/>
    <w:rsid w:val="002D76EA"/>
    <w:rsid w:val="002E05A4"/>
    <w:rsid w:val="002F43EF"/>
    <w:rsid w:val="00302A3A"/>
    <w:rsid w:val="00302C77"/>
    <w:rsid w:val="00306189"/>
    <w:rsid w:val="00317547"/>
    <w:rsid w:val="003226B2"/>
    <w:rsid w:val="00325943"/>
    <w:rsid w:val="00334CA7"/>
    <w:rsid w:val="003447B6"/>
    <w:rsid w:val="00360894"/>
    <w:rsid w:val="003664B5"/>
    <w:rsid w:val="00367E34"/>
    <w:rsid w:val="00372C30"/>
    <w:rsid w:val="0038209B"/>
    <w:rsid w:val="00386ECA"/>
    <w:rsid w:val="00391C35"/>
    <w:rsid w:val="00393E8F"/>
    <w:rsid w:val="003B161D"/>
    <w:rsid w:val="003B6CD4"/>
    <w:rsid w:val="003C3191"/>
    <w:rsid w:val="003C5C48"/>
    <w:rsid w:val="003C5CE0"/>
    <w:rsid w:val="003D2148"/>
    <w:rsid w:val="003D4CC5"/>
    <w:rsid w:val="003E3F37"/>
    <w:rsid w:val="003E4BDC"/>
    <w:rsid w:val="003F1E63"/>
    <w:rsid w:val="004208C5"/>
    <w:rsid w:val="00436B0C"/>
    <w:rsid w:val="004447BC"/>
    <w:rsid w:val="004667D5"/>
    <w:rsid w:val="004716E8"/>
    <w:rsid w:val="00472289"/>
    <w:rsid w:val="00487D8C"/>
    <w:rsid w:val="004C2937"/>
    <w:rsid w:val="004C2E20"/>
    <w:rsid w:val="004D01F3"/>
    <w:rsid w:val="004D0E59"/>
    <w:rsid w:val="004D1372"/>
    <w:rsid w:val="004E14C5"/>
    <w:rsid w:val="004E5798"/>
    <w:rsid w:val="004E5DB4"/>
    <w:rsid w:val="004E7A08"/>
    <w:rsid w:val="004F040F"/>
    <w:rsid w:val="00503E55"/>
    <w:rsid w:val="00522739"/>
    <w:rsid w:val="00530F4E"/>
    <w:rsid w:val="00536555"/>
    <w:rsid w:val="005506F4"/>
    <w:rsid w:val="00564774"/>
    <w:rsid w:val="0056584B"/>
    <w:rsid w:val="00585C43"/>
    <w:rsid w:val="00586633"/>
    <w:rsid w:val="0059142F"/>
    <w:rsid w:val="00596523"/>
    <w:rsid w:val="005B5535"/>
    <w:rsid w:val="005C2FAE"/>
    <w:rsid w:val="005D0697"/>
    <w:rsid w:val="005D23AC"/>
    <w:rsid w:val="005F45CC"/>
    <w:rsid w:val="006035D3"/>
    <w:rsid w:val="006052A8"/>
    <w:rsid w:val="006158C3"/>
    <w:rsid w:val="00616895"/>
    <w:rsid w:val="00620BFB"/>
    <w:rsid w:val="0062686B"/>
    <w:rsid w:val="00642464"/>
    <w:rsid w:val="00675A96"/>
    <w:rsid w:val="00681F0B"/>
    <w:rsid w:val="006864E3"/>
    <w:rsid w:val="006869C2"/>
    <w:rsid w:val="006B20FD"/>
    <w:rsid w:val="006B2829"/>
    <w:rsid w:val="006C02D6"/>
    <w:rsid w:val="006D41C9"/>
    <w:rsid w:val="006D4AE7"/>
    <w:rsid w:val="006E01EC"/>
    <w:rsid w:val="006E22EE"/>
    <w:rsid w:val="00702326"/>
    <w:rsid w:val="00711846"/>
    <w:rsid w:val="00714658"/>
    <w:rsid w:val="0072644E"/>
    <w:rsid w:val="00736C29"/>
    <w:rsid w:val="0075008B"/>
    <w:rsid w:val="007558F0"/>
    <w:rsid w:val="00755ED4"/>
    <w:rsid w:val="00760168"/>
    <w:rsid w:val="00783811"/>
    <w:rsid w:val="00785B92"/>
    <w:rsid w:val="00785FD2"/>
    <w:rsid w:val="0079552D"/>
    <w:rsid w:val="007B5ECC"/>
    <w:rsid w:val="007C003E"/>
    <w:rsid w:val="007E3572"/>
    <w:rsid w:val="007E5CF3"/>
    <w:rsid w:val="007F055D"/>
    <w:rsid w:val="007F1B4F"/>
    <w:rsid w:val="007F3C9D"/>
    <w:rsid w:val="00802AAE"/>
    <w:rsid w:val="0080685F"/>
    <w:rsid w:val="008128DC"/>
    <w:rsid w:val="00820AD1"/>
    <w:rsid w:val="008230F5"/>
    <w:rsid w:val="0083537C"/>
    <w:rsid w:val="00837C59"/>
    <w:rsid w:val="00842BE0"/>
    <w:rsid w:val="00847886"/>
    <w:rsid w:val="00853E74"/>
    <w:rsid w:val="00854090"/>
    <w:rsid w:val="00870EB5"/>
    <w:rsid w:val="00895AFE"/>
    <w:rsid w:val="008A0D84"/>
    <w:rsid w:val="008B49A1"/>
    <w:rsid w:val="008B71AD"/>
    <w:rsid w:val="008C1C05"/>
    <w:rsid w:val="008C4132"/>
    <w:rsid w:val="008C5552"/>
    <w:rsid w:val="008D13F9"/>
    <w:rsid w:val="008E10EF"/>
    <w:rsid w:val="008E5858"/>
    <w:rsid w:val="008E68B6"/>
    <w:rsid w:val="00901A4D"/>
    <w:rsid w:val="0090627E"/>
    <w:rsid w:val="0091095D"/>
    <w:rsid w:val="00915033"/>
    <w:rsid w:val="009267F4"/>
    <w:rsid w:val="00944AB4"/>
    <w:rsid w:val="00980A8C"/>
    <w:rsid w:val="00980CF3"/>
    <w:rsid w:val="009A11D1"/>
    <w:rsid w:val="009A4054"/>
    <w:rsid w:val="009A611A"/>
    <w:rsid w:val="009B2420"/>
    <w:rsid w:val="009C315D"/>
    <w:rsid w:val="009C3490"/>
    <w:rsid w:val="009D01C1"/>
    <w:rsid w:val="009D19D9"/>
    <w:rsid w:val="009D6F0B"/>
    <w:rsid w:val="009F4720"/>
    <w:rsid w:val="009F4A4B"/>
    <w:rsid w:val="00A0114B"/>
    <w:rsid w:val="00A05458"/>
    <w:rsid w:val="00A11A73"/>
    <w:rsid w:val="00A26E99"/>
    <w:rsid w:val="00A31981"/>
    <w:rsid w:val="00A52102"/>
    <w:rsid w:val="00A54C7E"/>
    <w:rsid w:val="00A6563C"/>
    <w:rsid w:val="00A80A9F"/>
    <w:rsid w:val="00A83400"/>
    <w:rsid w:val="00A925C4"/>
    <w:rsid w:val="00A968BF"/>
    <w:rsid w:val="00AA0FC6"/>
    <w:rsid w:val="00AB4E2F"/>
    <w:rsid w:val="00AC3AFF"/>
    <w:rsid w:val="00AC4F84"/>
    <w:rsid w:val="00AD27CB"/>
    <w:rsid w:val="00AE6BF1"/>
    <w:rsid w:val="00AF03D2"/>
    <w:rsid w:val="00AF2689"/>
    <w:rsid w:val="00AF33E0"/>
    <w:rsid w:val="00B00E19"/>
    <w:rsid w:val="00B01BEF"/>
    <w:rsid w:val="00B13A31"/>
    <w:rsid w:val="00B17D42"/>
    <w:rsid w:val="00B22570"/>
    <w:rsid w:val="00B305ED"/>
    <w:rsid w:val="00B30DA4"/>
    <w:rsid w:val="00B33869"/>
    <w:rsid w:val="00B3526A"/>
    <w:rsid w:val="00B4466D"/>
    <w:rsid w:val="00B45241"/>
    <w:rsid w:val="00B453D7"/>
    <w:rsid w:val="00B46D99"/>
    <w:rsid w:val="00B575C0"/>
    <w:rsid w:val="00B6533E"/>
    <w:rsid w:val="00B66FB4"/>
    <w:rsid w:val="00B73534"/>
    <w:rsid w:val="00B737C5"/>
    <w:rsid w:val="00B9301F"/>
    <w:rsid w:val="00BA18C2"/>
    <w:rsid w:val="00BA2F68"/>
    <w:rsid w:val="00BA395D"/>
    <w:rsid w:val="00BB219E"/>
    <w:rsid w:val="00BB692B"/>
    <w:rsid w:val="00BC03C7"/>
    <w:rsid w:val="00BC1D71"/>
    <w:rsid w:val="00BD31B5"/>
    <w:rsid w:val="00BD4003"/>
    <w:rsid w:val="00BD60CE"/>
    <w:rsid w:val="00BF6392"/>
    <w:rsid w:val="00C00BF4"/>
    <w:rsid w:val="00C02F7B"/>
    <w:rsid w:val="00C03B30"/>
    <w:rsid w:val="00C210AC"/>
    <w:rsid w:val="00C25902"/>
    <w:rsid w:val="00C3068D"/>
    <w:rsid w:val="00C35FE0"/>
    <w:rsid w:val="00C40C19"/>
    <w:rsid w:val="00C43E23"/>
    <w:rsid w:val="00C47411"/>
    <w:rsid w:val="00C52BC9"/>
    <w:rsid w:val="00C53146"/>
    <w:rsid w:val="00C67ACE"/>
    <w:rsid w:val="00C700C2"/>
    <w:rsid w:val="00C71A84"/>
    <w:rsid w:val="00C72C13"/>
    <w:rsid w:val="00C733BF"/>
    <w:rsid w:val="00C7568B"/>
    <w:rsid w:val="00C76EE9"/>
    <w:rsid w:val="00C80C37"/>
    <w:rsid w:val="00C85106"/>
    <w:rsid w:val="00C8701E"/>
    <w:rsid w:val="00CA2C15"/>
    <w:rsid w:val="00CB322B"/>
    <w:rsid w:val="00CB375E"/>
    <w:rsid w:val="00CB5125"/>
    <w:rsid w:val="00CB6B6A"/>
    <w:rsid w:val="00CC7C3B"/>
    <w:rsid w:val="00CD1B77"/>
    <w:rsid w:val="00CE7292"/>
    <w:rsid w:val="00D04069"/>
    <w:rsid w:val="00D23B78"/>
    <w:rsid w:val="00D27723"/>
    <w:rsid w:val="00D314B2"/>
    <w:rsid w:val="00D33FF8"/>
    <w:rsid w:val="00D376C7"/>
    <w:rsid w:val="00D516A1"/>
    <w:rsid w:val="00D543F9"/>
    <w:rsid w:val="00D61AD5"/>
    <w:rsid w:val="00D6576A"/>
    <w:rsid w:val="00D94A35"/>
    <w:rsid w:val="00DA5383"/>
    <w:rsid w:val="00DA7DC5"/>
    <w:rsid w:val="00DB1729"/>
    <w:rsid w:val="00DC0532"/>
    <w:rsid w:val="00DC0994"/>
    <w:rsid w:val="00DF66A8"/>
    <w:rsid w:val="00E10353"/>
    <w:rsid w:val="00E10A29"/>
    <w:rsid w:val="00E14503"/>
    <w:rsid w:val="00E23E93"/>
    <w:rsid w:val="00E27E64"/>
    <w:rsid w:val="00E30390"/>
    <w:rsid w:val="00E31E0C"/>
    <w:rsid w:val="00E328BD"/>
    <w:rsid w:val="00E46643"/>
    <w:rsid w:val="00E4726F"/>
    <w:rsid w:val="00E53371"/>
    <w:rsid w:val="00E62A84"/>
    <w:rsid w:val="00E6438C"/>
    <w:rsid w:val="00E71DF7"/>
    <w:rsid w:val="00E72F96"/>
    <w:rsid w:val="00E778E8"/>
    <w:rsid w:val="00E80046"/>
    <w:rsid w:val="00E80808"/>
    <w:rsid w:val="00E9244C"/>
    <w:rsid w:val="00E95A04"/>
    <w:rsid w:val="00EC0568"/>
    <w:rsid w:val="00EC4DE8"/>
    <w:rsid w:val="00EE0558"/>
    <w:rsid w:val="00EE376A"/>
    <w:rsid w:val="00F04839"/>
    <w:rsid w:val="00F23E40"/>
    <w:rsid w:val="00F3340B"/>
    <w:rsid w:val="00F40357"/>
    <w:rsid w:val="00F41141"/>
    <w:rsid w:val="00F4514D"/>
    <w:rsid w:val="00F46F7F"/>
    <w:rsid w:val="00F50EF5"/>
    <w:rsid w:val="00F57CE6"/>
    <w:rsid w:val="00F61650"/>
    <w:rsid w:val="00F6775D"/>
    <w:rsid w:val="00F7489B"/>
    <w:rsid w:val="00F8242B"/>
    <w:rsid w:val="00F93725"/>
    <w:rsid w:val="00FA494D"/>
    <w:rsid w:val="00FB0BE5"/>
    <w:rsid w:val="00FB5349"/>
    <w:rsid w:val="00FE3923"/>
    <w:rsid w:val="00FF3747"/>
    <w:rsid w:val="00FF78E8"/>
    <w:rsid w:val="02F81B14"/>
    <w:rsid w:val="05426C49"/>
    <w:rsid w:val="0997215A"/>
    <w:rsid w:val="0C65001A"/>
    <w:rsid w:val="0D0733D0"/>
    <w:rsid w:val="117C368C"/>
    <w:rsid w:val="14D334D2"/>
    <w:rsid w:val="14DB15D8"/>
    <w:rsid w:val="1D8428E1"/>
    <w:rsid w:val="1E672D34"/>
    <w:rsid w:val="21064750"/>
    <w:rsid w:val="2D604E04"/>
    <w:rsid w:val="2E8A57EA"/>
    <w:rsid w:val="2F565013"/>
    <w:rsid w:val="2FBB6C86"/>
    <w:rsid w:val="471E0DC1"/>
    <w:rsid w:val="47F62C37"/>
    <w:rsid w:val="47FD1CC7"/>
    <w:rsid w:val="50517B45"/>
    <w:rsid w:val="57016816"/>
    <w:rsid w:val="59CA6A8E"/>
    <w:rsid w:val="5AC02DF3"/>
    <w:rsid w:val="5B734DF8"/>
    <w:rsid w:val="6D4377B9"/>
    <w:rsid w:val="71BB3A25"/>
    <w:rsid w:val="778957A6"/>
    <w:rsid w:val="782765A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36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日期 Char"/>
    <w:basedOn w:val="7"/>
    <w:link w:val="2"/>
    <w:semiHidden/>
    <w:qFormat/>
    <w:uiPriority w:val="99"/>
  </w:style>
  <w:style w:type="character" w:customStyle="1" w:styleId="11">
    <w:name w:val="页眉 Char"/>
    <w:basedOn w:val="7"/>
    <w:link w:val="5"/>
    <w:uiPriority w:val="99"/>
    <w:rPr>
      <w:sz w:val="18"/>
      <w:szCs w:val="18"/>
    </w:rPr>
  </w:style>
  <w:style w:type="character" w:customStyle="1" w:styleId="12">
    <w:name w:val="页脚 Char"/>
    <w:basedOn w:val="7"/>
    <w:link w:val="4"/>
    <w:uiPriority w:val="99"/>
    <w:rPr>
      <w:sz w:val="18"/>
      <w:szCs w:val="18"/>
    </w:rPr>
  </w:style>
  <w:style w:type="paragraph" w:customStyle="1" w:styleId="13">
    <w:name w:val="xl66"/>
    <w:basedOn w:val="1"/>
    <w:uiPriority w:val="0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4">
    <w:name w:val="xl67"/>
    <w:basedOn w:val="1"/>
    <w:uiPriority w:val="0"/>
    <w:pPr>
      <w:widowControl/>
      <w:shd w:val="clear" w:color="000000" w:fill="C0C0C0"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5">
    <w:name w:val="xl68"/>
    <w:basedOn w:val="1"/>
    <w:uiPriority w:val="0"/>
    <w:pPr>
      <w:widowControl/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36"/>
      <w:szCs w:val="36"/>
    </w:rPr>
  </w:style>
  <w:style w:type="paragraph" w:customStyle="1" w:styleId="16">
    <w:name w:val="xl69"/>
    <w:basedOn w:val="1"/>
    <w:qFormat/>
    <w:uiPriority w:val="0"/>
    <w:pPr>
      <w:widowControl/>
      <w:pBdr>
        <w:bottom w:val="single" w:color="auto" w:sz="4" w:space="0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7">
    <w:name w:val="xl70"/>
    <w:basedOn w:val="1"/>
    <w:qFormat/>
    <w:uiPriority w:val="0"/>
    <w:pPr>
      <w:widowControl/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8">
    <w:name w:val="xl71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9">
    <w:name w:val="xl72"/>
    <w:basedOn w:val="1"/>
    <w:qFormat/>
    <w:uiPriority w:val="0"/>
    <w:pPr>
      <w:widowControl/>
      <w:pBdr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0">
    <w:name w:val="xl73"/>
    <w:basedOn w:val="1"/>
    <w:qFormat/>
    <w:uiPriority w:val="0"/>
    <w:pPr>
      <w:widowControl/>
      <w:pBdr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1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2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3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4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5">
    <w:name w:val="xl78"/>
    <w:basedOn w:val="1"/>
    <w:qFormat/>
    <w:uiPriority w:val="0"/>
    <w:pPr>
      <w:widowControl/>
      <w:pBdr>
        <w:left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6">
    <w:name w:val="xl79"/>
    <w:basedOn w:val="1"/>
    <w:qFormat/>
    <w:uiPriority w:val="0"/>
    <w:pPr>
      <w:widowControl/>
      <w:pBdr>
        <w:left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7">
    <w:name w:val="xl80"/>
    <w:basedOn w:val="1"/>
    <w:qFormat/>
    <w:uiPriority w:val="0"/>
    <w:pPr>
      <w:widowControl/>
      <w:pBdr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8">
    <w:name w:val="xl81"/>
    <w:basedOn w:val="1"/>
    <w:qFormat/>
    <w:uiPriority w:val="0"/>
    <w:pPr>
      <w:widowControl/>
      <w:pBdr>
        <w:lef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9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0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1">
    <w:name w:val="xl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2">
    <w:name w:val="xl85"/>
    <w:basedOn w:val="1"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3">
    <w:name w:val="xl86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styleId="34">
    <w:name w:val="No Spacing"/>
    <w:link w:val="35"/>
    <w:qFormat/>
    <w:uiPriority w:val="1"/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customStyle="1" w:styleId="35">
    <w:name w:val="无间隔 Char"/>
    <w:basedOn w:val="7"/>
    <w:link w:val="34"/>
    <w:uiPriority w:val="1"/>
    <w:rPr>
      <w:kern w:val="0"/>
      <w:sz w:val="22"/>
    </w:rPr>
  </w:style>
  <w:style w:type="character" w:customStyle="1" w:styleId="36">
    <w:name w:val="批注框文本 Char"/>
    <w:basedOn w:val="7"/>
    <w:link w:val="3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F7994C-D929-4E2E-8C54-7A6CB23F8CB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17</Pages>
  <Words>1904</Words>
  <Characters>10853</Characters>
  <Lines>90</Lines>
  <Paragraphs>25</Paragraphs>
  <TotalTime>187</TotalTime>
  <ScaleCrop>false</ScaleCrop>
  <LinksUpToDate>false</LinksUpToDate>
  <CharactersWithSpaces>12732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2023-08-16T02:27:00Z</dcterms:created>
  <dc:creator>User</dc:creator>
  <cp:lastModifiedBy>Administrator</cp:lastModifiedBy>
  <cp:lastPrinted>2021-09-13T00:58:00Z</cp:lastPrinted>
  <dcterms:modified xsi:type="dcterms:W3CDTF">2024-06-20T13:52:35Z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606080359B3540EEA6E9C91EE5BBD3F7</vt:lpwstr>
  </property>
</Properties>
</file>