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31" w:line="205" w:lineRule="auto"/>
        <w:jc w:val="center"/>
        <w:rPr>
          <w:rFonts w:ascii="宋体" w:hAnsi="宋体" w:eastAsia="宋体" w:cs="宋体"/>
          <w:sz w:val="41"/>
          <w:szCs w:val="41"/>
        </w:rPr>
      </w:pPr>
      <w:r>
        <w:rPr>
          <w:rFonts w:ascii="宋体" w:hAnsi="宋体" w:eastAsia="宋体" w:cs="宋体"/>
          <w:b/>
          <w:bCs/>
          <w:spacing w:val="-4"/>
          <w:sz w:val="41"/>
          <w:szCs w:val="41"/>
        </w:rPr>
        <w:t>重点任务责任分工表</w:t>
      </w:r>
    </w:p>
    <w:tbl>
      <w:tblPr>
        <w:tblStyle w:val="7"/>
        <w:tblW w:w="1274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4"/>
        <w:gridCol w:w="1389"/>
        <w:gridCol w:w="5235"/>
        <w:gridCol w:w="1409"/>
        <w:gridCol w:w="39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734" w:type="dxa"/>
            <w:vAlign w:val="center"/>
          </w:tcPr>
          <w:p>
            <w:pPr>
              <w:spacing w:before="54" w:line="221" w:lineRule="auto"/>
              <w:ind w:left="145"/>
              <w:jc w:val="both"/>
              <w:rPr>
                <w:rFonts w:ascii="宋体" w:hAnsi="宋体" w:eastAsia="宋体" w:cs="宋体"/>
                <w:sz w:val="21"/>
                <w:szCs w:val="21"/>
              </w:rPr>
            </w:pPr>
            <w:r>
              <w:rPr>
                <w:rFonts w:ascii="宋体" w:hAnsi="宋体" w:eastAsia="宋体" w:cs="宋体"/>
                <w:b/>
                <w:bCs/>
                <w:spacing w:val="-5"/>
                <w:sz w:val="21"/>
                <w:szCs w:val="21"/>
              </w:rPr>
              <w:t>序号</w:t>
            </w:r>
          </w:p>
        </w:tc>
        <w:tc>
          <w:tcPr>
            <w:tcW w:w="1389" w:type="dxa"/>
            <w:vAlign w:val="center"/>
          </w:tcPr>
          <w:p>
            <w:pPr>
              <w:spacing w:before="50" w:line="219" w:lineRule="auto"/>
              <w:ind w:left="254"/>
              <w:jc w:val="both"/>
              <w:rPr>
                <w:rFonts w:ascii="宋体" w:hAnsi="宋体" w:eastAsia="宋体" w:cs="宋体"/>
                <w:sz w:val="21"/>
                <w:szCs w:val="21"/>
              </w:rPr>
            </w:pPr>
            <w:r>
              <w:rPr>
                <w:rFonts w:ascii="宋体" w:hAnsi="宋体" w:eastAsia="宋体" w:cs="宋体"/>
                <w:b/>
                <w:bCs/>
                <w:spacing w:val="-5"/>
                <w:sz w:val="21"/>
                <w:szCs w:val="21"/>
              </w:rPr>
              <w:t>工作任务</w:t>
            </w:r>
          </w:p>
        </w:tc>
        <w:tc>
          <w:tcPr>
            <w:tcW w:w="5235" w:type="dxa"/>
            <w:vAlign w:val="center"/>
          </w:tcPr>
          <w:p>
            <w:pPr>
              <w:spacing w:before="20" w:line="219" w:lineRule="auto"/>
              <w:ind w:left="2215"/>
              <w:jc w:val="both"/>
              <w:rPr>
                <w:rFonts w:ascii="宋体" w:hAnsi="宋体" w:eastAsia="宋体" w:cs="宋体"/>
                <w:sz w:val="21"/>
                <w:szCs w:val="21"/>
              </w:rPr>
            </w:pPr>
            <w:r>
              <w:rPr>
                <w:rFonts w:ascii="宋体" w:hAnsi="宋体" w:eastAsia="宋体" w:cs="宋体"/>
                <w:b/>
                <w:bCs/>
                <w:spacing w:val="8"/>
                <w:sz w:val="21"/>
                <w:szCs w:val="21"/>
              </w:rPr>
              <w:t>具体内容</w:t>
            </w:r>
          </w:p>
        </w:tc>
        <w:tc>
          <w:tcPr>
            <w:tcW w:w="1409" w:type="dxa"/>
            <w:vAlign w:val="center"/>
          </w:tcPr>
          <w:p>
            <w:pPr>
              <w:spacing w:before="50" w:line="219" w:lineRule="auto"/>
              <w:ind w:left="279"/>
              <w:jc w:val="both"/>
              <w:rPr>
                <w:rFonts w:ascii="宋体" w:hAnsi="宋体" w:eastAsia="宋体" w:cs="宋体"/>
                <w:sz w:val="21"/>
                <w:szCs w:val="21"/>
              </w:rPr>
            </w:pPr>
            <w:r>
              <w:rPr>
                <w:rFonts w:ascii="宋体" w:hAnsi="宋体" w:eastAsia="宋体" w:cs="宋体"/>
                <w:b/>
                <w:bCs/>
                <w:spacing w:val="-5"/>
                <w:sz w:val="21"/>
                <w:szCs w:val="21"/>
              </w:rPr>
              <w:t>完成时限</w:t>
            </w:r>
          </w:p>
        </w:tc>
        <w:tc>
          <w:tcPr>
            <w:tcW w:w="3982" w:type="dxa"/>
            <w:vAlign w:val="center"/>
          </w:tcPr>
          <w:p>
            <w:pPr>
              <w:spacing w:before="50" w:line="219" w:lineRule="auto"/>
              <w:ind w:left="1590"/>
              <w:jc w:val="both"/>
              <w:rPr>
                <w:rFonts w:ascii="宋体" w:hAnsi="宋体" w:eastAsia="宋体" w:cs="宋体"/>
                <w:sz w:val="21"/>
                <w:szCs w:val="21"/>
              </w:rPr>
            </w:pPr>
            <w:r>
              <w:rPr>
                <w:rFonts w:ascii="宋体" w:hAnsi="宋体" w:eastAsia="宋体" w:cs="宋体"/>
                <w:b/>
                <w:bCs/>
                <w:spacing w:val="7"/>
                <w:sz w:val="21"/>
                <w:szCs w:val="21"/>
              </w:rPr>
              <w:t>责任部门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2749" w:type="dxa"/>
            <w:gridSpan w:val="5"/>
            <w:vAlign w:val="center"/>
          </w:tcPr>
          <w:p>
            <w:pPr>
              <w:spacing w:before="175" w:line="219" w:lineRule="auto"/>
              <w:ind w:left="117"/>
              <w:jc w:val="both"/>
              <w:rPr>
                <w:rFonts w:ascii="宋体" w:hAnsi="宋体" w:eastAsia="宋体" w:cs="宋体"/>
                <w:sz w:val="21"/>
                <w:szCs w:val="21"/>
              </w:rPr>
            </w:pPr>
            <w:r>
              <w:rPr>
                <w:rFonts w:ascii="宋体" w:hAnsi="宋体" w:eastAsia="宋体" w:cs="宋体"/>
                <w:b/>
                <w:bCs/>
                <w:spacing w:val="-3"/>
                <w:sz w:val="21"/>
                <w:szCs w:val="21"/>
              </w:rPr>
              <w:t>一、加强水土流失预防保护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3" w:hRule="atLeast"/>
        </w:trPr>
        <w:tc>
          <w:tcPr>
            <w:tcW w:w="734" w:type="dxa"/>
            <w:vAlign w:val="center"/>
          </w:tcPr>
          <w:p>
            <w:pPr>
              <w:spacing w:before="68" w:line="184" w:lineRule="auto"/>
              <w:jc w:val="center"/>
              <w:rPr>
                <w:rFonts w:ascii="宋体" w:hAnsi="宋体" w:eastAsia="宋体" w:cs="宋体"/>
                <w:sz w:val="21"/>
                <w:szCs w:val="21"/>
              </w:rPr>
            </w:pPr>
            <w:r>
              <w:rPr>
                <w:rFonts w:ascii="宋体" w:hAnsi="宋体" w:eastAsia="宋体" w:cs="宋体"/>
                <w:sz w:val="21"/>
                <w:szCs w:val="21"/>
              </w:rPr>
              <w:t>1</w:t>
            </w:r>
          </w:p>
        </w:tc>
        <w:tc>
          <w:tcPr>
            <w:tcW w:w="1389" w:type="dxa"/>
            <w:vMerge w:val="restart"/>
            <w:tcBorders>
              <w:bottom w:val="nil"/>
            </w:tcBorders>
            <w:vAlign w:val="center"/>
          </w:tcPr>
          <w:p>
            <w:pPr>
              <w:spacing w:before="68" w:line="255" w:lineRule="auto"/>
              <w:ind w:right="218"/>
              <w:jc w:val="both"/>
              <w:rPr>
                <w:rFonts w:ascii="宋体" w:hAnsi="宋体" w:eastAsia="宋体" w:cs="宋体"/>
                <w:sz w:val="21"/>
                <w:szCs w:val="21"/>
              </w:rPr>
            </w:pPr>
            <w:r>
              <w:rPr>
                <w:rFonts w:ascii="宋体" w:hAnsi="宋体" w:eastAsia="宋体" w:cs="宋体"/>
                <w:spacing w:val="1"/>
                <w:sz w:val="21"/>
                <w:szCs w:val="21"/>
              </w:rPr>
              <w:t>(一)抓好</w:t>
            </w:r>
            <w:r>
              <w:rPr>
                <w:rFonts w:ascii="宋体" w:hAnsi="宋体" w:eastAsia="宋体" w:cs="宋体"/>
                <w:spacing w:val="-3"/>
                <w:sz w:val="21"/>
                <w:szCs w:val="21"/>
              </w:rPr>
              <w:t>水土流失源</w:t>
            </w:r>
            <w:r>
              <w:rPr>
                <w:rFonts w:ascii="宋体" w:hAnsi="宋体" w:eastAsia="宋体" w:cs="宋体"/>
                <w:spacing w:val="3"/>
                <w:sz w:val="21"/>
                <w:szCs w:val="21"/>
              </w:rPr>
              <w:t>头防控</w:t>
            </w:r>
          </w:p>
        </w:tc>
        <w:tc>
          <w:tcPr>
            <w:tcW w:w="5235"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落实差别化保护措施，应减少人类活动对自然生态空间的占用，限制可能造成严重水土流失的生产建设活动。</w:t>
            </w:r>
          </w:p>
        </w:tc>
        <w:tc>
          <w:tcPr>
            <w:tcW w:w="140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8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水利局、自然资源和规划局、农业农村局、生态环境</w:t>
            </w:r>
            <w:r>
              <w:rPr>
                <w:rFonts w:hint="eastAsia" w:ascii="宋体" w:hAnsi="宋体" w:eastAsia="宋体" w:cs="宋体"/>
                <w:spacing w:val="7"/>
                <w:sz w:val="21"/>
                <w:szCs w:val="21"/>
                <w:lang w:val="en-US" w:eastAsia="zh-CN"/>
              </w:rPr>
              <w:t>分</w:t>
            </w:r>
            <w:r>
              <w:rPr>
                <w:rFonts w:ascii="宋体" w:hAnsi="宋体" w:eastAsia="宋体" w:cs="宋体"/>
                <w:spacing w:val="7"/>
                <w:sz w:val="21"/>
                <w:szCs w:val="21"/>
              </w:rPr>
              <w:t>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9" w:hRule="atLeast"/>
        </w:trPr>
        <w:tc>
          <w:tcPr>
            <w:tcW w:w="734" w:type="dxa"/>
            <w:vAlign w:val="center"/>
          </w:tcPr>
          <w:p>
            <w:pPr>
              <w:spacing w:before="68" w:line="183"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1389" w:type="dxa"/>
            <w:vMerge w:val="continue"/>
            <w:tcBorders>
              <w:top w:val="nil"/>
              <w:bottom w:val="nil"/>
            </w:tcBorders>
            <w:vAlign w:val="center"/>
          </w:tcPr>
          <w:p>
            <w:pPr>
              <w:jc w:val="both"/>
              <w:rPr>
                <w:rFonts w:ascii="Arial"/>
                <w:sz w:val="21"/>
              </w:rPr>
            </w:pPr>
          </w:p>
        </w:tc>
        <w:tc>
          <w:tcPr>
            <w:tcW w:w="5235"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要加强生产建设项目和取土、挖沙等活动的管理，减少地表扰动，预防和减轻水土流失。</w:t>
            </w:r>
          </w:p>
        </w:tc>
        <w:tc>
          <w:tcPr>
            <w:tcW w:w="140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8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水利局、自然资源和规划局、农业农村局等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734" w:type="dxa"/>
            <w:tcBorders>
              <w:bottom w:val="single" w:color="auto" w:sz="4" w:space="0"/>
            </w:tcBorders>
            <w:vAlign w:val="center"/>
          </w:tcPr>
          <w:p>
            <w:pPr>
              <w:spacing w:before="68" w:line="183"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w:t>
            </w:r>
          </w:p>
        </w:tc>
        <w:tc>
          <w:tcPr>
            <w:tcW w:w="1389" w:type="dxa"/>
            <w:vMerge w:val="continue"/>
            <w:tcBorders>
              <w:top w:val="nil"/>
              <w:bottom w:val="single" w:color="auto" w:sz="4" w:space="0"/>
            </w:tcBorders>
            <w:vAlign w:val="center"/>
          </w:tcPr>
          <w:p>
            <w:pPr>
              <w:jc w:val="both"/>
              <w:rPr>
                <w:rFonts w:ascii="Arial"/>
                <w:sz w:val="21"/>
              </w:rPr>
            </w:pPr>
          </w:p>
        </w:tc>
        <w:tc>
          <w:tcPr>
            <w:tcW w:w="5235"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有关规划涉及基础设施建设、矿产资源开发、城镇建设、公共服务设施建设等内容，在实施过程中可能造成水土流失的，应提出水土流失预防和治理的对策和措施，并征求同级水行政主管部门意见</w:t>
            </w:r>
          </w:p>
        </w:tc>
        <w:tc>
          <w:tcPr>
            <w:tcW w:w="140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8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水利局、自然资源和规划局、农业农村局、生态环境局等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2" w:hRule="atLeast"/>
        </w:trPr>
        <w:tc>
          <w:tcPr>
            <w:tcW w:w="734" w:type="dxa"/>
            <w:tcBorders>
              <w:top w:val="single" w:color="auto" w:sz="4" w:space="0"/>
            </w:tcBorders>
            <w:vAlign w:val="center"/>
          </w:tcPr>
          <w:p>
            <w:pPr>
              <w:spacing w:before="68" w:line="259" w:lineRule="auto"/>
              <w:ind w:right="75" w:rightChars="0"/>
              <w:jc w:val="center"/>
              <w:rPr>
                <w:rFonts w:hint="eastAsia" w:ascii="宋体" w:hAnsi="宋体" w:eastAsia="宋体" w:cs="宋体"/>
                <w:spacing w:val="7"/>
                <w:kern w:val="2"/>
                <w:sz w:val="21"/>
                <w:szCs w:val="21"/>
                <w:lang w:val="en-US" w:eastAsia="zh-CN" w:bidi="ar-SA"/>
              </w:rPr>
            </w:pPr>
            <w:r>
              <w:rPr>
                <w:rFonts w:hint="eastAsia" w:ascii="宋体" w:hAnsi="宋体" w:eastAsia="宋体" w:cs="宋体"/>
                <w:spacing w:val="7"/>
                <w:sz w:val="21"/>
                <w:szCs w:val="21"/>
                <w:lang w:val="en-US" w:eastAsia="zh-CN"/>
              </w:rPr>
              <w:t>4</w:t>
            </w:r>
          </w:p>
        </w:tc>
        <w:tc>
          <w:tcPr>
            <w:tcW w:w="1389" w:type="dxa"/>
            <w:vMerge w:val="restart"/>
            <w:tcBorders>
              <w:top w:val="single" w:color="auto" w:sz="4" w:space="0"/>
            </w:tcBorders>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(二)加大重点区域预防保护力度</w:t>
            </w:r>
          </w:p>
        </w:tc>
        <w:tc>
          <w:tcPr>
            <w:tcW w:w="5235"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在白洋淀上游</w:t>
            </w:r>
            <w:r>
              <w:rPr>
                <w:rFonts w:hint="eastAsia" w:ascii="宋体" w:hAnsi="宋体" w:eastAsia="宋体" w:cs="宋体"/>
                <w:spacing w:val="7"/>
                <w:sz w:val="21"/>
                <w:szCs w:val="21"/>
                <w:lang w:eastAsia="zh-CN"/>
              </w:rPr>
              <w:t>河道</w:t>
            </w:r>
            <w:r>
              <w:rPr>
                <w:rFonts w:ascii="宋体" w:hAnsi="宋体" w:eastAsia="宋体" w:cs="宋体"/>
                <w:spacing w:val="7"/>
                <w:sz w:val="21"/>
                <w:szCs w:val="21"/>
              </w:rPr>
              <w:t>以及滹沱河等重点区域开展国土空间生态修复，实施重要生态系统保护和修复重点工程等，提升生态系统质量和稳定性。</w:t>
            </w:r>
          </w:p>
        </w:tc>
        <w:tc>
          <w:tcPr>
            <w:tcW w:w="1409" w:type="dxa"/>
            <w:vAlign w:val="center"/>
          </w:tcPr>
          <w:p>
            <w:pPr>
              <w:spacing w:before="68" w:line="259" w:lineRule="auto"/>
              <w:ind w:right="75" w:rightChars="0"/>
              <w:jc w:val="center"/>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持续推进</w:t>
            </w:r>
          </w:p>
        </w:tc>
        <w:tc>
          <w:tcPr>
            <w:tcW w:w="3982"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水利局、自然资源和规划局、农业农村局、</w:t>
            </w:r>
            <w:r>
              <w:rPr>
                <w:rFonts w:hint="eastAsia" w:ascii="宋体" w:hAnsi="宋体" w:eastAsia="宋体" w:cs="宋体"/>
                <w:spacing w:val="7"/>
                <w:sz w:val="21"/>
                <w:szCs w:val="21"/>
                <w:lang w:val="en-US" w:eastAsia="zh-CN"/>
              </w:rPr>
              <w:t>发展和改革</w:t>
            </w:r>
            <w:r>
              <w:rPr>
                <w:rFonts w:hint="eastAsia" w:ascii="宋体" w:hAnsi="宋体" w:eastAsia="宋体" w:cs="宋体"/>
                <w:spacing w:val="7"/>
                <w:sz w:val="21"/>
                <w:szCs w:val="21"/>
                <w:lang w:eastAsia="zh-CN"/>
              </w:rPr>
              <w:t>局</w:t>
            </w:r>
            <w:r>
              <w:rPr>
                <w:rFonts w:ascii="宋体" w:hAnsi="宋体" w:eastAsia="宋体" w:cs="宋体"/>
                <w:spacing w:val="7"/>
                <w:sz w:val="21"/>
                <w:szCs w:val="21"/>
              </w:rPr>
              <w:t>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22" w:hRule="atLeast"/>
        </w:trPr>
        <w:tc>
          <w:tcPr>
            <w:tcW w:w="734" w:type="dxa"/>
            <w:vAlign w:val="center"/>
          </w:tcPr>
          <w:p>
            <w:pPr>
              <w:spacing w:before="68" w:line="259" w:lineRule="auto"/>
              <w:ind w:right="75" w:rightChars="0"/>
              <w:jc w:val="center"/>
              <w:rPr>
                <w:rFonts w:hint="eastAsia" w:ascii="宋体" w:hAnsi="宋体" w:eastAsia="宋体" w:cs="宋体"/>
                <w:spacing w:val="7"/>
                <w:kern w:val="2"/>
                <w:sz w:val="21"/>
                <w:szCs w:val="21"/>
                <w:lang w:val="en-US" w:eastAsia="zh-CN" w:bidi="ar-SA"/>
              </w:rPr>
            </w:pPr>
            <w:r>
              <w:rPr>
                <w:rFonts w:hint="eastAsia" w:ascii="宋体" w:hAnsi="宋体" w:eastAsia="宋体" w:cs="宋体"/>
                <w:spacing w:val="7"/>
                <w:sz w:val="21"/>
                <w:szCs w:val="21"/>
                <w:lang w:val="en-US" w:eastAsia="zh-CN"/>
              </w:rPr>
              <w:t>5</w:t>
            </w:r>
          </w:p>
        </w:tc>
        <w:tc>
          <w:tcPr>
            <w:tcW w:w="1389" w:type="dxa"/>
            <w:vMerge w:val="continue"/>
            <w:vAlign w:val="center"/>
          </w:tcPr>
          <w:p>
            <w:pPr>
              <w:jc w:val="both"/>
              <w:rPr>
                <w:rFonts w:ascii="Arial"/>
                <w:sz w:val="21"/>
              </w:rPr>
            </w:pPr>
          </w:p>
        </w:tc>
        <w:tc>
          <w:tcPr>
            <w:tcW w:w="5235"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对重要水源保护区，实施重点预防保护，采取封育保护、禁牧、治理修复、面源污染防控等措施，增强水源涵养和水土保持能力。</w:t>
            </w:r>
          </w:p>
        </w:tc>
        <w:tc>
          <w:tcPr>
            <w:tcW w:w="1409" w:type="dxa"/>
            <w:vAlign w:val="center"/>
          </w:tcPr>
          <w:p>
            <w:pPr>
              <w:spacing w:before="68" w:line="259" w:lineRule="auto"/>
              <w:ind w:right="75" w:rightChars="0"/>
              <w:jc w:val="center"/>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持续推进</w:t>
            </w:r>
          </w:p>
        </w:tc>
        <w:tc>
          <w:tcPr>
            <w:tcW w:w="3982"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水利局、自然资源和规划局、生态环境</w:t>
            </w:r>
            <w:r>
              <w:rPr>
                <w:rFonts w:hint="eastAsia" w:ascii="宋体" w:hAnsi="宋体" w:eastAsia="宋体" w:cs="宋体"/>
                <w:spacing w:val="7"/>
                <w:sz w:val="21"/>
                <w:szCs w:val="21"/>
                <w:lang w:val="en-US" w:eastAsia="zh-CN"/>
              </w:rPr>
              <w:t>分</w:t>
            </w:r>
            <w:r>
              <w:rPr>
                <w:rFonts w:ascii="宋体" w:hAnsi="宋体" w:eastAsia="宋体" w:cs="宋体"/>
                <w:spacing w:val="7"/>
                <w:sz w:val="21"/>
                <w:szCs w:val="21"/>
              </w:rPr>
              <w:t>局、农业农村局、</w:t>
            </w:r>
            <w:r>
              <w:rPr>
                <w:rFonts w:hint="eastAsia" w:ascii="宋体" w:hAnsi="宋体" w:eastAsia="宋体" w:cs="宋体"/>
                <w:spacing w:val="7"/>
                <w:sz w:val="21"/>
                <w:szCs w:val="21"/>
                <w:lang w:val="en-US" w:eastAsia="zh-CN"/>
              </w:rPr>
              <w:t>发展和改革</w:t>
            </w:r>
            <w:r>
              <w:rPr>
                <w:rFonts w:hint="eastAsia" w:ascii="宋体" w:hAnsi="宋体" w:eastAsia="宋体" w:cs="宋体"/>
                <w:spacing w:val="7"/>
                <w:sz w:val="21"/>
                <w:szCs w:val="21"/>
                <w:lang w:eastAsia="zh-CN"/>
              </w:rPr>
              <w:t>局</w:t>
            </w:r>
            <w:r>
              <w:rPr>
                <w:rFonts w:ascii="宋体" w:hAnsi="宋体" w:eastAsia="宋体" w:cs="宋体"/>
                <w:spacing w:val="7"/>
                <w:sz w:val="21"/>
                <w:szCs w:val="21"/>
              </w:rPr>
              <w:t>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22" w:hRule="atLeast"/>
        </w:trPr>
        <w:tc>
          <w:tcPr>
            <w:tcW w:w="734" w:type="dxa"/>
            <w:vAlign w:val="center"/>
          </w:tcPr>
          <w:p>
            <w:pPr>
              <w:spacing w:before="68" w:line="259" w:lineRule="auto"/>
              <w:ind w:right="75" w:rightChars="0"/>
              <w:jc w:val="center"/>
              <w:rPr>
                <w:rFonts w:hint="eastAsia" w:ascii="宋体" w:hAnsi="宋体" w:eastAsia="宋体" w:cs="宋体"/>
                <w:spacing w:val="7"/>
                <w:kern w:val="2"/>
                <w:sz w:val="21"/>
                <w:szCs w:val="21"/>
                <w:lang w:val="en-US" w:eastAsia="zh-CN" w:bidi="ar-SA"/>
              </w:rPr>
            </w:pPr>
            <w:r>
              <w:rPr>
                <w:rFonts w:hint="eastAsia" w:ascii="宋体" w:hAnsi="宋体" w:eastAsia="宋体" w:cs="宋体"/>
                <w:spacing w:val="7"/>
                <w:sz w:val="21"/>
                <w:szCs w:val="21"/>
                <w:lang w:val="en-US" w:eastAsia="zh-CN"/>
              </w:rPr>
              <w:t>6</w:t>
            </w:r>
          </w:p>
        </w:tc>
        <w:tc>
          <w:tcPr>
            <w:tcW w:w="1389" w:type="dxa"/>
            <w:vMerge w:val="continue"/>
            <w:vAlign w:val="center"/>
          </w:tcPr>
          <w:p>
            <w:pPr>
              <w:jc w:val="both"/>
              <w:rPr>
                <w:rFonts w:ascii="Arial"/>
                <w:sz w:val="21"/>
              </w:rPr>
            </w:pPr>
          </w:p>
        </w:tc>
        <w:tc>
          <w:tcPr>
            <w:tcW w:w="5235"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实施城市更新行动，推进城市水土保持和生态修复，强化水体、湿地保护，及时恢复城市大规模建设活动破坏的地貌、植被和水系，做好城市建筑垃圾重复利用。城区的水土保持措施要与城市规划、河道整治、排洪工程、公园绿地等相结合，提高城市绿化率和雨洪调蓄能力。</w:t>
            </w:r>
          </w:p>
        </w:tc>
        <w:tc>
          <w:tcPr>
            <w:tcW w:w="1409" w:type="dxa"/>
            <w:vAlign w:val="center"/>
          </w:tcPr>
          <w:p>
            <w:pPr>
              <w:spacing w:before="68" w:line="259" w:lineRule="auto"/>
              <w:ind w:right="75" w:rightChars="0"/>
              <w:jc w:val="center"/>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持续推进</w:t>
            </w:r>
          </w:p>
        </w:tc>
        <w:tc>
          <w:tcPr>
            <w:tcW w:w="3982"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水利局、自然资源和规划局、生态环境</w:t>
            </w:r>
            <w:r>
              <w:rPr>
                <w:rFonts w:hint="eastAsia" w:ascii="宋体" w:hAnsi="宋体" w:eastAsia="宋体" w:cs="宋体"/>
                <w:spacing w:val="7"/>
                <w:sz w:val="21"/>
                <w:szCs w:val="21"/>
                <w:lang w:val="en-US" w:eastAsia="zh-CN"/>
              </w:rPr>
              <w:t>分</w:t>
            </w:r>
            <w:r>
              <w:rPr>
                <w:rFonts w:ascii="宋体" w:hAnsi="宋体" w:eastAsia="宋体" w:cs="宋体"/>
                <w:spacing w:val="7"/>
                <w:sz w:val="21"/>
                <w:szCs w:val="21"/>
              </w:rPr>
              <w:t>局、农业农村局、</w:t>
            </w:r>
            <w:r>
              <w:rPr>
                <w:rFonts w:hint="eastAsia" w:ascii="宋体" w:hAnsi="宋体" w:eastAsia="宋体" w:cs="宋体"/>
                <w:spacing w:val="7"/>
                <w:sz w:val="21"/>
                <w:szCs w:val="21"/>
                <w:lang w:eastAsia="zh-CN"/>
              </w:rPr>
              <w:t>城市管理和综合执法</w:t>
            </w:r>
            <w:r>
              <w:rPr>
                <w:rFonts w:ascii="宋体" w:hAnsi="宋体" w:eastAsia="宋体" w:cs="宋体"/>
                <w:spacing w:val="7"/>
                <w:sz w:val="21"/>
                <w:szCs w:val="21"/>
              </w:rPr>
              <w:t>局、</w:t>
            </w:r>
            <w:r>
              <w:rPr>
                <w:rFonts w:hint="eastAsia" w:ascii="宋体" w:hAnsi="宋体" w:eastAsia="宋体" w:cs="宋体"/>
                <w:spacing w:val="7"/>
                <w:sz w:val="21"/>
                <w:szCs w:val="21"/>
                <w:lang w:val="en-US" w:eastAsia="zh-CN"/>
              </w:rPr>
              <w:t>发展和改革</w:t>
            </w:r>
            <w:r>
              <w:rPr>
                <w:rFonts w:hint="eastAsia" w:ascii="宋体" w:hAnsi="宋体" w:eastAsia="宋体" w:cs="宋体"/>
                <w:spacing w:val="7"/>
                <w:sz w:val="21"/>
                <w:szCs w:val="21"/>
                <w:lang w:eastAsia="zh-CN"/>
              </w:rPr>
              <w:t>局</w:t>
            </w:r>
            <w:r>
              <w:rPr>
                <w:rFonts w:ascii="宋体" w:hAnsi="宋体" w:eastAsia="宋体" w:cs="宋体"/>
                <w:spacing w:val="7"/>
                <w:sz w:val="21"/>
                <w:szCs w:val="21"/>
              </w:rPr>
              <w:t>等</w:t>
            </w:r>
          </w:p>
        </w:tc>
      </w:tr>
    </w:tbl>
    <w:p>
      <w:pPr>
        <w:jc w:val="left"/>
        <w:sectPr>
          <w:pgSz w:w="16840" w:h="11900" w:orient="landscape"/>
          <w:pgMar w:top="1011" w:right="2155" w:bottom="1118" w:left="1925" w:header="0" w:footer="809" w:gutter="0"/>
          <w:pgNumType w:fmt="numberInDash"/>
          <w:cols w:space="720" w:num="1"/>
        </w:sectPr>
      </w:pPr>
    </w:p>
    <w:p>
      <w:pPr>
        <w:spacing w:before="68" w:line="259" w:lineRule="auto"/>
        <w:ind w:right="75"/>
        <w:jc w:val="left"/>
        <w:rPr>
          <w:rFonts w:ascii="宋体" w:hAnsi="宋体" w:eastAsia="宋体" w:cs="宋体"/>
          <w:spacing w:val="7"/>
          <w:sz w:val="21"/>
          <w:szCs w:val="21"/>
        </w:rPr>
      </w:pPr>
    </w:p>
    <w:tbl>
      <w:tblPr>
        <w:tblStyle w:val="7"/>
        <w:tblW w:w="1274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4"/>
        <w:gridCol w:w="1389"/>
        <w:gridCol w:w="5246"/>
        <w:gridCol w:w="1409"/>
        <w:gridCol w:w="39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4" w:hRule="atLeast"/>
        </w:trPr>
        <w:tc>
          <w:tcPr>
            <w:tcW w:w="734"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序号</w:t>
            </w:r>
          </w:p>
        </w:tc>
        <w:tc>
          <w:tcPr>
            <w:tcW w:w="138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工作任务</w:t>
            </w:r>
          </w:p>
        </w:tc>
        <w:tc>
          <w:tcPr>
            <w:tcW w:w="5246"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具体内容</w:t>
            </w:r>
          </w:p>
        </w:tc>
        <w:tc>
          <w:tcPr>
            <w:tcW w:w="140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完成时限</w:t>
            </w:r>
          </w:p>
        </w:tc>
        <w:tc>
          <w:tcPr>
            <w:tcW w:w="3971"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责任部门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12749" w:type="dxa"/>
            <w:gridSpan w:val="5"/>
            <w:vAlign w:val="center"/>
          </w:tcPr>
          <w:p>
            <w:pPr>
              <w:spacing w:before="68" w:line="259" w:lineRule="auto"/>
              <w:ind w:left="131" w:right="75"/>
              <w:jc w:val="both"/>
              <w:rPr>
                <w:rFonts w:ascii="宋体" w:hAnsi="宋体" w:eastAsia="宋体" w:cs="宋体"/>
                <w:spacing w:val="7"/>
                <w:sz w:val="21"/>
                <w:szCs w:val="21"/>
              </w:rPr>
            </w:pPr>
            <w:r>
              <w:rPr>
                <w:rFonts w:ascii="宋体" w:hAnsi="宋体" w:eastAsia="宋体" w:cs="宋体"/>
                <w:b/>
                <w:bCs/>
                <w:spacing w:val="7"/>
                <w:sz w:val="21"/>
                <w:szCs w:val="21"/>
              </w:rPr>
              <w:t>二、依法严格人为水土流失监管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34" w:type="dxa"/>
            <w:vAlign w:val="center"/>
          </w:tcPr>
          <w:p>
            <w:pPr>
              <w:spacing w:before="68" w:line="259" w:lineRule="auto"/>
              <w:ind w:right="75"/>
              <w:jc w:val="center"/>
              <w:rPr>
                <w:rFonts w:hint="eastAsia"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7</w:t>
            </w:r>
          </w:p>
        </w:tc>
        <w:tc>
          <w:tcPr>
            <w:tcW w:w="1389" w:type="dxa"/>
            <w:vMerge w:val="restart"/>
            <w:tcBorders>
              <w:bottom w:val="nil"/>
            </w:tcBorders>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(三)健全监管服务体系</w:t>
            </w:r>
          </w:p>
        </w:tc>
        <w:tc>
          <w:tcPr>
            <w:tcW w:w="524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持续优化营商环境，健全事前事中事后全链条全过程监管服务体系。</w:t>
            </w:r>
          </w:p>
        </w:tc>
        <w:tc>
          <w:tcPr>
            <w:tcW w:w="140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2023年底前</w:t>
            </w:r>
          </w:p>
        </w:tc>
        <w:tc>
          <w:tcPr>
            <w:tcW w:w="3971"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水利局、行政审批局等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39" w:hRule="atLeast"/>
        </w:trPr>
        <w:tc>
          <w:tcPr>
            <w:tcW w:w="73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8</w:t>
            </w:r>
          </w:p>
        </w:tc>
        <w:tc>
          <w:tcPr>
            <w:tcW w:w="1389" w:type="dxa"/>
            <w:vMerge w:val="continue"/>
            <w:tcBorders>
              <w:top w:val="nil"/>
              <w:bottom w:val="nil"/>
            </w:tcBorders>
            <w:vAlign w:val="center"/>
          </w:tcPr>
          <w:p>
            <w:pPr>
              <w:spacing w:before="68" w:line="259" w:lineRule="auto"/>
              <w:ind w:left="131" w:right="75"/>
              <w:jc w:val="both"/>
              <w:rPr>
                <w:rFonts w:ascii="宋体" w:hAnsi="宋体" w:eastAsia="宋体" w:cs="宋体"/>
                <w:spacing w:val="7"/>
                <w:sz w:val="21"/>
                <w:szCs w:val="21"/>
              </w:rPr>
            </w:pPr>
          </w:p>
        </w:tc>
        <w:tc>
          <w:tcPr>
            <w:tcW w:w="524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制订并向社会</w:t>
            </w:r>
            <w:bookmarkStart w:id="0" w:name="_GoBack"/>
            <w:bookmarkEnd w:id="0"/>
            <w:r>
              <w:rPr>
                <w:rFonts w:ascii="宋体" w:hAnsi="宋体" w:eastAsia="宋体" w:cs="宋体"/>
                <w:spacing w:val="7"/>
                <w:sz w:val="21"/>
                <w:szCs w:val="21"/>
              </w:rPr>
              <w:t>公开《</w:t>
            </w:r>
            <w:r>
              <w:rPr>
                <w:rFonts w:hint="eastAsia" w:ascii="宋体" w:hAnsi="宋体" w:eastAsia="宋体" w:cs="宋体"/>
                <w:spacing w:val="7"/>
                <w:sz w:val="21"/>
                <w:szCs w:val="21"/>
                <w:lang w:eastAsia="zh-CN"/>
              </w:rPr>
              <w:t>无极县</w:t>
            </w:r>
            <w:r>
              <w:rPr>
                <w:rFonts w:ascii="宋体" w:hAnsi="宋体" w:eastAsia="宋体" w:cs="宋体"/>
                <w:spacing w:val="7"/>
                <w:sz w:val="21"/>
                <w:szCs w:val="21"/>
              </w:rPr>
              <w:t>水土保持方案编制范围》,重点对交通、输气管线、电力、光伏发电等监管，实行分区域分行业差异化管理。</w:t>
            </w:r>
          </w:p>
        </w:tc>
        <w:tc>
          <w:tcPr>
            <w:tcW w:w="140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1"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水利局、交通运输局、自然资源和规划局、</w:t>
            </w:r>
            <w:r>
              <w:rPr>
                <w:rFonts w:hint="eastAsia" w:ascii="宋体" w:hAnsi="宋体" w:eastAsia="宋体" w:cs="宋体"/>
                <w:spacing w:val="7"/>
                <w:sz w:val="21"/>
                <w:szCs w:val="21"/>
                <w:lang w:eastAsia="zh-CN"/>
              </w:rPr>
              <w:t>城市管理和综合执法局</w:t>
            </w:r>
            <w:r>
              <w:rPr>
                <w:rFonts w:ascii="宋体" w:hAnsi="宋体" w:eastAsia="宋体" w:cs="宋体"/>
                <w:spacing w:val="7"/>
                <w:sz w:val="21"/>
                <w:szCs w:val="21"/>
              </w:rPr>
              <w:t>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8" w:hRule="atLeast"/>
        </w:trPr>
        <w:tc>
          <w:tcPr>
            <w:tcW w:w="734" w:type="dxa"/>
            <w:vAlign w:val="center"/>
          </w:tcPr>
          <w:p>
            <w:pPr>
              <w:spacing w:before="68" w:line="259" w:lineRule="auto"/>
              <w:ind w:right="75"/>
              <w:jc w:val="center"/>
              <w:rPr>
                <w:rFonts w:hint="eastAsia" w:ascii="宋体" w:hAnsi="宋体" w:eastAsia="宋体" w:cs="宋体"/>
                <w:spacing w:val="7"/>
                <w:sz w:val="21"/>
                <w:szCs w:val="21"/>
                <w:lang w:eastAsia="zh-CN"/>
              </w:rPr>
            </w:pPr>
            <w:r>
              <w:rPr>
                <w:rFonts w:hint="eastAsia" w:ascii="宋体" w:hAnsi="宋体" w:eastAsia="宋体" w:cs="宋体"/>
                <w:spacing w:val="7"/>
                <w:sz w:val="21"/>
                <w:szCs w:val="21"/>
                <w:lang w:val="en-US" w:eastAsia="zh-CN"/>
              </w:rPr>
              <w:t>9</w:t>
            </w:r>
          </w:p>
        </w:tc>
        <w:tc>
          <w:tcPr>
            <w:tcW w:w="1389" w:type="dxa"/>
            <w:vMerge w:val="continue"/>
            <w:tcBorders>
              <w:top w:val="nil"/>
              <w:bottom w:val="nil"/>
            </w:tcBorders>
            <w:vAlign w:val="center"/>
          </w:tcPr>
          <w:p>
            <w:pPr>
              <w:spacing w:before="68" w:line="259" w:lineRule="auto"/>
              <w:ind w:left="131" w:right="75"/>
              <w:jc w:val="both"/>
              <w:rPr>
                <w:rFonts w:ascii="宋体" w:hAnsi="宋体" w:eastAsia="宋体" w:cs="宋体"/>
                <w:spacing w:val="7"/>
                <w:sz w:val="21"/>
                <w:szCs w:val="21"/>
              </w:rPr>
            </w:pPr>
          </w:p>
        </w:tc>
        <w:tc>
          <w:tcPr>
            <w:tcW w:w="524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全面落实行政许可事项清单管理要求，使水土保持审批标准化、规范化、便利化。符合条件的项目实行承诺制审批，减少办事环节，减轻企业负担。</w:t>
            </w:r>
          </w:p>
        </w:tc>
        <w:tc>
          <w:tcPr>
            <w:tcW w:w="140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1"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水利局、行政审批局等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9" w:hRule="atLeast"/>
        </w:trPr>
        <w:tc>
          <w:tcPr>
            <w:tcW w:w="73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10</w:t>
            </w:r>
          </w:p>
        </w:tc>
        <w:tc>
          <w:tcPr>
            <w:tcW w:w="1389" w:type="dxa"/>
            <w:vMerge w:val="continue"/>
            <w:tcBorders>
              <w:top w:val="nil"/>
            </w:tcBorders>
            <w:vAlign w:val="center"/>
          </w:tcPr>
          <w:p>
            <w:pPr>
              <w:spacing w:before="68" w:line="259" w:lineRule="auto"/>
              <w:ind w:left="131" w:right="75"/>
              <w:jc w:val="both"/>
              <w:rPr>
                <w:rFonts w:ascii="宋体" w:hAnsi="宋体" w:eastAsia="宋体" w:cs="宋体"/>
                <w:spacing w:val="7"/>
                <w:sz w:val="21"/>
                <w:szCs w:val="21"/>
              </w:rPr>
            </w:pPr>
          </w:p>
        </w:tc>
        <w:tc>
          <w:tcPr>
            <w:tcW w:w="524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常态化开展水土保持方案质量抽查，每年抽查比例不低于5%且不少于</w:t>
            </w:r>
            <w:r>
              <w:rPr>
                <w:rFonts w:hint="eastAsia" w:ascii="宋体" w:hAnsi="宋体" w:eastAsia="宋体" w:cs="宋体"/>
                <w:spacing w:val="7"/>
                <w:sz w:val="21"/>
                <w:szCs w:val="21"/>
                <w:lang w:val="en-US" w:eastAsia="zh-CN"/>
              </w:rPr>
              <w:t>3</w:t>
            </w:r>
            <w:r>
              <w:rPr>
                <w:rFonts w:ascii="宋体" w:hAnsi="宋体" w:eastAsia="宋体" w:cs="宋体"/>
                <w:spacing w:val="7"/>
                <w:sz w:val="21"/>
                <w:szCs w:val="21"/>
              </w:rPr>
              <w:t>个。加强水土保持设施自主验收核查。</w:t>
            </w:r>
          </w:p>
        </w:tc>
        <w:tc>
          <w:tcPr>
            <w:tcW w:w="140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1"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水利局、行政审批局等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76" w:hRule="atLeast"/>
        </w:trPr>
        <w:tc>
          <w:tcPr>
            <w:tcW w:w="73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11</w:t>
            </w:r>
          </w:p>
        </w:tc>
        <w:tc>
          <w:tcPr>
            <w:tcW w:w="1389"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(四)强化行业监管</w:t>
            </w:r>
          </w:p>
        </w:tc>
        <w:tc>
          <w:tcPr>
            <w:tcW w:w="524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建立与生产建设项目行业主管部门的沟通协调机制，健全生产建设项目行业主管部门水土保持监管责任机制，推动形成“管建设、管生产、管行业必须管水保</w:t>
            </w:r>
            <w:r>
              <w:rPr>
                <w:rFonts w:hint="eastAsia" w:ascii="宋体" w:hAnsi="宋体" w:eastAsia="宋体" w:cs="宋体"/>
                <w:spacing w:val="7"/>
                <w:sz w:val="21"/>
                <w:szCs w:val="21"/>
                <w:lang w:eastAsia="zh-CN"/>
              </w:rPr>
              <w:t>”</w:t>
            </w:r>
            <w:r>
              <w:rPr>
                <w:rFonts w:ascii="宋体" w:hAnsi="宋体" w:eastAsia="宋体" w:cs="宋体"/>
                <w:spacing w:val="7"/>
                <w:sz w:val="21"/>
                <w:szCs w:val="21"/>
              </w:rPr>
              <w:t>的水土保持“一岗双责</w:t>
            </w:r>
            <w:r>
              <w:rPr>
                <w:rFonts w:hint="eastAsia" w:ascii="宋体" w:hAnsi="宋体" w:eastAsia="宋体" w:cs="宋体"/>
                <w:spacing w:val="7"/>
                <w:sz w:val="21"/>
                <w:szCs w:val="21"/>
                <w:lang w:eastAsia="zh-CN"/>
              </w:rPr>
              <w:t>”</w:t>
            </w:r>
            <w:r>
              <w:rPr>
                <w:rFonts w:ascii="宋体" w:hAnsi="宋体" w:eastAsia="宋体" w:cs="宋体"/>
                <w:spacing w:val="7"/>
                <w:sz w:val="21"/>
                <w:szCs w:val="21"/>
              </w:rPr>
              <w:t>格局。行业主管部门要加强管理，督促生产建设单位依法履行水土流失防治责任。生产建设单位应严格落实水土保持"三同时</w:t>
            </w:r>
            <w:r>
              <w:rPr>
                <w:rFonts w:hint="eastAsia" w:ascii="宋体" w:hAnsi="宋体" w:eastAsia="宋体" w:cs="宋体"/>
                <w:spacing w:val="7"/>
                <w:sz w:val="21"/>
                <w:szCs w:val="21"/>
                <w:lang w:eastAsia="zh-CN"/>
              </w:rPr>
              <w:t>”</w:t>
            </w:r>
            <w:r>
              <w:rPr>
                <w:rFonts w:ascii="宋体" w:hAnsi="宋体" w:eastAsia="宋体" w:cs="宋体"/>
                <w:spacing w:val="7"/>
                <w:sz w:val="21"/>
                <w:szCs w:val="21"/>
              </w:rPr>
              <w:t>制度，依法严格履行水土流失防治责任。加强生产建设全过程水土保持管理，最大限度降低水土流失风险。</w:t>
            </w:r>
          </w:p>
        </w:tc>
        <w:tc>
          <w:tcPr>
            <w:tcW w:w="140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1"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水利局、交通运输局、自然资源和规划局、</w:t>
            </w:r>
            <w:r>
              <w:rPr>
                <w:rFonts w:hint="eastAsia" w:ascii="宋体" w:hAnsi="宋体" w:eastAsia="宋体" w:cs="宋体"/>
                <w:spacing w:val="7"/>
                <w:sz w:val="21"/>
                <w:szCs w:val="21"/>
                <w:lang w:eastAsia="zh-CN"/>
              </w:rPr>
              <w:t>城市管理和综合执法局</w:t>
            </w:r>
            <w:r>
              <w:rPr>
                <w:rFonts w:ascii="宋体" w:hAnsi="宋体" w:eastAsia="宋体" w:cs="宋体"/>
                <w:spacing w:val="7"/>
                <w:sz w:val="21"/>
                <w:szCs w:val="21"/>
              </w:rPr>
              <w:t>等</w:t>
            </w:r>
          </w:p>
        </w:tc>
      </w:tr>
    </w:tbl>
    <w:p>
      <w:pPr>
        <w:spacing w:before="68" w:line="259" w:lineRule="auto"/>
        <w:ind w:left="131" w:right="75"/>
        <w:jc w:val="left"/>
        <w:rPr>
          <w:rFonts w:ascii="宋体" w:hAnsi="宋体" w:eastAsia="宋体" w:cs="宋体"/>
          <w:spacing w:val="7"/>
          <w:sz w:val="21"/>
          <w:szCs w:val="21"/>
        </w:rPr>
        <w:sectPr>
          <w:footerReference r:id="rId3" w:type="default"/>
          <w:pgSz w:w="16840" w:h="11900"/>
          <w:pgMar w:top="1011" w:right="2155" w:bottom="1114" w:left="1925" w:header="0" w:footer="825" w:gutter="0"/>
          <w:pgNumType w:fmt="numberInDash"/>
          <w:cols w:space="720" w:num="1"/>
        </w:sectPr>
      </w:pPr>
    </w:p>
    <w:p>
      <w:pPr>
        <w:spacing w:before="68" w:line="259" w:lineRule="auto"/>
        <w:ind w:right="75"/>
        <w:jc w:val="left"/>
        <w:rPr>
          <w:rFonts w:ascii="宋体" w:hAnsi="宋体" w:eastAsia="宋体" w:cs="宋体"/>
          <w:spacing w:val="7"/>
          <w:sz w:val="21"/>
          <w:szCs w:val="21"/>
        </w:rPr>
      </w:pPr>
    </w:p>
    <w:tbl>
      <w:tblPr>
        <w:tblStyle w:val="7"/>
        <w:tblW w:w="1275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4"/>
        <w:gridCol w:w="1389"/>
        <w:gridCol w:w="5226"/>
        <w:gridCol w:w="1429"/>
        <w:gridCol w:w="39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4" w:hRule="atLeast"/>
        </w:trPr>
        <w:tc>
          <w:tcPr>
            <w:tcW w:w="734"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序号</w:t>
            </w:r>
          </w:p>
        </w:tc>
        <w:tc>
          <w:tcPr>
            <w:tcW w:w="138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工作任务</w:t>
            </w:r>
          </w:p>
        </w:tc>
        <w:tc>
          <w:tcPr>
            <w:tcW w:w="5226"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具体内容</w:t>
            </w:r>
          </w:p>
        </w:tc>
        <w:tc>
          <w:tcPr>
            <w:tcW w:w="142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完成时限</w:t>
            </w:r>
          </w:p>
        </w:tc>
        <w:tc>
          <w:tcPr>
            <w:tcW w:w="3972"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责任部门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82" w:hRule="atLeast"/>
        </w:trPr>
        <w:tc>
          <w:tcPr>
            <w:tcW w:w="734" w:type="dxa"/>
            <w:vAlign w:val="center"/>
          </w:tcPr>
          <w:p>
            <w:pPr>
              <w:spacing w:before="68" w:line="259" w:lineRule="auto"/>
              <w:ind w:right="75"/>
              <w:jc w:val="center"/>
              <w:rPr>
                <w:rFonts w:hint="eastAsia" w:ascii="宋体" w:hAnsi="宋体" w:eastAsia="宋体" w:cs="宋体"/>
                <w:spacing w:val="7"/>
                <w:sz w:val="21"/>
                <w:szCs w:val="21"/>
                <w:lang w:val="en-US" w:eastAsia="zh-CN"/>
              </w:rPr>
            </w:pPr>
            <w:r>
              <w:rPr>
                <w:rFonts w:ascii="宋体" w:hAnsi="宋体" w:eastAsia="宋体" w:cs="宋体"/>
                <w:spacing w:val="7"/>
                <w:sz w:val="21"/>
                <w:szCs w:val="21"/>
              </w:rPr>
              <w:t>1</w:t>
            </w:r>
            <w:r>
              <w:rPr>
                <w:rFonts w:hint="eastAsia" w:ascii="宋体" w:hAnsi="宋体" w:eastAsia="宋体" w:cs="宋体"/>
                <w:spacing w:val="7"/>
                <w:sz w:val="21"/>
                <w:szCs w:val="21"/>
                <w:lang w:val="en-US" w:eastAsia="zh-CN"/>
              </w:rPr>
              <w:t>2</w:t>
            </w:r>
          </w:p>
        </w:tc>
        <w:tc>
          <w:tcPr>
            <w:tcW w:w="1389" w:type="dxa"/>
            <w:vMerge w:val="restart"/>
            <w:tcBorders>
              <w:bottom w:val="nil"/>
            </w:tcBorders>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(五)严格查处违规违法行为</w:t>
            </w:r>
          </w:p>
        </w:tc>
        <w:tc>
          <w:tcPr>
            <w:tcW w:w="522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健全监管信息共享、违法线索互联、案件通报移送等工作机制，对造成人为水土流失的违法违规行为，开展水利、自然资源、生态环境、林业、农业等多部门联合监管、联动执法。落实水行政执法与刑事司法衔接、水行政执法与检察公益诉讼协作机制，依法依规严格查处违法违规行为。</w:t>
            </w:r>
          </w:p>
        </w:tc>
        <w:tc>
          <w:tcPr>
            <w:tcW w:w="142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水利局、自然资源和规划局、文化和广电旅游局、交通运输局、生态环境</w:t>
            </w:r>
            <w:r>
              <w:rPr>
                <w:rFonts w:hint="eastAsia" w:ascii="宋体" w:hAnsi="宋体" w:eastAsia="宋体" w:cs="宋体"/>
                <w:spacing w:val="7"/>
                <w:sz w:val="21"/>
                <w:szCs w:val="21"/>
                <w:lang w:val="en-US" w:eastAsia="zh-CN"/>
              </w:rPr>
              <w:t>分</w:t>
            </w:r>
            <w:r>
              <w:rPr>
                <w:rFonts w:ascii="宋体" w:hAnsi="宋体" w:eastAsia="宋体" w:cs="宋体"/>
                <w:spacing w:val="7"/>
                <w:sz w:val="21"/>
                <w:szCs w:val="21"/>
              </w:rPr>
              <w:t>局、农业农村局等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9" w:hRule="atLeast"/>
        </w:trPr>
        <w:tc>
          <w:tcPr>
            <w:tcW w:w="734" w:type="dxa"/>
            <w:vAlign w:val="center"/>
          </w:tcPr>
          <w:p>
            <w:pPr>
              <w:spacing w:before="68" w:line="259" w:lineRule="auto"/>
              <w:ind w:right="75"/>
              <w:jc w:val="center"/>
              <w:rPr>
                <w:rFonts w:hint="eastAsia" w:ascii="宋体" w:hAnsi="宋体" w:eastAsia="宋体" w:cs="宋体"/>
                <w:spacing w:val="7"/>
                <w:sz w:val="21"/>
                <w:szCs w:val="21"/>
                <w:lang w:val="en-US" w:eastAsia="zh-CN"/>
              </w:rPr>
            </w:pPr>
            <w:r>
              <w:rPr>
                <w:rFonts w:ascii="宋体" w:hAnsi="宋体" w:eastAsia="宋体" w:cs="宋体"/>
                <w:spacing w:val="7"/>
                <w:sz w:val="21"/>
                <w:szCs w:val="21"/>
              </w:rPr>
              <w:t>1</w:t>
            </w:r>
            <w:r>
              <w:rPr>
                <w:rFonts w:hint="eastAsia" w:ascii="宋体" w:hAnsi="宋体" w:eastAsia="宋体" w:cs="宋体"/>
                <w:spacing w:val="7"/>
                <w:sz w:val="21"/>
                <w:szCs w:val="21"/>
                <w:lang w:val="en-US" w:eastAsia="zh-CN"/>
              </w:rPr>
              <w:t>3</w:t>
            </w:r>
          </w:p>
        </w:tc>
        <w:tc>
          <w:tcPr>
            <w:tcW w:w="1389" w:type="dxa"/>
            <w:vMerge w:val="continue"/>
            <w:tcBorders>
              <w:top w:val="nil"/>
            </w:tcBorders>
            <w:vAlign w:val="center"/>
          </w:tcPr>
          <w:p>
            <w:pPr>
              <w:spacing w:before="68" w:line="259" w:lineRule="auto"/>
              <w:ind w:left="131" w:right="75"/>
              <w:jc w:val="both"/>
              <w:rPr>
                <w:rFonts w:ascii="宋体" w:hAnsi="宋体" w:eastAsia="宋体" w:cs="宋体"/>
                <w:spacing w:val="7"/>
                <w:sz w:val="21"/>
                <w:szCs w:val="21"/>
              </w:rPr>
            </w:pPr>
          </w:p>
        </w:tc>
        <w:tc>
          <w:tcPr>
            <w:tcW w:w="522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县级人大开展水土保持执法检查。</w:t>
            </w:r>
          </w:p>
        </w:tc>
        <w:tc>
          <w:tcPr>
            <w:tcW w:w="142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人大常委会、水利局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77" w:hRule="atLeast"/>
        </w:trPr>
        <w:tc>
          <w:tcPr>
            <w:tcW w:w="734" w:type="dxa"/>
            <w:vAlign w:val="center"/>
          </w:tcPr>
          <w:p>
            <w:pPr>
              <w:spacing w:before="68" w:line="259" w:lineRule="auto"/>
              <w:ind w:right="75"/>
              <w:jc w:val="center"/>
              <w:rPr>
                <w:rFonts w:hint="eastAsia" w:ascii="宋体" w:hAnsi="宋体" w:eastAsia="宋体" w:cs="宋体"/>
                <w:spacing w:val="7"/>
                <w:sz w:val="21"/>
                <w:szCs w:val="21"/>
                <w:lang w:val="en-US" w:eastAsia="zh-CN"/>
              </w:rPr>
            </w:pPr>
            <w:r>
              <w:rPr>
                <w:rFonts w:ascii="宋体" w:hAnsi="宋体" w:eastAsia="宋体" w:cs="宋体"/>
                <w:spacing w:val="7"/>
                <w:sz w:val="21"/>
                <w:szCs w:val="21"/>
              </w:rPr>
              <w:t>1</w:t>
            </w:r>
            <w:r>
              <w:rPr>
                <w:rFonts w:hint="eastAsia" w:ascii="宋体" w:hAnsi="宋体" w:eastAsia="宋体" w:cs="宋体"/>
                <w:spacing w:val="7"/>
                <w:sz w:val="21"/>
                <w:szCs w:val="21"/>
                <w:lang w:val="en-US" w:eastAsia="zh-CN"/>
              </w:rPr>
              <w:t>4</w:t>
            </w:r>
          </w:p>
        </w:tc>
        <w:tc>
          <w:tcPr>
            <w:tcW w:w="1389" w:type="dxa"/>
            <w:vMerge w:val="restart"/>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(六)强化精准监管</w:t>
            </w:r>
          </w:p>
        </w:tc>
        <w:tc>
          <w:tcPr>
            <w:tcW w:w="522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将水土保持工作程序向前延伸，</w:t>
            </w:r>
            <w:r>
              <w:rPr>
                <w:rFonts w:hint="eastAsia" w:ascii="宋体" w:hAnsi="宋体" w:eastAsia="宋体" w:cs="宋体"/>
                <w:spacing w:val="7"/>
                <w:sz w:val="21"/>
                <w:szCs w:val="21"/>
                <w:lang w:eastAsia="zh-CN"/>
              </w:rPr>
              <w:t>水利局</w:t>
            </w:r>
            <w:r>
              <w:rPr>
                <w:rFonts w:ascii="宋体" w:hAnsi="宋体" w:eastAsia="宋体" w:cs="宋体"/>
                <w:spacing w:val="7"/>
                <w:sz w:val="21"/>
                <w:szCs w:val="21"/>
              </w:rPr>
              <w:t>与行政审批</w:t>
            </w:r>
            <w:r>
              <w:rPr>
                <w:rFonts w:hint="eastAsia" w:ascii="宋体" w:hAnsi="宋体" w:eastAsia="宋体" w:cs="宋体"/>
                <w:spacing w:val="7"/>
                <w:sz w:val="21"/>
                <w:szCs w:val="21"/>
                <w:lang w:eastAsia="zh-CN"/>
              </w:rPr>
              <w:t>局</w:t>
            </w:r>
            <w:r>
              <w:rPr>
                <w:rFonts w:ascii="宋体" w:hAnsi="宋体" w:eastAsia="宋体" w:cs="宋体"/>
                <w:spacing w:val="7"/>
                <w:sz w:val="21"/>
                <w:szCs w:val="21"/>
              </w:rPr>
              <w:t>做好沟通对接，对应当编制水保方案的未开工项目提前告知，对已开工项目责令限期补报水土保持方案，行政审批</w:t>
            </w:r>
            <w:r>
              <w:rPr>
                <w:rFonts w:hint="eastAsia" w:ascii="宋体" w:hAnsi="宋体" w:eastAsia="宋体" w:cs="宋体"/>
                <w:spacing w:val="7"/>
                <w:sz w:val="21"/>
                <w:szCs w:val="21"/>
                <w:lang w:eastAsia="zh-CN"/>
              </w:rPr>
              <w:t>局</w:t>
            </w:r>
            <w:r>
              <w:rPr>
                <w:rFonts w:ascii="宋体" w:hAnsi="宋体" w:eastAsia="宋体" w:cs="宋体"/>
                <w:spacing w:val="7"/>
                <w:sz w:val="21"/>
                <w:szCs w:val="21"/>
              </w:rPr>
              <w:t>将项目审批情况及时推送</w:t>
            </w:r>
            <w:r>
              <w:rPr>
                <w:rFonts w:hint="eastAsia" w:ascii="宋体" w:hAnsi="宋体" w:eastAsia="宋体" w:cs="宋体"/>
                <w:spacing w:val="7"/>
                <w:sz w:val="21"/>
                <w:szCs w:val="21"/>
                <w:lang w:eastAsia="zh-CN"/>
              </w:rPr>
              <w:t>水利局</w:t>
            </w:r>
            <w:r>
              <w:rPr>
                <w:rFonts w:ascii="宋体" w:hAnsi="宋体" w:eastAsia="宋体" w:cs="宋体"/>
                <w:spacing w:val="7"/>
                <w:sz w:val="21"/>
                <w:szCs w:val="21"/>
              </w:rPr>
              <w:t>，由</w:t>
            </w:r>
            <w:r>
              <w:rPr>
                <w:rFonts w:hint="eastAsia" w:ascii="宋体" w:hAnsi="宋体" w:eastAsia="宋体" w:cs="宋体"/>
                <w:spacing w:val="7"/>
                <w:sz w:val="21"/>
                <w:szCs w:val="21"/>
                <w:lang w:eastAsia="zh-CN"/>
              </w:rPr>
              <w:t>水利局</w:t>
            </w:r>
            <w:r>
              <w:rPr>
                <w:rFonts w:ascii="宋体" w:hAnsi="宋体" w:eastAsia="宋体" w:cs="宋体"/>
                <w:spacing w:val="7"/>
                <w:sz w:val="21"/>
                <w:szCs w:val="21"/>
              </w:rPr>
              <w:t>对生产建设项目水土保持方案实施、水土保持监测、水土保持监理、水土保持设施验收等情况进行监督检查。</w:t>
            </w:r>
          </w:p>
        </w:tc>
        <w:tc>
          <w:tcPr>
            <w:tcW w:w="142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水利局、行政审批局等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734" w:type="dxa"/>
            <w:vAlign w:val="center"/>
          </w:tcPr>
          <w:p>
            <w:pPr>
              <w:spacing w:before="68" w:line="259" w:lineRule="auto"/>
              <w:ind w:right="75"/>
              <w:jc w:val="center"/>
              <w:rPr>
                <w:rFonts w:hint="eastAsia" w:ascii="宋体" w:hAnsi="宋体" w:eastAsia="宋体" w:cs="宋体"/>
                <w:spacing w:val="7"/>
                <w:sz w:val="21"/>
                <w:szCs w:val="21"/>
                <w:lang w:val="en-US" w:eastAsia="zh-CN"/>
              </w:rPr>
            </w:pPr>
            <w:r>
              <w:rPr>
                <w:rFonts w:ascii="宋体" w:hAnsi="宋体" w:eastAsia="宋体" w:cs="宋体"/>
                <w:spacing w:val="7"/>
                <w:sz w:val="21"/>
                <w:szCs w:val="21"/>
              </w:rPr>
              <w:t>1</w:t>
            </w:r>
            <w:r>
              <w:rPr>
                <w:rFonts w:hint="eastAsia" w:ascii="宋体" w:hAnsi="宋体" w:eastAsia="宋体" w:cs="宋体"/>
                <w:spacing w:val="7"/>
                <w:sz w:val="21"/>
                <w:szCs w:val="21"/>
                <w:lang w:val="en-US" w:eastAsia="zh-CN"/>
              </w:rPr>
              <w:t>5</w:t>
            </w:r>
          </w:p>
        </w:tc>
        <w:tc>
          <w:tcPr>
            <w:tcW w:w="1389" w:type="dxa"/>
            <w:vMerge w:val="continue"/>
            <w:vAlign w:val="center"/>
          </w:tcPr>
          <w:p>
            <w:pPr>
              <w:spacing w:before="68" w:line="259" w:lineRule="auto"/>
              <w:ind w:left="131" w:right="75"/>
              <w:jc w:val="both"/>
              <w:rPr>
                <w:rFonts w:ascii="宋体" w:hAnsi="宋体" w:eastAsia="宋体" w:cs="宋体"/>
                <w:spacing w:val="7"/>
                <w:sz w:val="21"/>
                <w:szCs w:val="21"/>
              </w:rPr>
            </w:pPr>
          </w:p>
        </w:tc>
        <w:tc>
          <w:tcPr>
            <w:tcW w:w="522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抓好疑似违法违规图斑复核，精准判别人为水土流失情况，严格查处违法违规行为，并做好销号工作。</w:t>
            </w:r>
          </w:p>
        </w:tc>
        <w:tc>
          <w:tcPr>
            <w:tcW w:w="142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3" w:hRule="atLeast"/>
        </w:trPr>
        <w:tc>
          <w:tcPr>
            <w:tcW w:w="734" w:type="dxa"/>
            <w:vAlign w:val="center"/>
          </w:tcPr>
          <w:p>
            <w:pPr>
              <w:spacing w:before="68" w:line="259" w:lineRule="auto"/>
              <w:ind w:right="75"/>
              <w:jc w:val="center"/>
              <w:rPr>
                <w:rFonts w:hint="eastAsia" w:ascii="宋体" w:hAnsi="宋体" w:eastAsia="宋体" w:cs="宋体"/>
                <w:spacing w:val="7"/>
                <w:sz w:val="21"/>
                <w:szCs w:val="21"/>
                <w:lang w:val="en-US" w:eastAsia="zh-CN"/>
              </w:rPr>
            </w:pPr>
            <w:r>
              <w:rPr>
                <w:rFonts w:ascii="宋体" w:hAnsi="宋体" w:eastAsia="宋体" w:cs="宋体"/>
                <w:spacing w:val="7"/>
                <w:sz w:val="21"/>
                <w:szCs w:val="21"/>
              </w:rPr>
              <w:t>1</w:t>
            </w:r>
            <w:r>
              <w:rPr>
                <w:rFonts w:hint="eastAsia" w:ascii="宋体" w:hAnsi="宋体" w:eastAsia="宋体" w:cs="宋体"/>
                <w:spacing w:val="7"/>
                <w:sz w:val="21"/>
                <w:szCs w:val="21"/>
                <w:lang w:val="en-US" w:eastAsia="zh-CN"/>
              </w:rPr>
              <w:t>6</w:t>
            </w:r>
          </w:p>
        </w:tc>
        <w:tc>
          <w:tcPr>
            <w:tcW w:w="1389" w:type="dxa"/>
            <w:vMerge w:val="continue"/>
            <w:vAlign w:val="center"/>
          </w:tcPr>
          <w:p>
            <w:pPr>
              <w:spacing w:before="68" w:line="259" w:lineRule="auto"/>
              <w:ind w:left="131" w:right="75"/>
              <w:jc w:val="both"/>
              <w:rPr>
                <w:rFonts w:ascii="宋体" w:hAnsi="宋体" w:eastAsia="宋体" w:cs="宋体"/>
                <w:spacing w:val="7"/>
                <w:sz w:val="21"/>
                <w:szCs w:val="21"/>
              </w:rPr>
            </w:pPr>
          </w:p>
        </w:tc>
        <w:tc>
          <w:tcPr>
            <w:tcW w:w="522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利用水利、自规、农业、生态等部门现有监控设施，及时发现违法违规行为，提升监管精准化、智能化水平。</w:t>
            </w:r>
          </w:p>
        </w:tc>
        <w:tc>
          <w:tcPr>
            <w:tcW w:w="142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水利局、自然资源和规划局、农业农村局、生态环境局等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3" w:hRule="atLeast"/>
        </w:trPr>
        <w:tc>
          <w:tcPr>
            <w:tcW w:w="734" w:type="dxa"/>
            <w:vAlign w:val="center"/>
          </w:tcPr>
          <w:p>
            <w:pPr>
              <w:spacing w:before="68" w:line="259" w:lineRule="auto"/>
              <w:ind w:right="75" w:rightChars="0"/>
              <w:jc w:val="center"/>
              <w:rPr>
                <w:rFonts w:hint="default" w:ascii="宋体" w:hAnsi="宋体" w:eastAsia="宋体" w:cs="宋体"/>
                <w:spacing w:val="7"/>
                <w:kern w:val="2"/>
                <w:sz w:val="21"/>
                <w:szCs w:val="21"/>
                <w:lang w:val="en-US" w:eastAsia="zh-CN" w:bidi="ar-SA"/>
              </w:rPr>
            </w:pPr>
            <w:r>
              <w:rPr>
                <w:rFonts w:hint="eastAsia" w:ascii="宋体" w:hAnsi="宋体" w:eastAsia="宋体" w:cs="宋体"/>
                <w:spacing w:val="7"/>
                <w:sz w:val="21"/>
                <w:szCs w:val="21"/>
                <w:lang w:val="en-US" w:eastAsia="zh-CN"/>
              </w:rPr>
              <w:t>17</w:t>
            </w:r>
          </w:p>
        </w:tc>
        <w:tc>
          <w:tcPr>
            <w:tcW w:w="1389" w:type="dxa"/>
            <w:vMerge w:val="continue"/>
            <w:vAlign w:val="center"/>
          </w:tcPr>
          <w:p>
            <w:pPr>
              <w:spacing w:before="68" w:line="259" w:lineRule="auto"/>
              <w:ind w:left="131" w:leftChars="0" w:right="75" w:rightChars="0"/>
              <w:jc w:val="both"/>
              <w:rPr>
                <w:rFonts w:ascii="宋体" w:hAnsi="宋体" w:eastAsia="宋体" w:cs="宋体"/>
                <w:spacing w:val="7"/>
                <w:kern w:val="2"/>
                <w:sz w:val="21"/>
                <w:szCs w:val="21"/>
                <w:lang w:val="en-US" w:eastAsia="zh-CN" w:bidi="ar-SA"/>
              </w:rPr>
            </w:pPr>
          </w:p>
        </w:tc>
        <w:tc>
          <w:tcPr>
            <w:tcW w:w="5226" w:type="dxa"/>
            <w:vAlign w:val="center"/>
          </w:tcPr>
          <w:p>
            <w:pPr>
              <w:spacing w:before="68" w:line="259" w:lineRule="auto"/>
              <w:ind w:left="131" w:leftChars="0"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推行远程监管、移动监管、预警防控等非现场监管，加强对水土流失风险的监测评估，根据风险程度，分别采取免打扰、预警示、严监控措施。</w:t>
            </w:r>
          </w:p>
        </w:tc>
        <w:tc>
          <w:tcPr>
            <w:tcW w:w="1429" w:type="dxa"/>
            <w:vAlign w:val="center"/>
          </w:tcPr>
          <w:p>
            <w:pPr>
              <w:spacing w:before="68" w:line="259" w:lineRule="auto"/>
              <w:ind w:right="75" w:rightChars="0"/>
              <w:jc w:val="center"/>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持续推进</w:t>
            </w:r>
          </w:p>
        </w:tc>
        <w:tc>
          <w:tcPr>
            <w:tcW w:w="3972"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水利局等</w:t>
            </w:r>
          </w:p>
        </w:tc>
      </w:tr>
    </w:tbl>
    <w:p>
      <w:pPr>
        <w:spacing w:before="68" w:line="259" w:lineRule="auto"/>
        <w:ind w:left="131" w:right="75"/>
        <w:jc w:val="left"/>
        <w:rPr>
          <w:rFonts w:ascii="宋体" w:hAnsi="宋体" w:eastAsia="宋体" w:cs="宋体"/>
          <w:spacing w:val="7"/>
          <w:sz w:val="21"/>
          <w:szCs w:val="21"/>
        </w:rPr>
        <w:sectPr>
          <w:footerReference r:id="rId4" w:type="default"/>
          <w:pgSz w:w="16840" w:h="11900"/>
          <w:pgMar w:top="1011" w:right="2174" w:bottom="1104" w:left="1904" w:header="0" w:footer="815" w:gutter="0"/>
          <w:pgNumType w:fmt="numberInDash"/>
          <w:cols w:space="720" w:num="1"/>
        </w:sectPr>
      </w:pPr>
    </w:p>
    <w:p>
      <w:pPr>
        <w:spacing w:before="68" w:line="259" w:lineRule="auto"/>
        <w:ind w:right="75"/>
        <w:jc w:val="left"/>
        <w:rPr>
          <w:rFonts w:ascii="宋体" w:hAnsi="宋体" w:eastAsia="宋体" w:cs="宋体"/>
          <w:spacing w:val="7"/>
          <w:sz w:val="21"/>
          <w:szCs w:val="21"/>
        </w:rPr>
      </w:pPr>
    </w:p>
    <w:tbl>
      <w:tblPr>
        <w:tblStyle w:val="7"/>
        <w:tblW w:w="1273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44"/>
        <w:gridCol w:w="26"/>
        <w:gridCol w:w="1353"/>
        <w:gridCol w:w="17"/>
        <w:gridCol w:w="5210"/>
        <w:gridCol w:w="8"/>
        <w:gridCol w:w="1409"/>
        <w:gridCol w:w="3"/>
        <w:gridCol w:w="39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4" w:hRule="atLeast"/>
        </w:trPr>
        <w:tc>
          <w:tcPr>
            <w:tcW w:w="744"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序号</w:t>
            </w:r>
          </w:p>
        </w:tc>
        <w:tc>
          <w:tcPr>
            <w:tcW w:w="1379" w:type="dxa"/>
            <w:gridSpan w:val="2"/>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工作任务</w:t>
            </w:r>
          </w:p>
        </w:tc>
        <w:tc>
          <w:tcPr>
            <w:tcW w:w="5235" w:type="dxa"/>
            <w:gridSpan w:val="3"/>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具体内容</w:t>
            </w:r>
          </w:p>
        </w:tc>
        <w:tc>
          <w:tcPr>
            <w:tcW w:w="140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完成时限</w:t>
            </w:r>
          </w:p>
        </w:tc>
        <w:tc>
          <w:tcPr>
            <w:tcW w:w="3972" w:type="dxa"/>
            <w:gridSpan w:val="2"/>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责任部门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47" w:hRule="atLeast"/>
        </w:trPr>
        <w:tc>
          <w:tcPr>
            <w:tcW w:w="74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18</w:t>
            </w:r>
          </w:p>
        </w:tc>
        <w:tc>
          <w:tcPr>
            <w:tcW w:w="1379" w:type="dxa"/>
            <w:gridSpan w:val="2"/>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(七)完善信用监管</w:t>
            </w:r>
          </w:p>
        </w:tc>
        <w:tc>
          <w:tcPr>
            <w:tcW w:w="5235" w:type="dxa"/>
            <w:gridSpan w:val="3"/>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全</w:t>
            </w:r>
            <w:r>
              <w:rPr>
                <w:rFonts w:hint="eastAsia" w:ascii="宋体" w:hAnsi="宋体" w:eastAsia="宋体" w:cs="宋体"/>
                <w:spacing w:val="7"/>
                <w:sz w:val="21"/>
                <w:szCs w:val="21"/>
              </w:rPr>
              <w:t>面实施水土保持信用评价，以生产建设单位和水土保持方案编制、技术评审、监测、监理、设计、施工、验收报告编制等参建单位为重点，将未按照规定开展工作或在工作中存在弄虚作假、隐瞒问题、编造篡改数据等行为的相关单位及其人员，依法纳入信用记录，强化信用评价结果共享运用，依法依规对水土保持违法失信主体实施失信惩戒。</w:t>
            </w:r>
          </w:p>
        </w:tc>
        <w:tc>
          <w:tcPr>
            <w:tcW w:w="140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2" w:type="dxa"/>
            <w:gridSpan w:val="2"/>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水利局、行政审批局等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12739" w:type="dxa"/>
            <w:gridSpan w:val="9"/>
            <w:vAlign w:val="center"/>
          </w:tcPr>
          <w:p>
            <w:pPr>
              <w:spacing w:before="68" w:line="259" w:lineRule="auto"/>
              <w:ind w:left="131" w:right="75"/>
              <w:jc w:val="both"/>
              <w:rPr>
                <w:rFonts w:ascii="宋体" w:hAnsi="宋体" w:eastAsia="宋体" w:cs="宋体"/>
                <w:spacing w:val="7"/>
                <w:sz w:val="21"/>
                <w:szCs w:val="21"/>
              </w:rPr>
            </w:pPr>
            <w:r>
              <w:rPr>
                <w:rFonts w:ascii="宋体" w:hAnsi="宋体" w:eastAsia="宋体" w:cs="宋体"/>
                <w:spacing w:val="7"/>
                <w:sz w:val="21"/>
                <w:szCs w:val="21"/>
              </w:rPr>
              <w:t>三、科学治理水土流失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770" w:type="dxa"/>
            <w:gridSpan w:val="2"/>
            <w:tcBorders>
              <w:right w:val="single" w:color="auto" w:sz="4" w:space="0"/>
            </w:tcBorders>
            <w:vAlign w:val="center"/>
          </w:tcPr>
          <w:p>
            <w:pPr>
              <w:spacing w:before="68" w:line="259" w:lineRule="auto"/>
              <w:ind w:right="75" w:rightChars="0"/>
              <w:jc w:val="center"/>
              <w:rPr>
                <w:rFonts w:hint="default" w:ascii="宋体" w:hAnsi="宋体" w:eastAsia="宋体" w:cs="宋体"/>
                <w:spacing w:val="7"/>
                <w:kern w:val="2"/>
                <w:sz w:val="21"/>
                <w:szCs w:val="21"/>
                <w:lang w:val="en-US" w:eastAsia="zh-CN" w:bidi="ar-SA"/>
              </w:rPr>
            </w:pPr>
            <w:r>
              <w:rPr>
                <w:rFonts w:hint="eastAsia" w:ascii="宋体" w:hAnsi="宋体" w:eastAsia="宋体" w:cs="宋体"/>
                <w:spacing w:val="7"/>
                <w:sz w:val="21"/>
                <w:szCs w:val="21"/>
                <w:lang w:val="en-US" w:eastAsia="zh-CN"/>
              </w:rPr>
              <w:t>19</w:t>
            </w:r>
          </w:p>
        </w:tc>
        <w:tc>
          <w:tcPr>
            <w:tcW w:w="1370" w:type="dxa"/>
            <w:gridSpan w:val="2"/>
            <w:vMerge w:val="restart"/>
            <w:tcBorders>
              <w:left w:val="single" w:color="auto" w:sz="4" w:space="0"/>
              <w:right w:val="single" w:color="auto" w:sz="4" w:space="0"/>
            </w:tcBorders>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(九)加快白洋淀上游</w:t>
            </w:r>
            <w:r>
              <w:rPr>
                <w:rFonts w:hint="eastAsia" w:ascii="宋体" w:hAnsi="宋体" w:eastAsia="宋体" w:cs="宋体"/>
                <w:spacing w:val="7"/>
                <w:sz w:val="21"/>
                <w:szCs w:val="21"/>
                <w:lang w:eastAsia="zh-CN"/>
              </w:rPr>
              <w:t>河道</w:t>
            </w:r>
            <w:r>
              <w:rPr>
                <w:rFonts w:ascii="宋体" w:hAnsi="宋体" w:eastAsia="宋体" w:cs="宋体"/>
                <w:spacing w:val="7"/>
                <w:sz w:val="21"/>
                <w:szCs w:val="21"/>
              </w:rPr>
              <w:t>水土流失治理进度</w:t>
            </w:r>
          </w:p>
        </w:tc>
        <w:tc>
          <w:tcPr>
            <w:tcW w:w="5210" w:type="dxa"/>
            <w:tcBorders>
              <w:left w:val="single" w:color="auto" w:sz="4" w:space="0"/>
              <w:right w:val="single" w:color="auto" w:sz="4" w:space="0"/>
            </w:tcBorders>
            <w:vAlign w:val="center"/>
          </w:tcPr>
          <w:p>
            <w:pPr>
              <w:spacing w:before="68" w:line="259" w:lineRule="auto"/>
              <w:ind w:right="75" w:rightChars="0"/>
              <w:jc w:val="both"/>
              <w:rPr>
                <w:rFonts w:hint="eastAsia" w:ascii="宋体" w:hAnsi="宋体" w:eastAsia="宋体" w:cs="宋体"/>
                <w:spacing w:val="7"/>
                <w:kern w:val="2"/>
                <w:sz w:val="21"/>
                <w:szCs w:val="21"/>
                <w:lang w:val="en-US" w:eastAsia="zh-CN" w:bidi="ar-SA"/>
              </w:rPr>
            </w:pPr>
            <w:r>
              <w:rPr>
                <w:rFonts w:ascii="宋体" w:hAnsi="宋体" w:eastAsia="宋体" w:cs="宋体"/>
                <w:spacing w:val="7"/>
                <w:sz w:val="21"/>
                <w:szCs w:val="21"/>
              </w:rPr>
              <w:t>落实习近平总书记在雄安新区考察时的重要指示精神，统筹谋划，扎实推进白洋淀上游</w:t>
            </w:r>
            <w:r>
              <w:rPr>
                <w:rFonts w:hint="eastAsia" w:ascii="宋体" w:hAnsi="宋体" w:eastAsia="宋体" w:cs="宋体"/>
                <w:spacing w:val="7"/>
                <w:sz w:val="21"/>
                <w:szCs w:val="21"/>
                <w:lang w:eastAsia="zh-CN"/>
              </w:rPr>
              <w:t>河道</w:t>
            </w:r>
            <w:r>
              <w:rPr>
                <w:rFonts w:ascii="宋体" w:hAnsi="宋体" w:eastAsia="宋体" w:cs="宋体"/>
                <w:spacing w:val="7"/>
                <w:sz w:val="21"/>
                <w:szCs w:val="21"/>
              </w:rPr>
              <w:t>生态环境治理和保护。以水净、村美、民富为目标，统筹配置</w:t>
            </w:r>
            <w:r>
              <w:rPr>
                <w:rFonts w:hint="eastAsia" w:ascii="宋体" w:hAnsi="宋体" w:eastAsia="宋体" w:cs="宋体"/>
                <w:spacing w:val="7"/>
                <w:sz w:val="21"/>
                <w:szCs w:val="21"/>
                <w:lang w:eastAsia="zh-CN"/>
              </w:rPr>
              <w:t>河</w:t>
            </w:r>
            <w:r>
              <w:rPr>
                <w:rFonts w:ascii="宋体" w:hAnsi="宋体" w:eastAsia="宋体" w:cs="宋体"/>
                <w:spacing w:val="7"/>
                <w:sz w:val="21"/>
                <w:szCs w:val="21"/>
              </w:rPr>
              <w:t>道治理、生物过滤带、水源涵养、生态修复等措施</w:t>
            </w:r>
            <w:r>
              <w:rPr>
                <w:rFonts w:hint="eastAsia" w:ascii="宋体" w:hAnsi="宋体" w:eastAsia="宋体" w:cs="宋体"/>
                <w:spacing w:val="7"/>
                <w:sz w:val="21"/>
                <w:szCs w:val="21"/>
                <w:lang w:eastAsia="zh-CN"/>
              </w:rPr>
              <w:t>。</w:t>
            </w:r>
          </w:p>
        </w:tc>
        <w:tc>
          <w:tcPr>
            <w:tcW w:w="1420" w:type="dxa"/>
            <w:gridSpan w:val="3"/>
            <w:tcBorders>
              <w:left w:val="single" w:color="auto" w:sz="4" w:space="0"/>
              <w:right w:val="single" w:color="auto" w:sz="4" w:space="0"/>
            </w:tcBorders>
            <w:vAlign w:val="center"/>
          </w:tcPr>
          <w:p>
            <w:pPr>
              <w:spacing w:before="68" w:line="259" w:lineRule="auto"/>
              <w:ind w:right="75" w:rightChars="0"/>
              <w:jc w:val="center"/>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持续推进</w:t>
            </w:r>
          </w:p>
        </w:tc>
        <w:tc>
          <w:tcPr>
            <w:tcW w:w="3969" w:type="dxa"/>
            <w:tcBorders>
              <w:left w:val="single" w:color="auto" w:sz="4" w:space="0"/>
            </w:tcBorders>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水利局、农业农村局、自然资源和规划局等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770" w:type="dxa"/>
            <w:gridSpan w:val="2"/>
            <w:tcBorders>
              <w:right w:val="single" w:color="auto" w:sz="4" w:space="0"/>
            </w:tcBorders>
            <w:vAlign w:val="center"/>
          </w:tcPr>
          <w:p>
            <w:pPr>
              <w:spacing w:before="68" w:line="259" w:lineRule="auto"/>
              <w:ind w:right="75" w:rightChars="0"/>
              <w:jc w:val="center"/>
              <w:rPr>
                <w:rFonts w:hint="default" w:ascii="宋体" w:hAnsi="宋体" w:eastAsia="宋体" w:cs="宋体"/>
                <w:spacing w:val="7"/>
                <w:kern w:val="2"/>
                <w:sz w:val="21"/>
                <w:szCs w:val="21"/>
                <w:lang w:val="en-US" w:eastAsia="zh-CN" w:bidi="ar-SA"/>
              </w:rPr>
            </w:pPr>
            <w:r>
              <w:rPr>
                <w:rFonts w:hint="eastAsia" w:ascii="宋体" w:hAnsi="宋体" w:eastAsia="宋体" w:cs="宋体"/>
                <w:spacing w:val="7"/>
                <w:sz w:val="21"/>
                <w:szCs w:val="21"/>
                <w:lang w:val="en-US" w:eastAsia="zh-CN"/>
              </w:rPr>
              <w:t>20</w:t>
            </w:r>
          </w:p>
        </w:tc>
        <w:tc>
          <w:tcPr>
            <w:tcW w:w="1370" w:type="dxa"/>
            <w:gridSpan w:val="2"/>
            <w:vMerge w:val="continue"/>
            <w:tcBorders>
              <w:left w:val="single" w:color="auto" w:sz="4" w:space="0"/>
              <w:right w:val="single" w:color="auto" w:sz="4" w:space="0"/>
            </w:tcBorders>
            <w:vAlign w:val="center"/>
          </w:tcPr>
          <w:p>
            <w:pPr>
              <w:spacing w:before="68" w:line="259" w:lineRule="auto"/>
              <w:ind w:left="131" w:right="75"/>
              <w:jc w:val="both"/>
              <w:rPr>
                <w:rFonts w:ascii="宋体" w:hAnsi="宋体" w:eastAsia="宋体" w:cs="宋体"/>
                <w:spacing w:val="7"/>
                <w:sz w:val="21"/>
                <w:szCs w:val="21"/>
              </w:rPr>
            </w:pPr>
          </w:p>
        </w:tc>
        <w:tc>
          <w:tcPr>
            <w:tcW w:w="5210" w:type="dxa"/>
            <w:tcBorders>
              <w:left w:val="single" w:color="auto" w:sz="4" w:space="0"/>
              <w:right w:val="single" w:color="auto" w:sz="4" w:space="0"/>
            </w:tcBorders>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结合实施农村人居环境整治提升行动，大力推进白洋淀上游</w:t>
            </w:r>
            <w:r>
              <w:rPr>
                <w:rFonts w:hint="eastAsia" w:ascii="宋体" w:hAnsi="宋体" w:eastAsia="宋体" w:cs="宋体"/>
                <w:spacing w:val="7"/>
                <w:sz w:val="21"/>
                <w:szCs w:val="21"/>
                <w:lang w:eastAsia="zh-CN"/>
              </w:rPr>
              <w:t>河道</w:t>
            </w:r>
            <w:r>
              <w:rPr>
                <w:rFonts w:ascii="宋体" w:hAnsi="宋体" w:eastAsia="宋体" w:cs="宋体"/>
                <w:spacing w:val="7"/>
                <w:sz w:val="21"/>
                <w:szCs w:val="21"/>
              </w:rPr>
              <w:t>水污染治理、生活污水和农村生活垃圾治理、农业面源污染防治和乡村绿化美化。</w:t>
            </w:r>
          </w:p>
        </w:tc>
        <w:tc>
          <w:tcPr>
            <w:tcW w:w="1420" w:type="dxa"/>
            <w:gridSpan w:val="3"/>
            <w:tcBorders>
              <w:left w:val="single" w:color="auto" w:sz="4" w:space="0"/>
              <w:right w:val="single" w:color="auto" w:sz="4" w:space="0"/>
            </w:tcBorders>
            <w:vAlign w:val="center"/>
          </w:tcPr>
          <w:p>
            <w:pPr>
              <w:spacing w:before="68" w:line="259" w:lineRule="auto"/>
              <w:ind w:right="75" w:rightChars="0"/>
              <w:jc w:val="center"/>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持续推进</w:t>
            </w:r>
          </w:p>
        </w:tc>
        <w:tc>
          <w:tcPr>
            <w:tcW w:w="3969" w:type="dxa"/>
            <w:tcBorders>
              <w:left w:val="single" w:color="auto" w:sz="4" w:space="0"/>
            </w:tcBorders>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水利局、农业农村局、自然资源和规划局、</w:t>
            </w:r>
            <w:r>
              <w:rPr>
                <w:rFonts w:hint="eastAsia" w:ascii="宋体" w:hAnsi="宋体" w:eastAsia="宋体" w:cs="宋体"/>
                <w:spacing w:val="7"/>
                <w:sz w:val="21"/>
                <w:szCs w:val="21"/>
                <w:lang w:eastAsia="zh-CN"/>
              </w:rPr>
              <w:t>农业农村局</w:t>
            </w:r>
            <w:r>
              <w:rPr>
                <w:rFonts w:ascii="宋体" w:hAnsi="宋体" w:eastAsia="宋体" w:cs="宋体"/>
                <w:spacing w:val="7"/>
                <w:sz w:val="21"/>
                <w:szCs w:val="21"/>
              </w:rPr>
              <w:t>等</w:t>
            </w:r>
          </w:p>
        </w:tc>
      </w:tr>
    </w:tbl>
    <w:p>
      <w:pPr>
        <w:spacing w:before="68" w:line="259" w:lineRule="auto"/>
        <w:ind w:left="131" w:right="75"/>
        <w:jc w:val="left"/>
        <w:rPr>
          <w:rFonts w:ascii="宋体" w:hAnsi="宋体" w:eastAsia="宋体" w:cs="宋体"/>
          <w:spacing w:val="7"/>
          <w:sz w:val="21"/>
          <w:szCs w:val="21"/>
        </w:rPr>
        <w:sectPr>
          <w:footerReference r:id="rId5" w:type="default"/>
          <w:pgSz w:w="16840" w:h="11900"/>
          <w:pgMar w:top="1011" w:right="2165" w:bottom="1104" w:left="1925" w:header="0" w:footer="815" w:gutter="0"/>
          <w:pgNumType w:fmt="numberInDash"/>
          <w:cols w:space="720" w:num="1"/>
        </w:sectPr>
      </w:pPr>
    </w:p>
    <w:tbl>
      <w:tblPr>
        <w:tblStyle w:val="7"/>
        <w:tblpPr w:leftFromText="180" w:rightFromText="180" w:vertAnchor="text" w:horzAnchor="page" w:tblpXSpec="center" w:tblpY="39"/>
        <w:tblOverlap w:val="never"/>
        <w:tblW w:w="1274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4"/>
        <w:gridCol w:w="1389"/>
        <w:gridCol w:w="5226"/>
        <w:gridCol w:w="1429"/>
        <w:gridCol w:w="39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4" w:hRule="atLeast"/>
          <w:jc w:val="center"/>
        </w:trPr>
        <w:tc>
          <w:tcPr>
            <w:tcW w:w="734"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序号</w:t>
            </w:r>
          </w:p>
        </w:tc>
        <w:tc>
          <w:tcPr>
            <w:tcW w:w="138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工作任务</w:t>
            </w:r>
          </w:p>
        </w:tc>
        <w:tc>
          <w:tcPr>
            <w:tcW w:w="5226"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具体内容</w:t>
            </w:r>
          </w:p>
        </w:tc>
        <w:tc>
          <w:tcPr>
            <w:tcW w:w="142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完成时限</w:t>
            </w:r>
          </w:p>
        </w:tc>
        <w:tc>
          <w:tcPr>
            <w:tcW w:w="3971"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责任部门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3" w:hRule="atLeast"/>
          <w:jc w:val="center"/>
        </w:trPr>
        <w:tc>
          <w:tcPr>
            <w:tcW w:w="73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21</w:t>
            </w:r>
          </w:p>
        </w:tc>
        <w:tc>
          <w:tcPr>
            <w:tcW w:w="1389" w:type="dxa"/>
            <w:vMerge w:val="restart"/>
            <w:tcBorders>
              <w:bottom w:val="nil"/>
            </w:tcBorders>
            <w:vAlign w:val="center"/>
          </w:tcPr>
          <w:p>
            <w:pPr>
              <w:spacing w:before="68" w:line="259" w:lineRule="auto"/>
              <w:ind w:right="75"/>
              <w:jc w:val="both"/>
              <w:rPr>
                <w:rFonts w:ascii="宋体" w:hAnsi="宋体" w:eastAsia="宋体" w:cs="宋体"/>
                <w:spacing w:val="7"/>
                <w:sz w:val="21"/>
                <w:szCs w:val="21"/>
              </w:rPr>
            </w:pPr>
            <w:r>
              <w:rPr>
                <w:rFonts w:hint="eastAsia" w:ascii="宋体" w:hAnsi="宋体" w:eastAsia="宋体" w:cs="宋体"/>
                <w:spacing w:val="7"/>
                <w:sz w:val="21"/>
                <w:szCs w:val="21"/>
                <w:lang w:eastAsia="zh-CN"/>
              </w:rPr>
              <w:t>（</w:t>
            </w:r>
            <w:r>
              <w:rPr>
                <w:rFonts w:ascii="宋体" w:hAnsi="宋体" w:eastAsia="宋体" w:cs="宋体"/>
                <w:spacing w:val="7"/>
                <w:sz w:val="21"/>
                <w:szCs w:val="21"/>
              </w:rPr>
              <w:t>十一)扎实做好水土保持治理工程建设工作</w:t>
            </w:r>
          </w:p>
        </w:tc>
        <w:tc>
          <w:tcPr>
            <w:tcW w:w="5226" w:type="dxa"/>
            <w:vAlign w:val="center"/>
          </w:tcPr>
          <w:p>
            <w:pPr>
              <w:spacing w:before="68" w:line="259" w:lineRule="auto"/>
              <w:ind w:left="131" w:right="75"/>
              <w:jc w:val="both"/>
              <w:rPr>
                <w:rFonts w:ascii="宋体" w:hAnsi="宋体" w:eastAsia="宋体" w:cs="宋体"/>
                <w:spacing w:val="7"/>
                <w:sz w:val="21"/>
                <w:szCs w:val="21"/>
              </w:rPr>
            </w:pPr>
            <w:r>
              <w:rPr>
                <w:rFonts w:ascii="宋体" w:hAnsi="宋体" w:eastAsia="宋体" w:cs="宋体"/>
                <w:spacing w:val="7"/>
                <w:sz w:val="21"/>
                <w:szCs w:val="21"/>
              </w:rPr>
              <w:t>加快推进水土保持项目实施方案编制、审批、评审和项目招投标等工作，投资计划下达前完成项目审批和项目评审工作，确保投资计划顺利执行。</w:t>
            </w:r>
          </w:p>
        </w:tc>
        <w:tc>
          <w:tcPr>
            <w:tcW w:w="142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1"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水利局、行政审批局、财政局等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2" w:hRule="atLeast"/>
          <w:jc w:val="center"/>
        </w:trPr>
        <w:tc>
          <w:tcPr>
            <w:tcW w:w="73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22</w:t>
            </w:r>
          </w:p>
        </w:tc>
        <w:tc>
          <w:tcPr>
            <w:tcW w:w="1389" w:type="dxa"/>
            <w:vMerge w:val="continue"/>
            <w:tcBorders>
              <w:top w:val="nil"/>
            </w:tcBorders>
            <w:vAlign w:val="center"/>
          </w:tcPr>
          <w:p>
            <w:pPr>
              <w:spacing w:before="68" w:line="259" w:lineRule="auto"/>
              <w:ind w:left="131" w:right="75"/>
              <w:jc w:val="both"/>
              <w:rPr>
                <w:rFonts w:ascii="宋体" w:hAnsi="宋体" w:eastAsia="宋体" w:cs="宋体"/>
                <w:spacing w:val="7"/>
                <w:sz w:val="21"/>
                <w:szCs w:val="21"/>
              </w:rPr>
            </w:pPr>
          </w:p>
        </w:tc>
        <w:tc>
          <w:tcPr>
            <w:tcW w:w="522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项目建设过程中，建设单位、方案编制单位、监理单位、监测单位、施工单位要认真负责，各司其职，紧密配合，严格按照有关规范标准组织实施。及时组织法人验收、初步验收和竣工验收，当年工程在次年9月底前完成竣工验收。</w:t>
            </w:r>
          </w:p>
        </w:tc>
        <w:tc>
          <w:tcPr>
            <w:tcW w:w="142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1"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jc w:val="center"/>
        </w:trPr>
        <w:tc>
          <w:tcPr>
            <w:tcW w:w="12749" w:type="dxa"/>
            <w:gridSpan w:val="5"/>
            <w:vAlign w:val="center"/>
          </w:tcPr>
          <w:p>
            <w:pPr>
              <w:spacing w:before="68" w:line="259" w:lineRule="auto"/>
              <w:ind w:left="131" w:right="75"/>
              <w:jc w:val="both"/>
              <w:rPr>
                <w:rFonts w:ascii="宋体" w:hAnsi="宋体" w:eastAsia="宋体" w:cs="宋体"/>
                <w:spacing w:val="7"/>
                <w:sz w:val="21"/>
                <w:szCs w:val="21"/>
              </w:rPr>
            </w:pPr>
            <w:r>
              <w:rPr>
                <w:rFonts w:ascii="宋体" w:hAnsi="宋体" w:eastAsia="宋体" w:cs="宋体"/>
                <w:b/>
                <w:bCs/>
                <w:spacing w:val="7"/>
                <w:sz w:val="21"/>
                <w:szCs w:val="21"/>
              </w:rPr>
              <w:t>四、加强水土保持能力建设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8" w:hRule="atLeast"/>
          <w:jc w:val="center"/>
        </w:trPr>
        <w:tc>
          <w:tcPr>
            <w:tcW w:w="73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23</w:t>
            </w:r>
          </w:p>
        </w:tc>
        <w:tc>
          <w:tcPr>
            <w:tcW w:w="1389" w:type="dxa"/>
            <w:vMerge w:val="restart"/>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(十二)加强监测能力和创新能力建设</w:t>
            </w:r>
          </w:p>
        </w:tc>
        <w:tc>
          <w:tcPr>
            <w:tcW w:w="522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推进水土保持监测能力建设，保障人员、经费和装备投入，开展区域水土保持功能评价、成果复核、监督性监测、专项调查、水土流失损害赔偿评估等工作。</w:t>
            </w:r>
          </w:p>
        </w:tc>
        <w:tc>
          <w:tcPr>
            <w:tcW w:w="142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1"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财政局、水利局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8" w:hRule="atLeast"/>
          <w:jc w:val="center"/>
        </w:trPr>
        <w:tc>
          <w:tcPr>
            <w:tcW w:w="734" w:type="dxa"/>
            <w:vAlign w:val="center"/>
          </w:tcPr>
          <w:p>
            <w:pPr>
              <w:spacing w:before="68" w:line="259" w:lineRule="auto"/>
              <w:ind w:right="75" w:rightChars="0"/>
              <w:jc w:val="center"/>
              <w:rPr>
                <w:rFonts w:hint="eastAsia" w:ascii="宋体" w:hAnsi="宋体" w:eastAsia="宋体" w:cs="宋体"/>
                <w:spacing w:val="7"/>
                <w:kern w:val="2"/>
                <w:sz w:val="21"/>
                <w:szCs w:val="21"/>
                <w:lang w:val="en-US" w:eastAsia="zh-CN" w:bidi="ar-SA"/>
              </w:rPr>
            </w:pPr>
            <w:r>
              <w:rPr>
                <w:rFonts w:hint="eastAsia" w:ascii="宋体" w:hAnsi="宋体" w:eastAsia="宋体" w:cs="宋体"/>
                <w:spacing w:val="7"/>
                <w:sz w:val="21"/>
                <w:szCs w:val="21"/>
                <w:lang w:val="en-US" w:eastAsia="zh-CN"/>
              </w:rPr>
              <w:t>24</w:t>
            </w:r>
          </w:p>
        </w:tc>
        <w:tc>
          <w:tcPr>
            <w:tcW w:w="1389" w:type="dxa"/>
            <w:vMerge w:val="continue"/>
            <w:vAlign w:val="center"/>
          </w:tcPr>
          <w:p>
            <w:pPr>
              <w:spacing w:before="68" w:line="259" w:lineRule="auto"/>
              <w:ind w:left="131" w:leftChars="0" w:right="75" w:rightChars="0"/>
              <w:jc w:val="both"/>
              <w:rPr>
                <w:rFonts w:ascii="宋体" w:hAnsi="宋体" w:eastAsia="宋体" w:cs="宋体"/>
                <w:spacing w:val="7"/>
                <w:kern w:val="2"/>
                <w:sz w:val="21"/>
                <w:szCs w:val="21"/>
                <w:lang w:val="en-US" w:eastAsia="zh-CN" w:bidi="ar-SA"/>
              </w:rPr>
            </w:pPr>
          </w:p>
        </w:tc>
        <w:tc>
          <w:tcPr>
            <w:tcW w:w="5226"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探索适合我</w:t>
            </w:r>
            <w:r>
              <w:rPr>
                <w:rFonts w:hint="eastAsia" w:ascii="宋体" w:hAnsi="宋体" w:eastAsia="宋体" w:cs="宋体"/>
                <w:spacing w:val="7"/>
                <w:sz w:val="21"/>
                <w:szCs w:val="21"/>
                <w:lang w:eastAsia="zh-CN"/>
              </w:rPr>
              <w:t>县</w:t>
            </w:r>
            <w:r>
              <w:rPr>
                <w:rFonts w:ascii="宋体" w:hAnsi="宋体" w:eastAsia="宋体" w:cs="宋体"/>
                <w:spacing w:val="7"/>
                <w:sz w:val="21"/>
                <w:szCs w:val="21"/>
              </w:rPr>
              <w:t>预防和治理水土流失的管理模式，提高水土保持科技创新能力建设。</w:t>
            </w:r>
          </w:p>
        </w:tc>
        <w:tc>
          <w:tcPr>
            <w:tcW w:w="1429" w:type="dxa"/>
            <w:vAlign w:val="center"/>
          </w:tcPr>
          <w:p>
            <w:pPr>
              <w:spacing w:before="68" w:line="259" w:lineRule="auto"/>
              <w:ind w:right="75" w:rightChars="0"/>
              <w:jc w:val="center"/>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持续推进</w:t>
            </w:r>
          </w:p>
        </w:tc>
        <w:tc>
          <w:tcPr>
            <w:tcW w:w="3971"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水利局等</w:t>
            </w:r>
          </w:p>
        </w:tc>
      </w:tr>
    </w:tbl>
    <w:p>
      <w:pPr>
        <w:spacing w:before="68" w:line="259" w:lineRule="auto"/>
        <w:ind w:right="75"/>
        <w:jc w:val="left"/>
        <w:rPr>
          <w:rFonts w:ascii="宋体" w:hAnsi="宋体" w:eastAsia="宋体" w:cs="宋体"/>
          <w:spacing w:val="7"/>
          <w:sz w:val="21"/>
          <w:szCs w:val="21"/>
        </w:rPr>
      </w:pPr>
    </w:p>
    <w:p>
      <w:pPr>
        <w:spacing w:before="68" w:line="259" w:lineRule="auto"/>
        <w:ind w:right="75"/>
        <w:jc w:val="left"/>
        <w:rPr>
          <w:rFonts w:ascii="宋体" w:hAnsi="宋体" w:eastAsia="宋体" w:cs="宋体"/>
          <w:spacing w:val="7"/>
          <w:sz w:val="21"/>
          <w:szCs w:val="21"/>
        </w:rPr>
      </w:pPr>
    </w:p>
    <w:p>
      <w:pPr>
        <w:spacing w:before="68" w:line="259" w:lineRule="auto"/>
        <w:ind w:right="75"/>
        <w:jc w:val="left"/>
        <w:rPr>
          <w:rFonts w:ascii="宋体" w:hAnsi="宋体" w:eastAsia="宋体" w:cs="宋体"/>
          <w:spacing w:val="7"/>
          <w:sz w:val="21"/>
          <w:szCs w:val="21"/>
        </w:rPr>
        <w:sectPr>
          <w:footerReference r:id="rId6" w:type="default"/>
          <w:pgSz w:w="16840" w:h="11900"/>
          <w:pgMar w:top="1011" w:right="2165" w:bottom="1104" w:left="1895" w:header="0" w:footer="815" w:gutter="0"/>
          <w:pgNumType w:fmt="numberInDash"/>
          <w:cols w:space="720" w:num="1"/>
        </w:sectPr>
      </w:pPr>
    </w:p>
    <w:tbl>
      <w:tblPr>
        <w:tblStyle w:val="7"/>
        <w:tblW w:w="1277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44"/>
        <w:gridCol w:w="1379"/>
        <w:gridCol w:w="5256"/>
        <w:gridCol w:w="1419"/>
        <w:gridCol w:w="39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4" w:hRule="atLeast"/>
        </w:trPr>
        <w:tc>
          <w:tcPr>
            <w:tcW w:w="744"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序号</w:t>
            </w:r>
          </w:p>
        </w:tc>
        <w:tc>
          <w:tcPr>
            <w:tcW w:w="137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工作任务</w:t>
            </w:r>
          </w:p>
        </w:tc>
        <w:tc>
          <w:tcPr>
            <w:tcW w:w="5256"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具体内容</w:t>
            </w:r>
          </w:p>
        </w:tc>
        <w:tc>
          <w:tcPr>
            <w:tcW w:w="141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完成时限</w:t>
            </w:r>
          </w:p>
        </w:tc>
        <w:tc>
          <w:tcPr>
            <w:tcW w:w="3972"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责任部门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9" w:hRule="atLeast"/>
        </w:trPr>
        <w:tc>
          <w:tcPr>
            <w:tcW w:w="12770" w:type="dxa"/>
            <w:gridSpan w:val="5"/>
            <w:vAlign w:val="center"/>
          </w:tcPr>
          <w:p>
            <w:pPr>
              <w:spacing w:before="68" w:line="259" w:lineRule="auto"/>
              <w:ind w:left="131" w:right="75"/>
              <w:jc w:val="both"/>
              <w:rPr>
                <w:rFonts w:ascii="宋体" w:hAnsi="宋体" w:eastAsia="宋体" w:cs="宋体"/>
                <w:spacing w:val="7"/>
                <w:sz w:val="21"/>
                <w:szCs w:val="21"/>
              </w:rPr>
            </w:pPr>
            <w:r>
              <w:rPr>
                <w:rFonts w:ascii="宋体" w:hAnsi="宋体" w:eastAsia="宋体" w:cs="宋体"/>
                <w:b/>
                <w:bCs/>
                <w:spacing w:val="7"/>
                <w:sz w:val="21"/>
                <w:szCs w:val="21"/>
              </w:rPr>
              <w:t>五、深化水土保持体制机制创新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8" w:hRule="atLeast"/>
        </w:trPr>
        <w:tc>
          <w:tcPr>
            <w:tcW w:w="74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25</w:t>
            </w:r>
          </w:p>
        </w:tc>
        <w:tc>
          <w:tcPr>
            <w:tcW w:w="1379" w:type="dxa"/>
            <w:vMerge w:val="restart"/>
            <w:tcBorders>
              <w:bottom w:val="nil"/>
            </w:tcBorders>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(十三)完善水土保持工作机制</w:t>
            </w:r>
          </w:p>
        </w:tc>
        <w:tc>
          <w:tcPr>
            <w:tcW w:w="525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坚持和加强党对水土保持工作的全面领导，各级党委、政府要切实担负起水土保持责任，抓好水土保持工作落实。按照石家庄市水土保持高质量发展工作领导小组要求，落实有关部门工作职责和重点任务分工。完善水土保持</w:t>
            </w:r>
            <w:r>
              <w:rPr>
                <w:rFonts w:hint="eastAsia" w:ascii="宋体" w:hAnsi="宋体" w:eastAsia="宋体" w:cs="宋体"/>
                <w:spacing w:val="7"/>
                <w:sz w:val="21"/>
                <w:szCs w:val="21"/>
                <w:lang w:eastAsia="zh-CN"/>
              </w:rPr>
              <w:t>县乡</w:t>
            </w:r>
            <w:r>
              <w:rPr>
                <w:rFonts w:ascii="宋体" w:hAnsi="宋体" w:eastAsia="宋体" w:cs="宋体"/>
                <w:spacing w:val="7"/>
                <w:sz w:val="21"/>
                <w:szCs w:val="21"/>
              </w:rPr>
              <w:t>协调机制，强化部门协同，形成工作合力。</w:t>
            </w:r>
          </w:p>
        </w:tc>
        <w:tc>
          <w:tcPr>
            <w:tcW w:w="141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w:t>
            </w:r>
            <w:r>
              <w:rPr>
                <w:rFonts w:hint="eastAsia" w:ascii="宋体" w:hAnsi="宋体" w:eastAsia="宋体" w:cs="宋体"/>
                <w:spacing w:val="7"/>
                <w:sz w:val="21"/>
                <w:szCs w:val="21"/>
                <w:lang w:val="en-US" w:eastAsia="zh-CN"/>
              </w:rPr>
              <w:t>发展和改革</w:t>
            </w:r>
            <w:r>
              <w:rPr>
                <w:rFonts w:hint="eastAsia" w:ascii="宋体" w:hAnsi="宋体" w:eastAsia="宋体" w:cs="宋体"/>
                <w:spacing w:val="7"/>
                <w:sz w:val="21"/>
                <w:szCs w:val="21"/>
                <w:lang w:eastAsia="zh-CN"/>
              </w:rPr>
              <w:t>局</w:t>
            </w:r>
            <w:r>
              <w:rPr>
                <w:rFonts w:ascii="宋体" w:hAnsi="宋体" w:eastAsia="宋体" w:cs="宋体"/>
                <w:spacing w:val="7"/>
                <w:sz w:val="21"/>
                <w:szCs w:val="21"/>
              </w:rPr>
              <w:t>、财政局、自然资源和规划局、生态环境</w:t>
            </w:r>
            <w:r>
              <w:rPr>
                <w:rFonts w:hint="eastAsia" w:ascii="宋体" w:hAnsi="宋体" w:eastAsia="宋体" w:cs="宋体"/>
                <w:spacing w:val="7"/>
                <w:sz w:val="21"/>
                <w:szCs w:val="21"/>
                <w:lang w:eastAsia="zh-CN"/>
              </w:rPr>
              <w:t>分</w:t>
            </w:r>
            <w:r>
              <w:rPr>
                <w:rFonts w:ascii="宋体" w:hAnsi="宋体" w:eastAsia="宋体" w:cs="宋体"/>
                <w:spacing w:val="7"/>
                <w:sz w:val="21"/>
                <w:szCs w:val="21"/>
              </w:rPr>
              <w:t>局、农业农村局等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2" w:hRule="atLeast"/>
        </w:trPr>
        <w:tc>
          <w:tcPr>
            <w:tcW w:w="74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26</w:t>
            </w:r>
          </w:p>
        </w:tc>
        <w:tc>
          <w:tcPr>
            <w:tcW w:w="1379" w:type="dxa"/>
            <w:vMerge w:val="continue"/>
            <w:tcBorders>
              <w:top w:val="nil"/>
            </w:tcBorders>
            <w:vAlign w:val="center"/>
          </w:tcPr>
          <w:p>
            <w:pPr>
              <w:spacing w:before="68" w:line="259" w:lineRule="auto"/>
              <w:ind w:left="131" w:right="75"/>
              <w:jc w:val="both"/>
              <w:rPr>
                <w:rFonts w:ascii="宋体" w:hAnsi="宋体" w:eastAsia="宋体" w:cs="宋体"/>
                <w:spacing w:val="7"/>
                <w:sz w:val="21"/>
                <w:szCs w:val="21"/>
              </w:rPr>
            </w:pPr>
          </w:p>
        </w:tc>
        <w:tc>
          <w:tcPr>
            <w:tcW w:w="525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在全</w:t>
            </w:r>
            <w:r>
              <w:rPr>
                <w:rFonts w:hint="eastAsia" w:ascii="宋体" w:hAnsi="宋体" w:eastAsia="宋体" w:cs="宋体"/>
                <w:spacing w:val="7"/>
                <w:sz w:val="21"/>
                <w:szCs w:val="21"/>
                <w:lang w:eastAsia="zh-CN"/>
              </w:rPr>
              <w:t>县</w:t>
            </w:r>
            <w:r>
              <w:rPr>
                <w:rFonts w:ascii="宋体" w:hAnsi="宋体" w:eastAsia="宋体" w:cs="宋体"/>
                <w:spacing w:val="7"/>
                <w:sz w:val="21"/>
                <w:szCs w:val="21"/>
              </w:rPr>
              <w:t>范围内开展</w:t>
            </w:r>
            <w:r>
              <w:rPr>
                <w:rFonts w:hint="eastAsia" w:ascii="宋体" w:hAnsi="宋体" w:eastAsia="宋体" w:cs="宋体"/>
                <w:spacing w:val="7"/>
                <w:sz w:val="21"/>
                <w:szCs w:val="21"/>
                <w:lang w:eastAsia="zh-CN"/>
              </w:rPr>
              <w:t>乡镇</w:t>
            </w:r>
            <w:r>
              <w:rPr>
                <w:rFonts w:ascii="宋体" w:hAnsi="宋体" w:eastAsia="宋体" w:cs="宋体"/>
                <w:spacing w:val="7"/>
                <w:sz w:val="21"/>
                <w:szCs w:val="21"/>
              </w:rPr>
              <w:t>政府水土保持目标责任制考核，将考核结果作为领导班子和领导干部综合考核评价及责任追究、自然资源离任审计的重要参考。</w:t>
            </w:r>
          </w:p>
        </w:tc>
        <w:tc>
          <w:tcPr>
            <w:tcW w:w="141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2" w:type="dxa"/>
            <w:vAlign w:val="center"/>
          </w:tcPr>
          <w:p>
            <w:pPr>
              <w:spacing w:before="68" w:line="259" w:lineRule="auto"/>
              <w:ind w:right="75"/>
              <w:jc w:val="both"/>
              <w:rPr>
                <w:rFonts w:ascii="宋体" w:hAnsi="宋体" w:eastAsia="宋体" w:cs="宋体"/>
                <w:spacing w:val="7"/>
                <w:sz w:val="21"/>
                <w:szCs w:val="21"/>
              </w:rPr>
            </w:pPr>
            <w:r>
              <w:rPr>
                <w:rFonts w:hint="eastAsia" w:ascii="宋体" w:hAnsi="宋体" w:eastAsia="宋体" w:cs="宋体"/>
                <w:spacing w:val="7"/>
                <w:sz w:val="21"/>
                <w:szCs w:val="21"/>
                <w:lang w:eastAsia="zh-CN"/>
              </w:rPr>
              <w:t>县</w:t>
            </w:r>
            <w:r>
              <w:rPr>
                <w:rFonts w:ascii="宋体" w:hAnsi="宋体" w:eastAsia="宋体" w:cs="宋体"/>
                <w:spacing w:val="7"/>
                <w:sz w:val="21"/>
                <w:szCs w:val="21"/>
              </w:rPr>
              <w:t>委组织部、水利局</w:t>
            </w:r>
            <w:r>
              <w:rPr>
                <w:rFonts w:hint="eastAsia" w:ascii="宋体" w:hAnsi="宋体" w:eastAsia="宋体" w:cs="宋体"/>
                <w:spacing w:val="7"/>
                <w:sz w:val="21"/>
                <w:szCs w:val="21"/>
                <w:lang w:eastAsia="zh-CN"/>
              </w:rPr>
              <w:t>、</w:t>
            </w:r>
            <w:r>
              <w:rPr>
                <w:rFonts w:hint="eastAsia" w:ascii="宋体" w:hAnsi="宋体" w:eastAsia="宋体" w:cs="宋体"/>
                <w:spacing w:val="7"/>
                <w:sz w:val="21"/>
                <w:szCs w:val="21"/>
                <w:lang w:val="en-US" w:eastAsia="zh-CN"/>
              </w:rPr>
              <w:t>发展和改革</w:t>
            </w:r>
            <w:r>
              <w:rPr>
                <w:rFonts w:hint="eastAsia" w:ascii="宋体" w:hAnsi="宋体" w:eastAsia="宋体" w:cs="宋体"/>
                <w:spacing w:val="7"/>
                <w:sz w:val="21"/>
                <w:szCs w:val="21"/>
                <w:lang w:eastAsia="zh-CN"/>
              </w:rPr>
              <w:t>局</w:t>
            </w:r>
            <w:r>
              <w:rPr>
                <w:rFonts w:ascii="宋体" w:hAnsi="宋体" w:eastAsia="宋体" w:cs="宋体"/>
                <w:spacing w:val="7"/>
                <w:sz w:val="21"/>
                <w:szCs w:val="21"/>
              </w:rPr>
              <w:t>、财政局、自然资源和规划局、农业农村局等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53" w:hRule="atLeast"/>
        </w:trPr>
        <w:tc>
          <w:tcPr>
            <w:tcW w:w="744" w:type="dxa"/>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27</w:t>
            </w:r>
          </w:p>
        </w:tc>
        <w:tc>
          <w:tcPr>
            <w:tcW w:w="1379" w:type="dxa"/>
            <w:vMerge w:val="restart"/>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(十四)加强投入保障和队伍建设</w:t>
            </w:r>
          </w:p>
        </w:tc>
        <w:tc>
          <w:tcPr>
            <w:tcW w:w="5256"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支持引导社会资本和符合条件的新型农业经营主体、旅游景区等开展水土流失治理。</w:t>
            </w:r>
          </w:p>
        </w:tc>
        <w:tc>
          <w:tcPr>
            <w:tcW w:w="1419" w:type="dxa"/>
            <w:vAlign w:val="center"/>
          </w:tcPr>
          <w:p>
            <w:pPr>
              <w:spacing w:before="68" w:line="259" w:lineRule="auto"/>
              <w:ind w:right="75"/>
              <w:jc w:val="center"/>
              <w:rPr>
                <w:rFonts w:ascii="宋体" w:hAnsi="宋体" w:eastAsia="宋体" w:cs="宋体"/>
                <w:spacing w:val="7"/>
                <w:sz w:val="21"/>
                <w:szCs w:val="21"/>
              </w:rPr>
            </w:pPr>
            <w:r>
              <w:rPr>
                <w:rFonts w:ascii="宋体" w:hAnsi="宋体" w:eastAsia="宋体" w:cs="宋体"/>
                <w:spacing w:val="7"/>
                <w:sz w:val="21"/>
                <w:szCs w:val="21"/>
              </w:rPr>
              <w:t>持续推进</w:t>
            </w:r>
          </w:p>
        </w:tc>
        <w:tc>
          <w:tcPr>
            <w:tcW w:w="3972" w:type="dxa"/>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水利局、财政局等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53" w:hRule="atLeast"/>
        </w:trPr>
        <w:tc>
          <w:tcPr>
            <w:tcW w:w="0" w:type="auto"/>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28</w:t>
            </w:r>
          </w:p>
        </w:tc>
        <w:tc>
          <w:tcPr>
            <w:tcW w:w="1379" w:type="dxa"/>
            <w:vMerge w:val="continue"/>
            <w:vAlign w:val="center"/>
          </w:tcPr>
          <w:p>
            <w:pPr>
              <w:spacing w:before="68" w:line="259" w:lineRule="auto"/>
              <w:ind w:left="131" w:right="75"/>
              <w:jc w:val="both"/>
              <w:rPr>
                <w:rFonts w:ascii="宋体" w:hAnsi="宋体" w:eastAsia="宋体" w:cs="宋体"/>
                <w:spacing w:val="7"/>
                <w:sz w:val="21"/>
                <w:szCs w:val="21"/>
              </w:rPr>
            </w:pPr>
          </w:p>
        </w:tc>
        <w:tc>
          <w:tcPr>
            <w:tcW w:w="0" w:type="auto"/>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加强水土保持队伍建设，配齐配强工作力量，优化人员结构，加大业务技能培训，保障经费和装备投入将各级财政投入和水土保持队伍建设情况纳入水土保持目标责任制考核。</w:t>
            </w:r>
          </w:p>
        </w:tc>
        <w:tc>
          <w:tcPr>
            <w:tcW w:w="1419" w:type="dxa"/>
            <w:vAlign w:val="center"/>
          </w:tcPr>
          <w:p>
            <w:pPr>
              <w:spacing w:before="68" w:line="259" w:lineRule="auto"/>
              <w:ind w:left="131" w:right="75"/>
              <w:jc w:val="both"/>
              <w:rPr>
                <w:rFonts w:ascii="宋体" w:hAnsi="宋体" w:eastAsia="宋体" w:cs="宋体"/>
                <w:spacing w:val="7"/>
                <w:sz w:val="21"/>
                <w:szCs w:val="21"/>
              </w:rPr>
            </w:pPr>
          </w:p>
        </w:tc>
        <w:tc>
          <w:tcPr>
            <w:tcW w:w="3972" w:type="dxa"/>
            <w:vAlign w:val="center"/>
          </w:tcPr>
          <w:p>
            <w:pPr>
              <w:spacing w:before="68" w:line="259" w:lineRule="auto"/>
              <w:ind w:left="131" w:right="75"/>
              <w:jc w:val="both"/>
              <w:rPr>
                <w:rFonts w:ascii="宋体" w:hAnsi="宋体" w:eastAsia="宋体" w:cs="宋体"/>
                <w:spacing w:val="7"/>
                <w:sz w:val="21"/>
                <w:szCs w:val="21"/>
              </w:rPr>
            </w:pPr>
          </w:p>
        </w:tc>
      </w:tr>
    </w:tbl>
    <w:p>
      <w:pPr>
        <w:spacing w:before="68" w:line="259" w:lineRule="auto"/>
        <w:ind w:left="131" w:right="75"/>
        <w:jc w:val="left"/>
        <w:rPr>
          <w:rFonts w:ascii="宋体" w:hAnsi="宋体" w:eastAsia="宋体" w:cs="宋体"/>
          <w:spacing w:val="7"/>
          <w:sz w:val="21"/>
          <w:szCs w:val="21"/>
        </w:rPr>
      </w:pPr>
    </w:p>
    <w:p>
      <w:pPr>
        <w:spacing w:before="68" w:line="259" w:lineRule="auto"/>
        <w:ind w:right="75"/>
        <w:jc w:val="left"/>
        <w:rPr>
          <w:rFonts w:ascii="宋体" w:hAnsi="宋体" w:eastAsia="宋体" w:cs="宋体"/>
          <w:spacing w:val="7"/>
          <w:sz w:val="21"/>
          <w:szCs w:val="21"/>
        </w:rPr>
      </w:pPr>
    </w:p>
    <w:p>
      <w:pPr>
        <w:spacing w:before="68" w:line="259" w:lineRule="auto"/>
        <w:ind w:right="75"/>
        <w:jc w:val="left"/>
        <w:rPr>
          <w:rFonts w:ascii="宋体" w:hAnsi="宋体" w:eastAsia="宋体" w:cs="宋体"/>
          <w:spacing w:val="7"/>
          <w:sz w:val="21"/>
          <w:szCs w:val="21"/>
        </w:rPr>
      </w:pPr>
    </w:p>
    <w:tbl>
      <w:tblPr>
        <w:tblStyle w:val="7"/>
        <w:tblW w:w="1276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4"/>
        <w:gridCol w:w="1359"/>
        <w:gridCol w:w="5256"/>
        <w:gridCol w:w="1409"/>
        <w:gridCol w:w="39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4" w:hRule="atLeast"/>
        </w:trPr>
        <w:tc>
          <w:tcPr>
            <w:tcW w:w="754"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序号</w:t>
            </w:r>
          </w:p>
        </w:tc>
        <w:tc>
          <w:tcPr>
            <w:tcW w:w="135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工作任务</w:t>
            </w:r>
          </w:p>
        </w:tc>
        <w:tc>
          <w:tcPr>
            <w:tcW w:w="5256"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具体内容</w:t>
            </w:r>
          </w:p>
        </w:tc>
        <w:tc>
          <w:tcPr>
            <w:tcW w:w="1409"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完成时限</w:t>
            </w:r>
          </w:p>
        </w:tc>
        <w:tc>
          <w:tcPr>
            <w:tcW w:w="3982" w:type="dxa"/>
            <w:vAlign w:val="center"/>
          </w:tcPr>
          <w:p>
            <w:pPr>
              <w:spacing w:before="68" w:line="259" w:lineRule="auto"/>
              <w:ind w:left="131" w:right="75"/>
              <w:jc w:val="center"/>
              <w:rPr>
                <w:rFonts w:ascii="宋体" w:hAnsi="宋体" w:eastAsia="宋体" w:cs="宋体"/>
                <w:b/>
                <w:bCs/>
                <w:spacing w:val="7"/>
                <w:sz w:val="21"/>
                <w:szCs w:val="21"/>
              </w:rPr>
            </w:pPr>
            <w:r>
              <w:rPr>
                <w:rFonts w:ascii="宋体" w:hAnsi="宋体" w:eastAsia="宋体" w:cs="宋体"/>
                <w:b/>
                <w:bCs/>
                <w:spacing w:val="7"/>
                <w:sz w:val="21"/>
                <w:szCs w:val="21"/>
              </w:rPr>
              <w:t>责任部门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754" w:type="dxa"/>
            <w:tcBorders>
              <w:bottom w:val="single" w:color="auto" w:sz="4" w:space="0"/>
            </w:tcBorders>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29</w:t>
            </w:r>
          </w:p>
        </w:tc>
        <w:tc>
          <w:tcPr>
            <w:tcW w:w="1359" w:type="dxa"/>
            <w:vMerge w:val="restart"/>
            <w:tcBorders>
              <w:bottom w:val="single" w:color="auto" w:sz="4" w:space="0"/>
            </w:tcBorders>
            <w:vAlign w:val="center"/>
          </w:tcPr>
          <w:p>
            <w:pPr>
              <w:spacing w:before="68" w:line="259" w:lineRule="auto"/>
              <w:ind w:right="75"/>
              <w:jc w:val="both"/>
              <w:rPr>
                <w:rFonts w:ascii="宋体" w:hAnsi="宋体" w:eastAsia="宋体" w:cs="宋体"/>
                <w:spacing w:val="7"/>
                <w:sz w:val="21"/>
                <w:szCs w:val="21"/>
              </w:rPr>
            </w:pPr>
            <w:r>
              <w:rPr>
                <w:rFonts w:ascii="宋体" w:hAnsi="宋体" w:eastAsia="宋体" w:cs="宋体"/>
                <w:spacing w:val="7"/>
                <w:sz w:val="21"/>
                <w:szCs w:val="21"/>
              </w:rPr>
              <w:t>(十五)强化示范和宣传教育</w:t>
            </w:r>
          </w:p>
        </w:tc>
        <w:tc>
          <w:tcPr>
            <w:tcW w:w="5256" w:type="dxa"/>
            <w:tcBorders>
              <w:bottom w:val="single" w:color="auto" w:sz="4" w:space="0"/>
            </w:tcBorders>
            <w:vAlign w:val="center"/>
          </w:tcPr>
          <w:p>
            <w:pPr>
              <w:spacing w:before="68" w:line="259" w:lineRule="auto"/>
              <w:ind w:left="131" w:leftChars="0"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按有关规定，对水土保持工作中成绩显著的单位、个人予以表扬奖励。</w:t>
            </w:r>
          </w:p>
        </w:tc>
        <w:tc>
          <w:tcPr>
            <w:tcW w:w="1409" w:type="dxa"/>
            <w:vAlign w:val="center"/>
          </w:tcPr>
          <w:p>
            <w:pPr>
              <w:spacing w:before="68" w:line="259" w:lineRule="auto"/>
              <w:ind w:right="75" w:rightChars="0"/>
              <w:jc w:val="center"/>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持续推进</w:t>
            </w:r>
          </w:p>
        </w:tc>
        <w:tc>
          <w:tcPr>
            <w:tcW w:w="3982" w:type="dxa"/>
            <w:vAlign w:val="center"/>
          </w:tcPr>
          <w:p>
            <w:pPr>
              <w:spacing w:before="68" w:line="259" w:lineRule="auto"/>
              <w:ind w:left="131" w:leftChars="0" w:right="75" w:rightChars="0"/>
              <w:jc w:val="both"/>
              <w:rPr>
                <w:rFonts w:ascii="宋体" w:hAnsi="宋体" w:eastAsia="宋体" w:cs="宋体"/>
                <w:spacing w:val="7"/>
                <w:kern w:val="2"/>
                <w:sz w:val="21"/>
                <w:szCs w:val="21"/>
                <w:lang w:val="en-US" w:eastAsia="zh-CN" w:bidi="ar-SA"/>
              </w:rPr>
            </w:pPr>
            <w:r>
              <w:rPr>
                <w:rFonts w:hint="eastAsia" w:ascii="宋体" w:hAnsi="宋体" w:eastAsia="宋体" w:cs="宋体"/>
                <w:spacing w:val="7"/>
                <w:sz w:val="21"/>
                <w:szCs w:val="21"/>
                <w:lang w:eastAsia="zh-CN"/>
              </w:rPr>
              <w:t>县</w:t>
            </w:r>
            <w:r>
              <w:rPr>
                <w:rFonts w:ascii="宋体" w:hAnsi="宋体" w:eastAsia="宋体" w:cs="宋体"/>
                <w:spacing w:val="7"/>
                <w:sz w:val="21"/>
                <w:szCs w:val="21"/>
              </w:rPr>
              <w:t>委组织部、人力资源和社会保障局、水利局等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8" w:hRule="atLeast"/>
        </w:trPr>
        <w:tc>
          <w:tcPr>
            <w:tcW w:w="754" w:type="dxa"/>
            <w:tcBorders>
              <w:top w:val="single" w:color="auto" w:sz="4" w:space="0"/>
              <w:left w:val="single" w:color="auto" w:sz="4" w:space="0"/>
              <w:bottom w:val="single" w:color="auto" w:sz="4" w:space="0"/>
              <w:right w:val="single" w:color="auto" w:sz="4" w:space="0"/>
            </w:tcBorders>
            <w:vAlign w:val="center"/>
          </w:tcPr>
          <w:p>
            <w:pPr>
              <w:spacing w:before="68" w:line="259" w:lineRule="auto"/>
              <w:ind w:right="75"/>
              <w:jc w:val="center"/>
              <w:rPr>
                <w:rFonts w:hint="default" w:ascii="宋体" w:hAnsi="宋体" w:eastAsia="宋体" w:cs="宋体"/>
                <w:spacing w:val="7"/>
                <w:sz w:val="21"/>
                <w:szCs w:val="21"/>
                <w:lang w:val="en-US" w:eastAsia="zh-CN"/>
              </w:rPr>
            </w:pPr>
            <w:r>
              <w:rPr>
                <w:rFonts w:hint="eastAsia" w:ascii="宋体" w:hAnsi="宋体" w:eastAsia="宋体" w:cs="宋体"/>
                <w:spacing w:val="7"/>
                <w:sz w:val="21"/>
                <w:szCs w:val="21"/>
                <w:lang w:val="en-US" w:eastAsia="zh-CN"/>
              </w:rPr>
              <w:t>30</w:t>
            </w:r>
          </w:p>
        </w:tc>
        <w:tc>
          <w:tcPr>
            <w:tcW w:w="1359" w:type="dxa"/>
            <w:vMerge w:val="continue"/>
            <w:tcBorders>
              <w:top w:val="single" w:color="auto" w:sz="4" w:space="0"/>
              <w:left w:val="single" w:color="auto" w:sz="4" w:space="0"/>
              <w:bottom w:val="single" w:color="auto" w:sz="4" w:space="0"/>
              <w:right w:val="single" w:color="auto" w:sz="4" w:space="0"/>
            </w:tcBorders>
            <w:vAlign w:val="center"/>
          </w:tcPr>
          <w:p>
            <w:pPr>
              <w:spacing w:before="68" w:line="259" w:lineRule="auto"/>
              <w:ind w:left="131" w:right="75"/>
              <w:jc w:val="both"/>
              <w:rPr>
                <w:rFonts w:ascii="宋体" w:hAnsi="宋体" w:eastAsia="宋体" w:cs="宋体"/>
                <w:spacing w:val="7"/>
                <w:sz w:val="21"/>
                <w:szCs w:val="21"/>
              </w:rPr>
            </w:pPr>
          </w:p>
        </w:tc>
        <w:tc>
          <w:tcPr>
            <w:tcW w:w="5256" w:type="dxa"/>
            <w:tcBorders>
              <w:top w:val="single" w:color="auto" w:sz="4" w:space="0"/>
              <w:left w:val="single" w:color="auto" w:sz="4" w:space="0"/>
              <w:bottom w:val="single" w:color="auto" w:sz="4" w:space="0"/>
              <w:right w:val="single" w:color="auto" w:sz="4" w:space="0"/>
            </w:tcBorders>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开展水土保持宣传教育，普及水土保持法律法规和相关政策，将水土保持宣传教育工作纳入党政领导干部培训体系，积极推进水土保持宣传教育工作进校园、进党校、进社区，采取多种方式加强水土保持宣传报道，引导全社会强化水土保持意识。</w:t>
            </w:r>
          </w:p>
        </w:tc>
        <w:tc>
          <w:tcPr>
            <w:tcW w:w="1409" w:type="dxa"/>
            <w:tcBorders>
              <w:left w:val="single" w:color="auto" w:sz="4" w:space="0"/>
            </w:tcBorders>
            <w:vAlign w:val="center"/>
          </w:tcPr>
          <w:p>
            <w:pPr>
              <w:spacing w:before="68" w:line="259" w:lineRule="auto"/>
              <w:ind w:right="75" w:rightChars="0"/>
              <w:jc w:val="center"/>
              <w:rPr>
                <w:rFonts w:ascii="宋体" w:hAnsi="宋体" w:eastAsia="宋体" w:cs="宋体"/>
                <w:spacing w:val="7"/>
                <w:kern w:val="2"/>
                <w:sz w:val="21"/>
                <w:szCs w:val="21"/>
                <w:lang w:val="en-US" w:eastAsia="zh-CN" w:bidi="ar-SA"/>
              </w:rPr>
            </w:pPr>
            <w:r>
              <w:rPr>
                <w:rFonts w:ascii="宋体" w:hAnsi="宋体" w:eastAsia="宋体" w:cs="宋体"/>
                <w:spacing w:val="7"/>
                <w:sz w:val="21"/>
                <w:szCs w:val="21"/>
              </w:rPr>
              <w:t>持续推进</w:t>
            </w:r>
          </w:p>
        </w:tc>
        <w:tc>
          <w:tcPr>
            <w:tcW w:w="3982" w:type="dxa"/>
            <w:vAlign w:val="center"/>
          </w:tcPr>
          <w:p>
            <w:pPr>
              <w:spacing w:before="68" w:line="259" w:lineRule="auto"/>
              <w:ind w:right="75" w:rightChars="0"/>
              <w:jc w:val="both"/>
              <w:rPr>
                <w:rFonts w:ascii="宋体" w:hAnsi="宋体" w:eastAsia="宋体" w:cs="宋体"/>
                <w:spacing w:val="7"/>
                <w:kern w:val="2"/>
                <w:sz w:val="21"/>
                <w:szCs w:val="21"/>
                <w:lang w:val="en-US" w:eastAsia="zh-CN" w:bidi="ar-SA"/>
              </w:rPr>
            </w:pPr>
            <w:r>
              <w:rPr>
                <w:rFonts w:hint="eastAsia" w:ascii="宋体" w:hAnsi="宋体" w:eastAsia="宋体" w:cs="宋体"/>
                <w:spacing w:val="7"/>
                <w:sz w:val="21"/>
                <w:szCs w:val="21"/>
                <w:lang w:eastAsia="zh-CN"/>
              </w:rPr>
              <w:t>县</w:t>
            </w:r>
            <w:r>
              <w:rPr>
                <w:rFonts w:ascii="宋体" w:hAnsi="宋体" w:eastAsia="宋体" w:cs="宋体"/>
                <w:spacing w:val="7"/>
                <w:sz w:val="21"/>
                <w:szCs w:val="21"/>
              </w:rPr>
              <w:t>委组织部、</w:t>
            </w:r>
            <w:r>
              <w:rPr>
                <w:rFonts w:hint="eastAsia" w:ascii="宋体" w:hAnsi="宋体" w:eastAsia="宋体" w:cs="宋体"/>
                <w:spacing w:val="7"/>
                <w:sz w:val="21"/>
                <w:szCs w:val="21"/>
                <w:lang w:eastAsia="zh-CN"/>
              </w:rPr>
              <w:t>县</w:t>
            </w:r>
            <w:r>
              <w:rPr>
                <w:rFonts w:ascii="宋体" w:hAnsi="宋体" w:eastAsia="宋体" w:cs="宋体"/>
                <w:spacing w:val="7"/>
                <w:sz w:val="21"/>
                <w:szCs w:val="21"/>
              </w:rPr>
              <w:t>委宣传部、水利局</w:t>
            </w:r>
            <w:r>
              <w:rPr>
                <w:rFonts w:hint="eastAsia" w:ascii="宋体" w:hAnsi="宋体" w:eastAsia="宋体" w:cs="宋体"/>
                <w:spacing w:val="7"/>
                <w:sz w:val="21"/>
                <w:szCs w:val="21"/>
                <w:lang w:eastAsia="zh-CN"/>
              </w:rPr>
              <w:t>、</w:t>
            </w:r>
            <w:r>
              <w:rPr>
                <w:rFonts w:ascii="宋体" w:hAnsi="宋体" w:eastAsia="宋体" w:cs="宋体"/>
                <w:spacing w:val="7"/>
                <w:sz w:val="21"/>
                <w:szCs w:val="21"/>
              </w:rPr>
              <w:t>农业农村局等</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3" w:lineRule="auto"/>
      <w:ind w:left="5885"/>
      <w:rPr>
        <w:rFonts w:ascii="宋体" w:hAnsi="宋体" w:eastAsia="宋体" w:cs="宋体"/>
        <w:sz w:val="29"/>
        <w:szCs w:val="29"/>
      </w:rPr>
    </w:pPr>
    <w:r>
      <w:rPr>
        <w:sz w:val="29"/>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3" w:lineRule="auto"/>
      <w:ind w:left="5894"/>
      <w:rPr>
        <w:rFonts w:ascii="宋体" w:hAnsi="宋体" w:eastAsia="宋体" w:cs="宋体"/>
        <w:sz w:val="29"/>
        <w:szCs w:val="29"/>
      </w:rPr>
    </w:pPr>
    <w:r>
      <w:rPr>
        <w:sz w:val="29"/>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- 9 -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- 9 -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3" w:lineRule="auto"/>
      <w:ind w:left="5864"/>
      <w:rPr>
        <w:rFonts w:ascii="宋体" w:hAnsi="宋体" w:eastAsia="宋体" w:cs="宋体"/>
        <w:sz w:val="29"/>
        <w:szCs w:val="29"/>
      </w:rPr>
    </w:pPr>
    <w:r>
      <w:rPr>
        <w:sz w:val="29"/>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- 10 -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- 10 -</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3" w:lineRule="auto"/>
      <w:ind w:left="5894"/>
      <w:rPr>
        <w:rFonts w:ascii="宋体" w:hAnsi="宋体" w:eastAsia="宋体" w:cs="宋体"/>
        <w:sz w:val="29"/>
        <w:szCs w:val="29"/>
      </w:rPr>
    </w:pPr>
    <w:r>
      <w:rPr>
        <w:sz w:val="29"/>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- 12 -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- 12 -</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BB3D01"/>
    <w:rsid w:val="09316E08"/>
    <w:rsid w:val="24E25D13"/>
    <w:rsid w:val="26806A39"/>
    <w:rsid w:val="272A364F"/>
    <w:rsid w:val="3B8C5043"/>
    <w:rsid w:val="41BB3D01"/>
    <w:rsid w:val="4857563B"/>
    <w:rsid w:val="699A504F"/>
    <w:rsid w:val="76E40D9D"/>
    <w:rsid w:val="7D6E48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Body Text First Indent 2"/>
    <w:basedOn w:val="2"/>
    <w:next w:val="3"/>
    <w:qFormat/>
    <w:uiPriority w:val="0"/>
    <w:pPr>
      <w:ind w:firstLine="420" w:firstLineChars="200"/>
    </w:p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2023-12-21T02:29:00Z</dcterms:created>
  <dc:creator>旧雨</dc:creator>
  <cp:lastModifiedBy>旧雨</cp:lastModifiedBy>
  <dcterms:modified xsi:type="dcterms:W3CDTF">2023-12-21T02:30:38Z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98B065332B3F41CBAA04A3477645E663</vt:lpwstr>
  </property>
</Properties>
</file>