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Pr>
        <w:ind w:left="0" w:leftChars="0" w:firstLine="0" w:firstLineChars="0"/>
        <w:jc w:val="center"/>
        <w:rPr>
          <w:rFonts w:hint="eastAsia" w:ascii="楷体" w:hAnsi="楷体" w:eastAsia="楷体" w:cs="楷体"/>
          <w:b/>
          <w:bCs/>
          <w:sz w:val="36"/>
          <w:szCs w:val="36"/>
          <w:lang w:eastAsia="zh-CN"/>
        </w:rPr>
      </w:pPr>
      <w:r>
        <w:rPr>
          <w:rFonts w:hint="eastAsia" w:ascii="楷体" w:hAnsi="楷体" w:eastAsia="楷体" w:cs="楷体"/>
          <w:b/>
          <w:bCs/>
          <w:sz w:val="36"/>
          <w:szCs w:val="36"/>
          <w:lang w:eastAsia="zh-CN"/>
        </w:rPr>
        <w:t>无极县住房和城乡建设局</w:t>
      </w:r>
    </w:p>
    <w:p>
      <w:pPr>
        <w:ind w:left="0" w:leftChars="0" w:firstLine="0" w:firstLineChars="0"/>
        <w:jc w:val="center"/>
        <w:rPr>
          <w:rFonts w:hint="eastAsia" w:ascii="楷体" w:hAnsi="楷体" w:eastAsia="楷体" w:cs="楷体"/>
          <w:b/>
          <w:bCs/>
          <w:sz w:val="36"/>
          <w:szCs w:val="36"/>
          <w:lang w:eastAsia="zh-CN"/>
        </w:rPr>
      </w:pPr>
      <w:r>
        <w:rPr>
          <w:rFonts w:hint="eastAsia" w:ascii="楷体" w:hAnsi="楷体" w:eastAsia="楷体" w:cs="楷体"/>
          <w:b/>
          <w:bCs/>
          <w:sz w:val="36"/>
          <w:szCs w:val="36"/>
          <w:lang w:eastAsia="zh-CN"/>
        </w:rPr>
        <w:t>关于无极县2022年老旧小区建筑主体改造项目</w:t>
      </w:r>
    </w:p>
    <w:p>
      <w:pPr>
        <w:ind w:left="0" w:leftChars="0" w:firstLine="0" w:firstLineChars="0"/>
        <w:jc w:val="center"/>
        <w:rPr>
          <w:rFonts w:hint="eastAsia" w:ascii="楷体" w:hAnsi="楷体" w:eastAsia="楷体" w:cs="楷体"/>
          <w:b/>
          <w:bCs/>
          <w:sz w:val="36"/>
          <w:szCs w:val="36"/>
        </w:rPr>
      </w:pPr>
    </w:p>
    <w:p>
      <w:pPr>
        <w:ind w:left="0" w:leftChars="0" w:firstLine="0" w:firstLineChars="0"/>
        <w:jc w:val="center"/>
        <w:rPr>
          <w:rFonts w:hint="eastAsia"/>
          <w:sz w:val="36"/>
          <w:szCs w:val="36"/>
        </w:rPr>
      </w:pPr>
      <w:r>
        <w:rPr>
          <w:rFonts w:hint="eastAsia" w:ascii="楷体" w:hAnsi="楷体" w:eastAsia="楷体" w:cs="楷体"/>
          <w:b/>
          <w:bCs/>
          <w:sz w:val="36"/>
          <w:szCs w:val="36"/>
        </w:rPr>
        <w:t>绩效评价报告</w:t>
      </w: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pStyle w:val="2"/>
        <w:keepNext w:val="0"/>
        <w:keepLines w:val="0"/>
        <w:pageBreakBefore w:val="0"/>
        <w:widowControl w:val="0"/>
        <w:kinsoku/>
        <w:wordWrap/>
        <w:overflowPunct/>
        <w:topLinePunct w:val="0"/>
        <w:autoSpaceDE/>
        <w:autoSpaceDN/>
        <w:bidi w:val="0"/>
        <w:adjustRightInd/>
        <w:snapToGrid/>
        <w:spacing w:line="720" w:lineRule="auto"/>
        <w:ind w:firstLine="1280" w:firstLineChars="400"/>
        <w:jc w:val="both"/>
        <w:textAlignment w:val="auto"/>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委托单位：无极县财政局</w:t>
      </w:r>
    </w:p>
    <w:p>
      <w:pPr>
        <w:pStyle w:val="2"/>
        <w:keepNext w:val="0"/>
        <w:keepLines w:val="0"/>
        <w:pageBreakBefore w:val="0"/>
        <w:widowControl w:val="0"/>
        <w:kinsoku/>
        <w:wordWrap/>
        <w:overflowPunct/>
        <w:topLinePunct w:val="0"/>
        <w:autoSpaceDE/>
        <w:autoSpaceDN/>
        <w:bidi w:val="0"/>
        <w:adjustRightInd/>
        <w:snapToGrid/>
        <w:spacing w:line="720" w:lineRule="auto"/>
        <w:ind w:left="0" w:leftChars="0" w:firstLine="1280" w:firstLineChars="400"/>
        <w:jc w:val="both"/>
        <w:textAlignment w:val="auto"/>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项目单位：无极县住房和城乡建设局</w:t>
      </w:r>
    </w:p>
    <w:p>
      <w:pPr>
        <w:pStyle w:val="2"/>
        <w:keepNext w:val="0"/>
        <w:keepLines w:val="0"/>
        <w:pageBreakBefore w:val="0"/>
        <w:widowControl w:val="0"/>
        <w:kinsoku/>
        <w:wordWrap/>
        <w:overflowPunct/>
        <w:topLinePunct w:val="0"/>
        <w:autoSpaceDE/>
        <w:autoSpaceDN/>
        <w:bidi w:val="0"/>
        <w:adjustRightInd/>
        <w:snapToGrid/>
        <w:spacing w:line="720" w:lineRule="auto"/>
        <w:ind w:left="0" w:leftChars="0" w:firstLine="1280" w:firstLineChars="400"/>
        <w:jc w:val="both"/>
        <w:textAlignment w:val="auto"/>
        <w:rPr>
          <w:rFonts w:hint="eastAsia" w:ascii="楷体" w:hAnsi="楷体" w:eastAsia="楷体" w:cs="楷体"/>
          <w:b w:val="0"/>
          <w:bCs w:val="0"/>
          <w:sz w:val="32"/>
          <w:szCs w:val="32"/>
          <w:lang w:eastAsia="zh-CN"/>
        </w:rPr>
      </w:pPr>
      <w:r>
        <w:rPr>
          <w:rFonts w:hint="eastAsia" w:ascii="楷体" w:hAnsi="楷体" w:eastAsia="楷体" w:cs="楷体"/>
          <w:b w:val="0"/>
          <w:bCs w:val="0"/>
          <w:sz w:val="32"/>
          <w:szCs w:val="32"/>
          <w:lang w:eastAsia="zh-CN"/>
        </w:rPr>
        <w:t>评价机构：无极中昌会计师事务所有限责任公司</w:t>
      </w:r>
    </w:p>
    <w:p>
      <w:pPr>
        <w:pStyle w:val="2"/>
        <w:keepNext w:val="0"/>
        <w:keepLines w:val="0"/>
        <w:pageBreakBefore w:val="0"/>
        <w:widowControl w:val="0"/>
        <w:kinsoku/>
        <w:wordWrap/>
        <w:overflowPunct/>
        <w:topLinePunct w:val="0"/>
        <w:autoSpaceDE/>
        <w:autoSpaceDN/>
        <w:bidi w:val="0"/>
        <w:adjustRightInd/>
        <w:snapToGrid/>
        <w:spacing w:line="720" w:lineRule="auto"/>
        <w:ind w:left="0" w:leftChars="0" w:firstLine="3200" w:firstLineChars="1000"/>
        <w:jc w:val="left"/>
        <w:textAlignment w:val="auto"/>
      </w:pPr>
      <w:r>
        <w:rPr>
          <w:rFonts w:hint="eastAsia" w:ascii="楷体" w:hAnsi="楷体" w:eastAsia="楷体" w:cs="楷体"/>
          <w:b w:val="0"/>
          <w:bCs w:val="0"/>
          <w:sz w:val="32"/>
          <w:szCs w:val="32"/>
          <w:highlight w:val="none"/>
          <w:lang w:val="en-US" w:eastAsia="zh-CN"/>
        </w:rPr>
        <w:t>2023年10月</w:t>
      </w:r>
    </w:p>
    <w:p/>
    <w:p/>
    <w:sdt>
      <w:sdtPr>
        <w:rPr>
          <w:rFonts w:ascii="宋体" w:hAnsi="宋体" w:eastAsia="宋体" w:cstheme="minorBidi"/>
          <w:sz w:val="21"/>
          <w:szCs w:val="22"/>
        </w:rPr>
        <w:id w:val="147461041"/>
        <w15:color w:val="DBDBDB"/>
        <w:docPartObj>
          <w:docPartGallery w:val="Table of Contents"/>
          <w:docPartUnique/>
        </w:docPartObj>
      </w:sdtPr>
      <w:sdtEndPr>
        <w:rPr>
          <w:rFonts w:ascii="宋体" w:hAnsi="宋体" w:eastAsia="宋体" w:cstheme="minorBidi"/>
          <w:sz w:val="21"/>
          <w:szCs w:val="22"/>
        </w:rPr>
      </w:sdtEndPr>
      <w:sdtContent>
        <w:p>
          <w:pPr>
            <w:spacing w:before="0" w:beforeLines="0" w:after="0" w:afterLines="0" w:line="240" w:lineRule="auto"/>
            <w:ind w:left="0" w:leftChars="0" w:right="0" w:rightChars="0" w:firstLine="0" w:firstLineChars="0"/>
            <w:jc w:val="center"/>
          </w:pPr>
          <w:r>
            <w:rPr>
              <w:rFonts w:ascii="宋体" w:hAnsi="宋体" w:eastAsia="宋体"/>
              <w:b/>
              <w:bCs/>
              <w:sz w:val="44"/>
              <w:szCs w:val="44"/>
            </w:rPr>
            <w:t>目录</w:t>
          </w:r>
        </w:p>
        <w:p>
          <w:pPr>
            <w:pStyle w:val="5"/>
            <w:tabs>
              <w:tab w:val="right" w:leader="dot" w:pos="8306"/>
            </w:tabs>
          </w:pPr>
          <w:r>
            <w:fldChar w:fldCharType="begin"/>
          </w:r>
          <w:r>
            <w:instrText xml:space="preserve">TOC \o "1-3" \h \u </w:instrText>
          </w:r>
          <w:r>
            <w:fldChar w:fldCharType="separate"/>
          </w:r>
          <w:r>
            <w:fldChar w:fldCharType="begin"/>
          </w:r>
          <w:r>
            <w:instrText xml:space="preserve"> HYPERLINK \l _Toc12032 </w:instrText>
          </w:r>
          <w:r>
            <w:fldChar w:fldCharType="separate"/>
          </w:r>
          <w:r>
            <w:rPr>
              <w:rFonts w:hint="eastAsia" w:ascii="楷体" w:hAnsi="楷体" w:eastAsia="楷体" w:cs="楷体"/>
              <w:szCs w:val="28"/>
            </w:rPr>
            <w:t>一、项目基本情况</w:t>
          </w:r>
          <w:r>
            <w:tab/>
          </w:r>
          <w:r>
            <w:fldChar w:fldCharType="begin"/>
          </w:r>
          <w:r>
            <w:instrText xml:space="preserve"> PAGEREF _Toc12032 \h </w:instrText>
          </w:r>
          <w:r>
            <w:fldChar w:fldCharType="separate"/>
          </w:r>
          <w:r>
            <w:t>1</w:t>
          </w:r>
          <w:r>
            <w:fldChar w:fldCharType="end"/>
          </w:r>
          <w:r>
            <w:fldChar w:fldCharType="end"/>
          </w:r>
        </w:p>
        <w:p>
          <w:pPr>
            <w:pStyle w:val="6"/>
            <w:tabs>
              <w:tab w:val="right" w:leader="dot" w:pos="8306"/>
            </w:tabs>
          </w:pPr>
          <w:r>
            <w:fldChar w:fldCharType="begin"/>
          </w:r>
          <w:r>
            <w:instrText xml:space="preserve"> HYPERLINK \l _Toc18249 </w:instrText>
          </w:r>
          <w:r>
            <w:fldChar w:fldCharType="separate"/>
          </w:r>
          <w:r>
            <w:rPr>
              <w:rFonts w:hint="eastAsia" w:ascii="楷体" w:hAnsi="楷体" w:eastAsia="楷体" w:cs="楷体"/>
              <w:szCs w:val="28"/>
            </w:rPr>
            <w:t>（一）项目概况</w:t>
          </w:r>
          <w:r>
            <w:tab/>
          </w:r>
          <w:r>
            <w:fldChar w:fldCharType="begin"/>
          </w:r>
          <w:r>
            <w:instrText xml:space="preserve"> PAGEREF _Toc18249 \h </w:instrText>
          </w:r>
          <w:r>
            <w:fldChar w:fldCharType="separate"/>
          </w:r>
          <w:r>
            <w:t>1</w:t>
          </w:r>
          <w:r>
            <w:fldChar w:fldCharType="end"/>
          </w:r>
          <w:r>
            <w:fldChar w:fldCharType="end"/>
          </w:r>
        </w:p>
        <w:p>
          <w:pPr>
            <w:pStyle w:val="6"/>
            <w:tabs>
              <w:tab w:val="right" w:leader="dot" w:pos="8306"/>
            </w:tabs>
          </w:pPr>
          <w:r>
            <w:fldChar w:fldCharType="begin"/>
          </w:r>
          <w:r>
            <w:instrText xml:space="preserve"> HYPERLINK \l _Toc14261 </w:instrText>
          </w:r>
          <w:r>
            <w:fldChar w:fldCharType="separate"/>
          </w:r>
          <w:r>
            <w:rPr>
              <w:rFonts w:hint="eastAsia" w:ascii="楷体" w:hAnsi="楷体" w:eastAsia="楷体" w:cs="楷体"/>
              <w:szCs w:val="28"/>
            </w:rPr>
            <w:t>（二）绩效目标</w:t>
          </w:r>
          <w:r>
            <w:tab/>
          </w:r>
          <w:r>
            <w:fldChar w:fldCharType="begin"/>
          </w:r>
          <w:r>
            <w:instrText xml:space="preserve"> PAGEREF _Toc14261 \h </w:instrText>
          </w:r>
          <w:r>
            <w:fldChar w:fldCharType="separate"/>
          </w:r>
          <w:r>
            <w:t>3</w:t>
          </w:r>
          <w:r>
            <w:fldChar w:fldCharType="end"/>
          </w:r>
          <w:r>
            <w:fldChar w:fldCharType="end"/>
          </w:r>
        </w:p>
        <w:p>
          <w:pPr>
            <w:pStyle w:val="5"/>
            <w:tabs>
              <w:tab w:val="right" w:leader="dot" w:pos="8306"/>
            </w:tabs>
          </w:pPr>
          <w:r>
            <w:fldChar w:fldCharType="begin"/>
          </w:r>
          <w:r>
            <w:instrText xml:space="preserve"> HYPERLINK \l _Toc30537 </w:instrText>
          </w:r>
          <w:r>
            <w:fldChar w:fldCharType="separate"/>
          </w:r>
          <w:r>
            <w:rPr>
              <w:rFonts w:hint="eastAsia" w:ascii="楷体" w:hAnsi="楷体" w:eastAsia="楷体" w:cs="楷体"/>
              <w:szCs w:val="28"/>
            </w:rPr>
            <w:t>二、绩效工作组织实施</w:t>
          </w:r>
          <w:r>
            <w:tab/>
          </w:r>
          <w:r>
            <w:fldChar w:fldCharType="begin"/>
          </w:r>
          <w:r>
            <w:instrText xml:space="preserve"> PAGEREF _Toc30537 \h </w:instrText>
          </w:r>
          <w:r>
            <w:fldChar w:fldCharType="separate"/>
          </w:r>
          <w:r>
            <w:t>4</w:t>
          </w:r>
          <w:r>
            <w:fldChar w:fldCharType="end"/>
          </w:r>
          <w:r>
            <w:fldChar w:fldCharType="end"/>
          </w:r>
        </w:p>
        <w:p>
          <w:pPr>
            <w:pStyle w:val="6"/>
            <w:tabs>
              <w:tab w:val="right" w:leader="dot" w:pos="8306"/>
            </w:tabs>
          </w:pPr>
          <w:r>
            <w:fldChar w:fldCharType="begin"/>
          </w:r>
          <w:r>
            <w:instrText xml:space="preserve"> HYPERLINK \l _Toc4080 </w:instrText>
          </w:r>
          <w:r>
            <w:fldChar w:fldCharType="separate"/>
          </w:r>
          <w:r>
            <w:rPr>
              <w:rFonts w:hint="eastAsia" w:ascii="楷体" w:hAnsi="楷体" w:eastAsia="楷体" w:cs="楷体"/>
              <w:szCs w:val="28"/>
            </w:rPr>
            <w:t>（一）评价目的</w:t>
          </w:r>
          <w:r>
            <w:tab/>
          </w:r>
          <w:r>
            <w:fldChar w:fldCharType="begin"/>
          </w:r>
          <w:r>
            <w:instrText xml:space="preserve"> PAGEREF _Toc4080 \h </w:instrText>
          </w:r>
          <w:r>
            <w:fldChar w:fldCharType="separate"/>
          </w:r>
          <w:r>
            <w:t>4</w:t>
          </w:r>
          <w:r>
            <w:fldChar w:fldCharType="end"/>
          </w:r>
          <w:r>
            <w:fldChar w:fldCharType="end"/>
          </w:r>
        </w:p>
        <w:p>
          <w:pPr>
            <w:pStyle w:val="6"/>
            <w:tabs>
              <w:tab w:val="right" w:leader="dot" w:pos="8306"/>
            </w:tabs>
          </w:pPr>
          <w:r>
            <w:fldChar w:fldCharType="begin"/>
          </w:r>
          <w:r>
            <w:instrText xml:space="preserve"> HYPERLINK \l _Toc25091 </w:instrText>
          </w:r>
          <w:r>
            <w:fldChar w:fldCharType="separate"/>
          </w:r>
          <w:r>
            <w:rPr>
              <w:rFonts w:hint="eastAsia" w:ascii="楷体" w:hAnsi="楷体" w:eastAsia="楷体" w:cs="楷体"/>
              <w:szCs w:val="28"/>
            </w:rPr>
            <w:t>（二）组织工作</w:t>
          </w:r>
          <w:r>
            <w:tab/>
          </w:r>
          <w:r>
            <w:fldChar w:fldCharType="begin"/>
          </w:r>
          <w:r>
            <w:instrText xml:space="preserve"> PAGEREF _Toc25091 \h </w:instrText>
          </w:r>
          <w:r>
            <w:fldChar w:fldCharType="separate"/>
          </w:r>
          <w:r>
            <w:t>4</w:t>
          </w:r>
          <w:r>
            <w:fldChar w:fldCharType="end"/>
          </w:r>
          <w:r>
            <w:fldChar w:fldCharType="end"/>
          </w:r>
        </w:p>
        <w:p>
          <w:pPr>
            <w:pStyle w:val="6"/>
            <w:tabs>
              <w:tab w:val="right" w:leader="dot" w:pos="8306"/>
            </w:tabs>
          </w:pPr>
          <w:r>
            <w:fldChar w:fldCharType="begin"/>
          </w:r>
          <w:r>
            <w:instrText xml:space="preserve"> HYPERLINK \l _Toc28963 </w:instrText>
          </w:r>
          <w:r>
            <w:fldChar w:fldCharType="separate"/>
          </w:r>
          <w:r>
            <w:rPr>
              <w:rFonts w:hint="eastAsia" w:ascii="楷体" w:hAnsi="楷体" w:eastAsia="楷体" w:cs="楷体"/>
              <w:szCs w:val="28"/>
            </w:rPr>
            <w:t>（三）评价方法和过程</w:t>
          </w:r>
          <w:r>
            <w:tab/>
          </w:r>
          <w:r>
            <w:fldChar w:fldCharType="begin"/>
          </w:r>
          <w:r>
            <w:instrText xml:space="preserve"> PAGEREF _Toc28963 \h </w:instrText>
          </w:r>
          <w:r>
            <w:fldChar w:fldCharType="separate"/>
          </w:r>
          <w:r>
            <w:t>4</w:t>
          </w:r>
          <w:r>
            <w:fldChar w:fldCharType="end"/>
          </w:r>
          <w:r>
            <w:fldChar w:fldCharType="end"/>
          </w:r>
        </w:p>
        <w:p>
          <w:pPr>
            <w:pStyle w:val="6"/>
            <w:tabs>
              <w:tab w:val="right" w:leader="dot" w:pos="8306"/>
            </w:tabs>
          </w:pPr>
          <w:r>
            <w:fldChar w:fldCharType="begin"/>
          </w:r>
          <w:r>
            <w:instrText xml:space="preserve"> HYPERLINK \l _Toc26473 </w:instrText>
          </w:r>
          <w:r>
            <w:fldChar w:fldCharType="separate"/>
          </w:r>
          <w:r>
            <w:rPr>
              <w:rFonts w:hint="eastAsia" w:ascii="楷体" w:hAnsi="楷体" w:eastAsia="楷体" w:cs="楷体"/>
              <w:szCs w:val="28"/>
            </w:rPr>
            <w:t>（四）评价依据</w:t>
          </w:r>
          <w:r>
            <w:tab/>
          </w:r>
          <w:r>
            <w:fldChar w:fldCharType="begin"/>
          </w:r>
          <w:r>
            <w:instrText xml:space="preserve"> PAGEREF _Toc26473 \h </w:instrText>
          </w:r>
          <w:r>
            <w:fldChar w:fldCharType="separate"/>
          </w:r>
          <w:r>
            <w:t>4</w:t>
          </w:r>
          <w:r>
            <w:fldChar w:fldCharType="end"/>
          </w:r>
          <w:r>
            <w:fldChar w:fldCharType="end"/>
          </w:r>
        </w:p>
        <w:p>
          <w:pPr>
            <w:pStyle w:val="6"/>
            <w:tabs>
              <w:tab w:val="right" w:leader="dot" w:pos="8306"/>
            </w:tabs>
          </w:pPr>
          <w:r>
            <w:fldChar w:fldCharType="begin"/>
          </w:r>
          <w:r>
            <w:instrText xml:space="preserve"> HYPERLINK \l _Toc16024 </w:instrText>
          </w:r>
          <w:r>
            <w:fldChar w:fldCharType="separate"/>
          </w:r>
          <w:r>
            <w:rPr>
              <w:rFonts w:hint="eastAsia" w:ascii="楷体" w:hAnsi="楷体" w:eastAsia="楷体" w:cs="楷体"/>
              <w:szCs w:val="28"/>
            </w:rPr>
            <w:t>（五）评价指标体系</w:t>
          </w:r>
          <w:r>
            <w:tab/>
          </w:r>
          <w:r>
            <w:fldChar w:fldCharType="begin"/>
          </w:r>
          <w:r>
            <w:instrText xml:space="preserve"> PAGEREF _Toc16024 \h </w:instrText>
          </w:r>
          <w:r>
            <w:fldChar w:fldCharType="separate"/>
          </w:r>
          <w:r>
            <w:t>5</w:t>
          </w:r>
          <w:r>
            <w:fldChar w:fldCharType="end"/>
          </w:r>
          <w:r>
            <w:fldChar w:fldCharType="end"/>
          </w:r>
        </w:p>
        <w:p>
          <w:pPr>
            <w:pStyle w:val="5"/>
            <w:tabs>
              <w:tab w:val="right" w:leader="dot" w:pos="8306"/>
            </w:tabs>
          </w:pPr>
          <w:r>
            <w:fldChar w:fldCharType="begin"/>
          </w:r>
          <w:r>
            <w:instrText xml:space="preserve"> HYPERLINK \l _Toc23604 </w:instrText>
          </w:r>
          <w:r>
            <w:fldChar w:fldCharType="separate"/>
          </w:r>
          <w:r>
            <w:rPr>
              <w:rFonts w:hint="eastAsia" w:ascii="楷体" w:hAnsi="楷体" w:eastAsia="楷体" w:cs="楷体"/>
              <w:szCs w:val="28"/>
            </w:rPr>
            <w:t>三、评价指标分析</w:t>
          </w:r>
          <w:r>
            <w:tab/>
          </w:r>
          <w:r>
            <w:fldChar w:fldCharType="begin"/>
          </w:r>
          <w:r>
            <w:instrText xml:space="preserve"> PAGEREF _Toc23604 \h </w:instrText>
          </w:r>
          <w:r>
            <w:fldChar w:fldCharType="separate"/>
          </w:r>
          <w:r>
            <w:t>6</w:t>
          </w:r>
          <w:r>
            <w:fldChar w:fldCharType="end"/>
          </w:r>
          <w:r>
            <w:fldChar w:fldCharType="end"/>
          </w:r>
        </w:p>
        <w:p>
          <w:pPr>
            <w:pStyle w:val="6"/>
            <w:tabs>
              <w:tab w:val="right" w:leader="dot" w:pos="8306"/>
            </w:tabs>
          </w:pPr>
          <w:r>
            <w:fldChar w:fldCharType="begin"/>
          </w:r>
          <w:r>
            <w:instrText xml:space="preserve"> HYPERLINK \l _Toc26198 </w:instrText>
          </w:r>
          <w:r>
            <w:fldChar w:fldCharType="separate"/>
          </w:r>
          <w:r>
            <w:rPr>
              <w:rFonts w:hint="eastAsia" w:ascii="楷体" w:hAnsi="楷体" w:eastAsia="楷体" w:cs="楷体"/>
              <w:szCs w:val="28"/>
            </w:rPr>
            <w:t>（一）项目决策指标</w:t>
          </w:r>
          <w:r>
            <w:tab/>
          </w:r>
          <w:r>
            <w:fldChar w:fldCharType="begin"/>
          </w:r>
          <w:r>
            <w:instrText xml:space="preserve"> PAGEREF _Toc26198 \h </w:instrText>
          </w:r>
          <w:r>
            <w:fldChar w:fldCharType="separate"/>
          </w:r>
          <w:r>
            <w:t>6</w:t>
          </w:r>
          <w:r>
            <w:fldChar w:fldCharType="end"/>
          </w:r>
          <w:r>
            <w:fldChar w:fldCharType="end"/>
          </w:r>
        </w:p>
        <w:p>
          <w:pPr>
            <w:pStyle w:val="6"/>
            <w:tabs>
              <w:tab w:val="right" w:leader="dot" w:pos="8306"/>
            </w:tabs>
          </w:pPr>
          <w:r>
            <w:fldChar w:fldCharType="begin"/>
          </w:r>
          <w:r>
            <w:instrText xml:space="preserve"> HYPERLINK \l _Toc31165 </w:instrText>
          </w:r>
          <w:r>
            <w:fldChar w:fldCharType="separate"/>
          </w:r>
          <w:r>
            <w:rPr>
              <w:rFonts w:hint="eastAsia" w:ascii="楷体" w:hAnsi="楷体" w:eastAsia="楷体" w:cs="楷体"/>
              <w:szCs w:val="28"/>
            </w:rPr>
            <w:t>（二）项目过程指标</w:t>
          </w:r>
          <w:r>
            <w:tab/>
          </w:r>
          <w:r>
            <w:fldChar w:fldCharType="begin"/>
          </w:r>
          <w:r>
            <w:instrText xml:space="preserve"> PAGEREF _Toc31165 \h </w:instrText>
          </w:r>
          <w:r>
            <w:fldChar w:fldCharType="separate"/>
          </w:r>
          <w:r>
            <w:t>10</w:t>
          </w:r>
          <w:r>
            <w:fldChar w:fldCharType="end"/>
          </w:r>
          <w:r>
            <w:fldChar w:fldCharType="end"/>
          </w:r>
        </w:p>
        <w:p>
          <w:pPr>
            <w:pStyle w:val="6"/>
            <w:tabs>
              <w:tab w:val="right" w:leader="dot" w:pos="8306"/>
            </w:tabs>
          </w:pPr>
          <w:r>
            <w:fldChar w:fldCharType="begin"/>
          </w:r>
          <w:r>
            <w:instrText xml:space="preserve"> HYPERLINK \l _Toc23060 </w:instrText>
          </w:r>
          <w:r>
            <w:fldChar w:fldCharType="separate"/>
          </w:r>
          <w:r>
            <w:rPr>
              <w:rFonts w:hint="eastAsia" w:ascii="楷体" w:hAnsi="楷体" w:eastAsia="楷体" w:cs="楷体"/>
              <w:szCs w:val="28"/>
            </w:rPr>
            <w:t>（三）项目产出指标</w:t>
          </w:r>
          <w:r>
            <w:tab/>
          </w:r>
          <w:r>
            <w:fldChar w:fldCharType="begin"/>
          </w:r>
          <w:r>
            <w:instrText xml:space="preserve"> PAGEREF _Toc23060 \h </w:instrText>
          </w:r>
          <w:r>
            <w:fldChar w:fldCharType="separate"/>
          </w:r>
          <w:r>
            <w:t>12</w:t>
          </w:r>
          <w:r>
            <w:fldChar w:fldCharType="end"/>
          </w:r>
          <w:r>
            <w:fldChar w:fldCharType="end"/>
          </w:r>
        </w:p>
        <w:p>
          <w:pPr>
            <w:pStyle w:val="6"/>
            <w:tabs>
              <w:tab w:val="right" w:leader="dot" w:pos="8306"/>
            </w:tabs>
          </w:pPr>
          <w:r>
            <w:fldChar w:fldCharType="begin"/>
          </w:r>
          <w:r>
            <w:instrText xml:space="preserve"> HYPERLINK \l _Toc6549 </w:instrText>
          </w:r>
          <w:r>
            <w:fldChar w:fldCharType="separate"/>
          </w:r>
          <w:r>
            <w:rPr>
              <w:rFonts w:hint="eastAsia" w:ascii="楷体" w:hAnsi="楷体" w:eastAsia="楷体" w:cs="楷体"/>
              <w:szCs w:val="28"/>
            </w:rPr>
            <w:t>（四）项目效益指标</w:t>
          </w:r>
          <w:r>
            <w:tab/>
          </w:r>
          <w:r>
            <w:fldChar w:fldCharType="begin"/>
          </w:r>
          <w:r>
            <w:instrText xml:space="preserve"> PAGEREF _Toc6549 \h </w:instrText>
          </w:r>
          <w:r>
            <w:fldChar w:fldCharType="separate"/>
          </w:r>
          <w:r>
            <w:t>13</w:t>
          </w:r>
          <w:r>
            <w:fldChar w:fldCharType="end"/>
          </w:r>
          <w:r>
            <w:fldChar w:fldCharType="end"/>
          </w:r>
        </w:p>
        <w:p>
          <w:pPr>
            <w:pStyle w:val="5"/>
            <w:tabs>
              <w:tab w:val="right" w:leader="dot" w:pos="8306"/>
            </w:tabs>
          </w:pPr>
          <w:r>
            <w:fldChar w:fldCharType="begin"/>
          </w:r>
          <w:r>
            <w:instrText xml:space="preserve"> HYPERLINK \l _Toc26867 </w:instrText>
          </w:r>
          <w:r>
            <w:fldChar w:fldCharType="separate"/>
          </w:r>
          <w:r>
            <w:rPr>
              <w:rFonts w:hint="eastAsia" w:ascii="楷体" w:hAnsi="楷体" w:eastAsia="楷体" w:cs="楷体"/>
              <w:szCs w:val="28"/>
            </w:rPr>
            <w:t>四、评价结论和评价等级</w:t>
          </w:r>
          <w:r>
            <w:tab/>
          </w:r>
          <w:r>
            <w:fldChar w:fldCharType="begin"/>
          </w:r>
          <w:r>
            <w:instrText xml:space="preserve"> PAGEREF _Toc26867 \h </w:instrText>
          </w:r>
          <w:r>
            <w:fldChar w:fldCharType="separate"/>
          </w:r>
          <w:r>
            <w:t>15</w:t>
          </w:r>
          <w:r>
            <w:fldChar w:fldCharType="end"/>
          </w:r>
          <w:r>
            <w:fldChar w:fldCharType="end"/>
          </w:r>
        </w:p>
        <w:p>
          <w:pPr>
            <w:pStyle w:val="6"/>
            <w:tabs>
              <w:tab w:val="right" w:leader="dot" w:pos="8306"/>
            </w:tabs>
          </w:pPr>
          <w:r>
            <w:fldChar w:fldCharType="begin"/>
          </w:r>
          <w:r>
            <w:instrText xml:space="preserve"> HYPERLINK \l _Toc742 </w:instrText>
          </w:r>
          <w:r>
            <w:fldChar w:fldCharType="separate"/>
          </w:r>
          <w:r>
            <w:rPr>
              <w:rFonts w:hint="eastAsia" w:ascii="楷体" w:hAnsi="楷体" w:eastAsia="楷体" w:cs="楷体"/>
              <w:szCs w:val="28"/>
            </w:rPr>
            <w:t>（一）评价结论</w:t>
          </w:r>
          <w:r>
            <w:tab/>
          </w:r>
          <w:r>
            <w:fldChar w:fldCharType="begin"/>
          </w:r>
          <w:r>
            <w:instrText xml:space="preserve"> PAGEREF _Toc742 \h </w:instrText>
          </w:r>
          <w:r>
            <w:fldChar w:fldCharType="separate"/>
          </w:r>
          <w:r>
            <w:t>15</w:t>
          </w:r>
          <w:r>
            <w:fldChar w:fldCharType="end"/>
          </w:r>
          <w:r>
            <w:fldChar w:fldCharType="end"/>
          </w:r>
        </w:p>
        <w:p>
          <w:pPr>
            <w:pStyle w:val="6"/>
            <w:tabs>
              <w:tab w:val="right" w:leader="dot" w:pos="8306"/>
            </w:tabs>
          </w:pPr>
          <w:r>
            <w:fldChar w:fldCharType="begin"/>
          </w:r>
          <w:r>
            <w:instrText xml:space="preserve"> HYPERLINK \l _Toc18387 </w:instrText>
          </w:r>
          <w:r>
            <w:fldChar w:fldCharType="separate"/>
          </w:r>
          <w:r>
            <w:rPr>
              <w:rFonts w:hint="eastAsia" w:ascii="楷体" w:hAnsi="楷体" w:eastAsia="楷体" w:cs="楷体"/>
              <w:szCs w:val="28"/>
            </w:rPr>
            <w:t>（二）评价等级</w:t>
          </w:r>
          <w:r>
            <w:tab/>
          </w:r>
          <w:r>
            <w:fldChar w:fldCharType="begin"/>
          </w:r>
          <w:r>
            <w:instrText xml:space="preserve"> PAGEREF _Toc18387 \h </w:instrText>
          </w:r>
          <w:r>
            <w:fldChar w:fldCharType="separate"/>
          </w:r>
          <w:r>
            <w:t>15</w:t>
          </w:r>
          <w:r>
            <w:fldChar w:fldCharType="end"/>
          </w:r>
          <w:r>
            <w:fldChar w:fldCharType="end"/>
          </w:r>
        </w:p>
        <w:p>
          <w:pPr>
            <w:pStyle w:val="5"/>
            <w:tabs>
              <w:tab w:val="right" w:leader="dot" w:pos="8306"/>
            </w:tabs>
          </w:pPr>
          <w:r>
            <w:fldChar w:fldCharType="begin"/>
          </w:r>
          <w:r>
            <w:instrText xml:space="preserve"> HYPERLINK \l _Toc32746 </w:instrText>
          </w:r>
          <w:r>
            <w:fldChar w:fldCharType="separate"/>
          </w:r>
          <w:r>
            <w:rPr>
              <w:rFonts w:hint="eastAsia" w:ascii="楷体" w:hAnsi="楷体" w:eastAsia="楷体" w:cs="楷体"/>
              <w:szCs w:val="28"/>
            </w:rPr>
            <w:t>五、存在的问题</w:t>
          </w:r>
          <w:r>
            <w:tab/>
          </w:r>
          <w:r>
            <w:fldChar w:fldCharType="begin"/>
          </w:r>
          <w:r>
            <w:instrText xml:space="preserve"> PAGEREF _Toc32746 \h </w:instrText>
          </w:r>
          <w:r>
            <w:fldChar w:fldCharType="separate"/>
          </w:r>
          <w:r>
            <w:t>16</w:t>
          </w:r>
          <w:r>
            <w:fldChar w:fldCharType="end"/>
          </w:r>
          <w:r>
            <w:fldChar w:fldCharType="end"/>
          </w:r>
        </w:p>
        <w:p>
          <w:pPr>
            <w:pStyle w:val="6"/>
            <w:tabs>
              <w:tab w:val="right" w:leader="dot" w:pos="8306"/>
            </w:tabs>
          </w:pPr>
          <w:r>
            <w:fldChar w:fldCharType="begin"/>
          </w:r>
          <w:r>
            <w:instrText xml:space="preserve"> HYPERLINK \l _Toc17788 </w:instrText>
          </w:r>
          <w:r>
            <w:fldChar w:fldCharType="separate"/>
          </w:r>
          <w:r>
            <w:rPr>
              <w:rFonts w:hint="eastAsia" w:ascii="楷体" w:hAnsi="楷体" w:eastAsia="楷体" w:cs="楷体"/>
              <w:szCs w:val="28"/>
            </w:rPr>
            <w:t>（一）预算编制不够精准</w:t>
          </w:r>
          <w:r>
            <w:tab/>
          </w:r>
          <w:r>
            <w:fldChar w:fldCharType="begin"/>
          </w:r>
          <w:r>
            <w:instrText xml:space="preserve"> PAGEREF _Toc17788 \h </w:instrText>
          </w:r>
          <w:r>
            <w:fldChar w:fldCharType="separate"/>
          </w:r>
          <w:r>
            <w:t>16</w:t>
          </w:r>
          <w:r>
            <w:fldChar w:fldCharType="end"/>
          </w:r>
          <w:r>
            <w:fldChar w:fldCharType="end"/>
          </w:r>
        </w:p>
        <w:p>
          <w:pPr>
            <w:pStyle w:val="6"/>
            <w:tabs>
              <w:tab w:val="right" w:leader="dot" w:pos="8306"/>
            </w:tabs>
          </w:pPr>
          <w:r>
            <w:fldChar w:fldCharType="begin"/>
          </w:r>
          <w:r>
            <w:instrText xml:space="preserve"> HYPERLINK \l _Toc25587 </w:instrText>
          </w:r>
          <w:r>
            <w:fldChar w:fldCharType="separate"/>
          </w:r>
          <w:r>
            <w:rPr>
              <w:rFonts w:hint="eastAsia" w:ascii="楷体" w:hAnsi="楷体" w:eastAsia="楷体" w:cs="楷体"/>
              <w:szCs w:val="28"/>
              <w:lang w:eastAsia="zh-CN"/>
            </w:rPr>
            <w:t>（二） 工程完工未做竣工结算审核报告</w:t>
          </w:r>
          <w:r>
            <w:tab/>
          </w:r>
          <w:r>
            <w:fldChar w:fldCharType="begin"/>
          </w:r>
          <w:r>
            <w:instrText xml:space="preserve"> PAGEREF _Toc25587 \h </w:instrText>
          </w:r>
          <w:r>
            <w:fldChar w:fldCharType="separate"/>
          </w:r>
          <w:r>
            <w:t>16</w:t>
          </w:r>
          <w:r>
            <w:fldChar w:fldCharType="end"/>
          </w:r>
          <w:r>
            <w:fldChar w:fldCharType="end"/>
          </w:r>
        </w:p>
        <w:p>
          <w:pPr>
            <w:pStyle w:val="6"/>
            <w:tabs>
              <w:tab w:val="right" w:leader="dot" w:pos="8306"/>
            </w:tabs>
          </w:pPr>
          <w:r>
            <w:fldChar w:fldCharType="begin"/>
          </w:r>
          <w:r>
            <w:instrText xml:space="preserve"> HYPERLINK \l _Toc20729 </w:instrText>
          </w:r>
          <w:r>
            <w:fldChar w:fldCharType="separate"/>
          </w:r>
          <w:r>
            <w:rPr>
              <w:rFonts w:hint="eastAsia" w:ascii="楷体" w:hAnsi="楷体" w:eastAsia="楷体" w:cs="楷体"/>
              <w:szCs w:val="28"/>
              <w:lang w:val="en-US" w:eastAsia="zh-CN"/>
            </w:rPr>
            <w:t>（三） 工程质量有待提高</w:t>
          </w:r>
          <w:r>
            <w:tab/>
          </w:r>
          <w:r>
            <w:fldChar w:fldCharType="begin"/>
          </w:r>
          <w:r>
            <w:instrText xml:space="preserve"> PAGEREF _Toc20729 \h </w:instrText>
          </w:r>
          <w:r>
            <w:fldChar w:fldCharType="separate"/>
          </w:r>
          <w:r>
            <w:t>16</w:t>
          </w:r>
          <w:r>
            <w:fldChar w:fldCharType="end"/>
          </w:r>
          <w:r>
            <w:fldChar w:fldCharType="end"/>
          </w:r>
        </w:p>
        <w:p>
          <w:pPr>
            <w:pStyle w:val="5"/>
            <w:tabs>
              <w:tab w:val="right" w:leader="dot" w:pos="8306"/>
            </w:tabs>
          </w:pPr>
          <w:r>
            <w:fldChar w:fldCharType="begin"/>
          </w:r>
          <w:r>
            <w:instrText xml:space="preserve"> HYPERLINK \l _Toc11993 </w:instrText>
          </w:r>
          <w:r>
            <w:fldChar w:fldCharType="separate"/>
          </w:r>
          <w:r>
            <w:rPr>
              <w:rFonts w:hint="eastAsia" w:ascii="楷体" w:hAnsi="楷体" w:eastAsia="楷体" w:cs="楷体"/>
              <w:szCs w:val="28"/>
            </w:rPr>
            <w:t>六、相关建议</w:t>
          </w:r>
          <w:r>
            <w:tab/>
          </w:r>
          <w:r>
            <w:fldChar w:fldCharType="begin"/>
          </w:r>
          <w:r>
            <w:instrText xml:space="preserve"> PAGEREF _Toc11993 \h </w:instrText>
          </w:r>
          <w:r>
            <w:fldChar w:fldCharType="separate"/>
          </w:r>
          <w:r>
            <w:t>16</w:t>
          </w:r>
          <w:r>
            <w:fldChar w:fldCharType="end"/>
          </w:r>
          <w:r>
            <w:fldChar w:fldCharType="end"/>
          </w:r>
        </w:p>
        <w:p>
          <w:pPr>
            <w:pStyle w:val="6"/>
            <w:tabs>
              <w:tab w:val="right" w:leader="dot" w:pos="8306"/>
            </w:tabs>
          </w:pPr>
          <w:r>
            <w:fldChar w:fldCharType="begin"/>
          </w:r>
          <w:r>
            <w:instrText xml:space="preserve"> HYPERLINK \l _Toc27600 </w:instrText>
          </w:r>
          <w:r>
            <w:fldChar w:fldCharType="separate"/>
          </w:r>
          <w:r>
            <w:rPr>
              <w:rFonts w:hint="eastAsia" w:ascii="楷体" w:hAnsi="楷体" w:eastAsia="楷体" w:cs="楷体"/>
              <w:szCs w:val="28"/>
            </w:rPr>
            <w:t>（一）精准编辑预算、合理安排预算资金</w:t>
          </w:r>
          <w:r>
            <w:tab/>
          </w:r>
          <w:r>
            <w:fldChar w:fldCharType="begin"/>
          </w:r>
          <w:r>
            <w:instrText xml:space="preserve"> PAGEREF _Toc27600 \h </w:instrText>
          </w:r>
          <w:r>
            <w:fldChar w:fldCharType="separate"/>
          </w:r>
          <w:r>
            <w:t>16</w:t>
          </w:r>
          <w:r>
            <w:fldChar w:fldCharType="end"/>
          </w:r>
          <w:r>
            <w:fldChar w:fldCharType="end"/>
          </w:r>
        </w:p>
        <w:p>
          <w:pPr>
            <w:pStyle w:val="6"/>
            <w:tabs>
              <w:tab w:val="right" w:leader="dot" w:pos="8306"/>
            </w:tabs>
          </w:pPr>
          <w:r>
            <w:fldChar w:fldCharType="begin"/>
          </w:r>
          <w:r>
            <w:instrText xml:space="preserve"> HYPERLINK \l _Toc8404 </w:instrText>
          </w:r>
          <w:r>
            <w:fldChar w:fldCharType="separate"/>
          </w:r>
          <w:r>
            <w:rPr>
              <w:rFonts w:hint="eastAsia" w:ascii="楷体" w:hAnsi="楷体" w:eastAsia="楷体" w:cs="楷体"/>
              <w:szCs w:val="28"/>
            </w:rPr>
            <w:t>（</w:t>
          </w:r>
          <w:r>
            <w:rPr>
              <w:rFonts w:hint="eastAsia" w:ascii="楷体" w:hAnsi="楷体" w:eastAsia="楷体" w:cs="楷体"/>
              <w:szCs w:val="28"/>
              <w:lang w:eastAsia="zh-CN"/>
            </w:rPr>
            <w:t>二</w:t>
          </w:r>
          <w:r>
            <w:rPr>
              <w:rFonts w:hint="eastAsia" w:ascii="楷体" w:hAnsi="楷体" w:eastAsia="楷体" w:cs="楷体"/>
              <w:szCs w:val="28"/>
            </w:rPr>
            <w:t>）</w:t>
          </w:r>
          <w:r>
            <w:rPr>
              <w:rFonts w:hint="eastAsia" w:ascii="楷体" w:hAnsi="楷体" w:eastAsia="楷体" w:cs="楷体"/>
              <w:szCs w:val="28"/>
              <w:lang w:val="en-US" w:eastAsia="zh-CN"/>
            </w:rPr>
            <w:t>及时做好项目竣工结算审核报告、完善竣工验收报告</w:t>
          </w:r>
          <w:r>
            <w:tab/>
          </w:r>
          <w:r>
            <w:fldChar w:fldCharType="begin"/>
          </w:r>
          <w:r>
            <w:instrText xml:space="preserve"> PAGEREF _Toc8404 \h </w:instrText>
          </w:r>
          <w:r>
            <w:fldChar w:fldCharType="separate"/>
          </w:r>
          <w:r>
            <w:t>16</w:t>
          </w:r>
          <w:r>
            <w:fldChar w:fldCharType="end"/>
          </w:r>
          <w:r>
            <w:fldChar w:fldCharType="end"/>
          </w:r>
        </w:p>
        <w:p>
          <w:pPr>
            <w:pStyle w:val="6"/>
            <w:tabs>
              <w:tab w:val="right" w:leader="dot" w:pos="8306"/>
            </w:tabs>
          </w:pPr>
          <w:r>
            <w:fldChar w:fldCharType="begin"/>
          </w:r>
          <w:r>
            <w:instrText xml:space="preserve"> HYPERLINK \l _Toc27132 </w:instrText>
          </w:r>
          <w:r>
            <w:fldChar w:fldCharType="separate"/>
          </w:r>
          <w:r>
            <w:rPr>
              <w:rFonts w:hint="eastAsia" w:ascii="楷体" w:hAnsi="楷体" w:eastAsia="楷体" w:cs="楷体"/>
              <w:szCs w:val="28"/>
              <w:lang w:eastAsia="zh-CN"/>
            </w:rPr>
            <w:t>（三）提高工程质量</w:t>
          </w:r>
          <w:r>
            <w:tab/>
          </w:r>
          <w:r>
            <w:fldChar w:fldCharType="begin"/>
          </w:r>
          <w:r>
            <w:instrText xml:space="preserve"> PAGEREF _Toc27132 \h </w:instrText>
          </w:r>
          <w:r>
            <w:fldChar w:fldCharType="separate"/>
          </w:r>
          <w:r>
            <w:t>17</w:t>
          </w:r>
          <w:r>
            <w:fldChar w:fldCharType="end"/>
          </w:r>
          <w:r>
            <w:fldChar w:fldCharType="end"/>
          </w:r>
        </w:p>
        <w:p>
          <w:pPr>
            <w:rPr>
              <w:rFonts w:ascii="宋体" w:hAnsi="宋体" w:eastAsia="宋体" w:cstheme="minorBidi"/>
              <w:sz w:val="21"/>
              <w:szCs w:val="22"/>
            </w:rPr>
          </w:pPr>
          <w:r>
            <w:fldChar w:fldCharType="end"/>
          </w:r>
        </w:p>
      </w:sdtContent>
    </w:sdt>
    <w:p>
      <w:pPr>
        <w:rPr>
          <w:rFonts w:hint="eastAsia"/>
        </w:rPr>
      </w:pPr>
    </w:p>
    <w:p>
      <w:pPr>
        <w:ind w:firstLine="3360" w:firstLineChars="1600"/>
        <w:rPr>
          <w:rFonts w:hint="eastAsia"/>
        </w:rPr>
        <w:sectPr>
          <w:footerReference r:id="rId3" w:type="default"/>
          <w:pgSz w:w="11906" w:h="16838"/>
          <w:pgMar w:top="1440" w:right="1800" w:bottom="1440" w:left="1800" w:header="851" w:footer="992" w:gutter="0"/>
          <w:pgNumType w:fmt="decimal" w:start="1"/>
          <w:cols w:space="425" w:num="1"/>
          <w:docGrid w:type="lines" w:linePitch="312" w:charSpace="0"/>
        </w:sectPr>
      </w:pPr>
    </w:p>
    <w:p>
      <w:pPr>
        <w:ind w:left="0" w:leftChars="0" w:firstLine="220" w:firstLineChars="73"/>
        <w:jc w:val="center"/>
        <w:rPr>
          <w:rFonts w:hint="eastAsia" w:ascii="楷体" w:hAnsi="楷体" w:eastAsia="楷体" w:cs="楷体"/>
          <w:b/>
          <w:bCs/>
          <w:sz w:val="30"/>
          <w:szCs w:val="30"/>
          <w:lang w:eastAsia="zh-CN"/>
        </w:rPr>
      </w:pPr>
      <w:r>
        <w:rPr>
          <w:rFonts w:hint="eastAsia" w:ascii="楷体" w:hAnsi="楷体" w:eastAsia="楷体" w:cs="楷体"/>
          <w:b/>
          <w:bCs/>
          <w:sz w:val="30"/>
          <w:szCs w:val="30"/>
          <w:lang w:eastAsia="zh-CN"/>
        </w:rPr>
        <w:t>无极县住房和城乡建设局</w:t>
      </w:r>
    </w:p>
    <w:p>
      <w:pPr>
        <w:ind w:left="0" w:leftChars="0" w:firstLine="220" w:firstLineChars="73"/>
        <w:jc w:val="center"/>
        <w:rPr>
          <w:rFonts w:hint="eastAsia" w:ascii="楷体" w:hAnsi="楷体" w:eastAsia="楷体" w:cs="楷体"/>
          <w:b/>
          <w:bCs/>
          <w:sz w:val="30"/>
          <w:szCs w:val="30"/>
          <w:lang w:eastAsia="zh-CN"/>
        </w:rPr>
      </w:pPr>
      <w:r>
        <w:rPr>
          <w:rFonts w:hint="eastAsia" w:ascii="楷体" w:hAnsi="楷体" w:eastAsia="楷体" w:cs="楷体"/>
          <w:b/>
          <w:bCs/>
          <w:sz w:val="30"/>
          <w:szCs w:val="30"/>
          <w:lang w:eastAsia="zh-CN"/>
        </w:rPr>
        <w:t>无极县2022年老旧小区建筑主体改造项目</w:t>
      </w:r>
    </w:p>
    <w:p>
      <w:pPr>
        <w:ind w:left="0" w:leftChars="0" w:firstLine="218" w:firstLineChars="68"/>
        <w:jc w:val="center"/>
        <w:rPr>
          <w:rFonts w:hint="eastAsia" w:ascii="楷体" w:hAnsi="楷体" w:eastAsia="楷体" w:cs="楷体"/>
          <w:b/>
          <w:bCs/>
          <w:sz w:val="32"/>
          <w:szCs w:val="32"/>
        </w:rPr>
      </w:pPr>
      <w:r>
        <w:rPr>
          <w:rFonts w:hint="eastAsia" w:ascii="楷体" w:hAnsi="楷体" w:eastAsia="楷体" w:cs="楷体"/>
          <w:b/>
          <w:bCs/>
          <w:sz w:val="32"/>
          <w:szCs w:val="32"/>
        </w:rPr>
        <w:t>绩效评价报告</w:t>
      </w:r>
    </w:p>
    <w:p>
      <w:pPr>
        <w:ind w:left="0" w:leftChars="0" w:firstLine="163" w:firstLineChars="68"/>
        <w:jc w:val="right"/>
        <w:rPr>
          <w:rFonts w:hint="eastAsia" w:ascii="楷体" w:hAnsi="楷体" w:eastAsia="楷体" w:cstheme="minorBidi"/>
          <w:b w:val="0"/>
          <w:bCs/>
          <w:kern w:val="2"/>
          <w:sz w:val="24"/>
          <w:szCs w:val="24"/>
          <w:lang w:val="en-US" w:eastAsia="zh-CN" w:bidi="ar-SA"/>
        </w:rPr>
      </w:pPr>
    </w:p>
    <w:p>
      <w:pPr>
        <w:ind w:firstLine="560" w:firstLineChars="200"/>
        <w:rPr>
          <w:rFonts w:hint="eastAsia" w:ascii="楷体" w:hAnsi="楷体" w:eastAsia="楷体" w:cs="楷体"/>
          <w:sz w:val="28"/>
          <w:szCs w:val="28"/>
        </w:rPr>
      </w:pP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rPr>
      </w:pPr>
      <w:r>
        <w:rPr>
          <w:rFonts w:hint="eastAsia" w:ascii="楷体" w:hAnsi="楷体" w:eastAsia="楷体" w:cs="楷体"/>
          <w:sz w:val="28"/>
          <w:szCs w:val="28"/>
        </w:rPr>
        <w:t>根据《</w:t>
      </w:r>
      <w:r>
        <w:rPr>
          <w:rFonts w:hint="eastAsia" w:ascii="楷体" w:hAnsi="楷体" w:eastAsia="楷体" w:cs="楷体"/>
          <w:sz w:val="28"/>
          <w:szCs w:val="28"/>
          <w:lang w:eastAsia="zh-CN"/>
        </w:rPr>
        <w:t>中华人民共和国城乡规划法</w:t>
      </w:r>
      <w:r>
        <w:rPr>
          <w:rFonts w:hint="eastAsia" w:ascii="楷体" w:hAnsi="楷体" w:eastAsia="楷体" w:cs="楷体"/>
          <w:sz w:val="28"/>
          <w:szCs w:val="28"/>
        </w:rPr>
        <w:t>》、《</w:t>
      </w:r>
      <w:r>
        <w:rPr>
          <w:rFonts w:hint="eastAsia" w:ascii="楷体" w:hAnsi="楷体" w:eastAsia="楷体" w:cs="楷体"/>
          <w:sz w:val="28"/>
          <w:szCs w:val="28"/>
          <w:lang w:eastAsia="zh-CN"/>
        </w:rPr>
        <w:t>城市规划编制方法实施细则</w:t>
      </w:r>
      <w:r>
        <w:rPr>
          <w:rFonts w:hint="eastAsia" w:ascii="楷体" w:hAnsi="楷体" w:eastAsia="楷体" w:cs="楷体"/>
          <w:sz w:val="28"/>
          <w:szCs w:val="28"/>
        </w:rPr>
        <w:t>》（</w:t>
      </w:r>
      <w:r>
        <w:rPr>
          <w:rFonts w:hint="eastAsia" w:ascii="楷体" w:hAnsi="楷体" w:eastAsia="楷体" w:cs="楷体"/>
          <w:sz w:val="28"/>
          <w:szCs w:val="28"/>
          <w:lang w:val="en-US" w:eastAsia="zh-CN"/>
        </w:rPr>
        <w:t>2006.4.1</w:t>
      </w:r>
      <w:r>
        <w:rPr>
          <w:rFonts w:hint="eastAsia" w:ascii="楷体" w:hAnsi="楷体" w:eastAsia="楷体" w:cs="楷体"/>
          <w:sz w:val="28"/>
          <w:szCs w:val="28"/>
        </w:rPr>
        <w:t>）、《</w:t>
      </w:r>
      <w:r>
        <w:rPr>
          <w:rFonts w:hint="eastAsia" w:ascii="楷体" w:hAnsi="楷体" w:eastAsia="楷体" w:cs="楷体"/>
          <w:sz w:val="28"/>
          <w:szCs w:val="28"/>
          <w:lang w:eastAsia="zh-CN"/>
        </w:rPr>
        <w:t>中央预算内投资保障性安居工程专项管理暂行办法</w:t>
      </w:r>
      <w:r>
        <w:rPr>
          <w:rFonts w:hint="eastAsia" w:ascii="楷体" w:hAnsi="楷体" w:eastAsia="楷体" w:cs="楷体"/>
          <w:sz w:val="28"/>
          <w:szCs w:val="28"/>
        </w:rPr>
        <w:t>》</w:t>
      </w:r>
      <w:r>
        <w:rPr>
          <w:rFonts w:hint="eastAsia" w:ascii="楷体" w:hAnsi="楷体" w:eastAsia="楷体" w:cs="楷体"/>
          <w:sz w:val="28"/>
          <w:szCs w:val="28"/>
          <w:lang w:eastAsia="zh-CN"/>
        </w:rPr>
        <w:t>，国务院办公厅印发《关于全面推进城镇老旧小区改造工作的指导意见》（国办发【</w:t>
      </w:r>
      <w:r>
        <w:rPr>
          <w:rFonts w:hint="eastAsia" w:ascii="楷体" w:hAnsi="楷体" w:eastAsia="楷体" w:cs="楷体"/>
          <w:sz w:val="28"/>
          <w:szCs w:val="28"/>
          <w:lang w:val="en-US" w:eastAsia="zh-CN"/>
        </w:rPr>
        <w:t>2020】23号），河北省发展和改革委员会 河北省住房和城乡建设厅关于分解下达河北省保障性安居工程2020年第一批中央预算内投资计划的通知</w:t>
      </w:r>
      <w:r>
        <w:rPr>
          <w:rFonts w:hint="eastAsia" w:ascii="楷体" w:hAnsi="楷体" w:eastAsia="楷体" w:cs="楷体"/>
          <w:sz w:val="28"/>
          <w:szCs w:val="28"/>
        </w:rPr>
        <w:t>等有关规定，无极县财政局成立绩效评价组，于</w:t>
      </w:r>
      <w:r>
        <w:rPr>
          <w:rFonts w:hint="eastAsia" w:ascii="楷体" w:hAnsi="楷体" w:eastAsia="楷体" w:cs="楷体"/>
          <w:sz w:val="28"/>
          <w:szCs w:val="28"/>
          <w:lang w:val="en-US" w:eastAsia="zh-CN"/>
        </w:rPr>
        <w:t>2023</w:t>
      </w:r>
      <w:r>
        <w:rPr>
          <w:rFonts w:hint="eastAsia" w:ascii="楷体" w:hAnsi="楷体" w:eastAsia="楷体" w:cs="楷体"/>
          <w:sz w:val="28"/>
          <w:szCs w:val="28"/>
        </w:rPr>
        <w:t>年</w:t>
      </w:r>
      <w:r>
        <w:rPr>
          <w:rFonts w:hint="eastAsia" w:ascii="楷体" w:hAnsi="楷体" w:eastAsia="楷体" w:cs="楷体"/>
          <w:sz w:val="28"/>
          <w:szCs w:val="28"/>
          <w:lang w:val="en-US" w:eastAsia="zh-CN"/>
        </w:rPr>
        <w:t>9</w:t>
      </w:r>
      <w:r>
        <w:rPr>
          <w:rFonts w:hint="eastAsia" w:ascii="楷体" w:hAnsi="楷体" w:eastAsia="楷体" w:cs="楷体"/>
          <w:sz w:val="28"/>
          <w:szCs w:val="28"/>
        </w:rPr>
        <w:t>月</w:t>
      </w:r>
      <w:r>
        <w:rPr>
          <w:rFonts w:hint="eastAsia" w:ascii="楷体" w:hAnsi="楷体" w:eastAsia="楷体" w:cs="楷体"/>
          <w:sz w:val="28"/>
          <w:szCs w:val="28"/>
          <w:lang w:val="en-US" w:eastAsia="zh-CN"/>
        </w:rPr>
        <w:t>25</w:t>
      </w:r>
      <w:r>
        <w:rPr>
          <w:rFonts w:hint="eastAsia" w:ascii="楷体" w:hAnsi="楷体" w:eastAsia="楷体" w:cs="楷体"/>
          <w:sz w:val="28"/>
          <w:szCs w:val="28"/>
        </w:rPr>
        <w:t>日至</w:t>
      </w:r>
      <w:r>
        <w:rPr>
          <w:rFonts w:hint="eastAsia" w:ascii="楷体" w:hAnsi="楷体" w:eastAsia="楷体" w:cs="楷体"/>
          <w:sz w:val="28"/>
          <w:szCs w:val="28"/>
          <w:highlight w:val="none"/>
          <w:lang w:val="en-US" w:eastAsia="zh-CN"/>
        </w:rPr>
        <w:t>10月23日</w:t>
      </w:r>
      <w:r>
        <w:rPr>
          <w:rFonts w:hint="eastAsia" w:ascii="楷体" w:hAnsi="楷体" w:eastAsia="楷体" w:cs="楷体"/>
          <w:sz w:val="28"/>
          <w:szCs w:val="28"/>
        </w:rPr>
        <w:t>对“</w:t>
      </w:r>
      <w:r>
        <w:rPr>
          <w:rFonts w:hint="eastAsia" w:ascii="楷体" w:hAnsi="楷体" w:eastAsia="楷体" w:cs="楷体"/>
          <w:sz w:val="28"/>
          <w:szCs w:val="28"/>
          <w:lang w:eastAsia="zh-CN"/>
        </w:rPr>
        <w:t>无极县2022年老旧小区建筑主体改造项目</w:t>
      </w:r>
      <w:r>
        <w:rPr>
          <w:rFonts w:hint="eastAsia" w:ascii="楷体" w:hAnsi="楷体" w:eastAsia="楷体" w:cs="楷体"/>
          <w:sz w:val="28"/>
          <w:szCs w:val="28"/>
        </w:rPr>
        <w:t>”进行绩效评价，具体情况如下：</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0"/>
        <w:rPr>
          <w:rFonts w:hint="eastAsia" w:ascii="楷体" w:hAnsi="楷体" w:eastAsia="楷体" w:cs="楷体"/>
          <w:sz w:val="28"/>
          <w:szCs w:val="28"/>
        </w:rPr>
      </w:pPr>
      <w:bookmarkStart w:id="0" w:name="_Toc12032"/>
      <w:r>
        <w:rPr>
          <w:rFonts w:hint="eastAsia" w:ascii="楷体" w:hAnsi="楷体" w:eastAsia="楷体" w:cs="楷体"/>
          <w:sz w:val="28"/>
          <w:szCs w:val="28"/>
        </w:rPr>
        <w:t>一、项目基本情况</w:t>
      </w:r>
      <w:bookmarkEnd w:id="0"/>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1"/>
        <w:rPr>
          <w:rFonts w:hint="eastAsia" w:ascii="楷体" w:hAnsi="楷体" w:eastAsia="楷体" w:cs="楷体"/>
          <w:sz w:val="28"/>
          <w:szCs w:val="28"/>
        </w:rPr>
      </w:pPr>
      <w:bookmarkStart w:id="1" w:name="_Toc18249"/>
      <w:r>
        <w:rPr>
          <w:rFonts w:hint="eastAsia" w:ascii="楷体" w:hAnsi="楷体" w:eastAsia="楷体" w:cs="楷体"/>
          <w:sz w:val="28"/>
          <w:szCs w:val="28"/>
        </w:rPr>
        <w:t>（一）项目概况</w:t>
      </w:r>
      <w:bookmarkEnd w:id="1"/>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1．项目背景</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rPr>
      </w:pPr>
      <w:r>
        <w:rPr>
          <w:rFonts w:hint="eastAsia" w:ascii="楷体" w:hAnsi="楷体" w:eastAsia="楷体" w:cs="楷体"/>
          <w:sz w:val="28"/>
          <w:szCs w:val="28"/>
        </w:rPr>
        <w:t>无极县自</w:t>
      </w:r>
      <w:r>
        <w:rPr>
          <w:rFonts w:hint="eastAsia" w:ascii="楷体" w:hAnsi="楷体" w:eastAsia="楷体" w:cs="楷体"/>
          <w:sz w:val="28"/>
          <w:szCs w:val="28"/>
          <w:lang w:val="en-US" w:eastAsia="zh-CN"/>
        </w:rPr>
        <w:t>2022</w:t>
      </w:r>
      <w:r>
        <w:rPr>
          <w:rFonts w:hint="eastAsia" w:ascii="楷体" w:hAnsi="楷体" w:eastAsia="楷体" w:cs="楷体"/>
          <w:sz w:val="28"/>
          <w:szCs w:val="28"/>
        </w:rPr>
        <w:t>年</w:t>
      </w:r>
      <w:r>
        <w:rPr>
          <w:rFonts w:hint="eastAsia" w:ascii="楷体" w:hAnsi="楷体" w:eastAsia="楷体" w:cs="楷体"/>
          <w:sz w:val="28"/>
          <w:szCs w:val="28"/>
          <w:lang w:val="en-US" w:eastAsia="zh-CN"/>
        </w:rPr>
        <w:t>3月1日</w:t>
      </w:r>
      <w:r>
        <w:rPr>
          <w:rFonts w:hint="eastAsia" w:ascii="楷体" w:hAnsi="楷体" w:eastAsia="楷体" w:cs="楷体"/>
          <w:sz w:val="28"/>
          <w:szCs w:val="28"/>
        </w:rPr>
        <w:t>开始实施该项目，根据《</w:t>
      </w:r>
      <w:r>
        <w:rPr>
          <w:rFonts w:hint="eastAsia" w:ascii="楷体" w:hAnsi="楷体" w:eastAsia="楷体" w:cs="楷体"/>
          <w:sz w:val="28"/>
          <w:szCs w:val="28"/>
          <w:lang w:eastAsia="zh-CN"/>
        </w:rPr>
        <w:t>石家庄市老旧小区改造领导小组办公室关于做好</w:t>
      </w:r>
      <w:r>
        <w:rPr>
          <w:rFonts w:hint="eastAsia" w:ascii="楷体" w:hAnsi="楷体" w:eastAsia="楷体" w:cs="楷体"/>
          <w:sz w:val="28"/>
          <w:szCs w:val="28"/>
          <w:lang w:val="en-US" w:eastAsia="zh-CN"/>
        </w:rPr>
        <w:t>2022年老旧小区改造工作的通知》（石旧改办{2021}15号）</w:t>
      </w:r>
      <w:r>
        <w:rPr>
          <w:rFonts w:hint="eastAsia" w:ascii="楷体" w:hAnsi="楷体" w:eastAsia="楷体" w:cs="楷体"/>
          <w:sz w:val="28"/>
          <w:szCs w:val="28"/>
        </w:rPr>
        <w:t>、</w:t>
      </w:r>
      <w:r>
        <w:rPr>
          <w:rFonts w:hint="eastAsia" w:ascii="楷体" w:hAnsi="楷体" w:eastAsia="楷体" w:cs="楷体"/>
          <w:sz w:val="28"/>
          <w:szCs w:val="28"/>
          <w:lang w:eastAsia="zh-CN"/>
        </w:rPr>
        <w:t>无极县人民政府办公室印发《关于全面推进城镇老旧小区改造工作的实施方案》的通知</w:t>
      </w:r>
      <w:r>
        <w:rPr>
          <w:rFonts w:hint="eastAsia" w:ascii="楷体" w:hAnsi="楷体" w:eastAsia="楷体" w:cs="楷体"/>
          <w:sz w:val="28"/>
          <w:szCs w:val="28"/>
        </w:rPr>
        <w:t>（</w:t>
      </w:r>
      <w:r>
        <w:rPr>
          <w:rFonts w:hint="eastAsia" w:ascii="楷体" w:hAnsi="楷体" w:eastAsia="楷体" w:cs="楷体"/>
          <w:sz w:val="28"/>
          <w:szCs w:val="28"/>
          <w:lang w:eastAsia="zh-CN"/>
        </w:rPr>
        <w:t>无政办函【</w:t>
      </w:r>
      <w:r>
        <w:rPr>
          <w:rFonts w:hint="eastAsia" w:ascii="楷体" w:hAnsi="楷体" w:eastAsia="楷体" w:cs="楷体"/>
          <w:sz w:val="28"/>
          <w:szCs w:val="28"/>
          <w:lang w:val="en-US" w:eastAsia="zh-CN"/>
        </w:rPr>
        <w:t>2021】9号）</w:t>
      </w:r>
      <w:r>
        <w:rPr>
          <w:rFonts w:hint="eastAsia" w:ascii="楷体" w:hAnsi="楷体" w:eastAsia="楷体" w:cs="楷体"/>
          <w:sz w:val="28"/>
          <w:szCs w:val="28"/>
        </w:rPr>
        <w:t>要求，具体实施情况依据《</w:t>
      </w:r>
      <w:r>
        <w:rPr>
          <w:rFonts w:hint="eastAsia" w:ascii="楷体" w:hAnsi="楷体" w:eastAsia="楷体" w:cs="楷体"/>
          <w:sz w:val="28"/>
          <w:szCs w:val="28"/>
          <w:lang w:eastAsia="zh-CN"/>
        </w:rPr>
        <w:t>关于全面推进城镇老旧小区改造工作的实施方案</w:t>
      </w:r>
      <w:r>
        <w:rPr>
          <w:rFonts w:hint="eastAsia" w:ascii="楷体" w:hAnsi="楷体" w:eastAsia="楷体" w:cs="楷体"/>
          <w:sz w:val="28"/>
          <w:szCs w:val="28"/>
        </w:rPr>
        <w:t>》执行。</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2．实施单位基本情况</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highlight w:val="none"/>
        </w:rPr>
      </w:pPr>
      <w:r>
        <w:rPr>
          <w:rFonts w:hint="eastAsia" w:ascii="楷体" w:hAnsi="楷体" w:eastAsia="楷体" w:cs="楷体"/>
          <w:sz w:val="28"/>
          <w:szCs w:val="28"/>
          <w:highlight w:val="none"/>
          <w:lang w:eastAsia="zh-CN"/>
        </w:rPr>
        <w:t>无极县住房和城乡建设局</w:t>
      </w:r>
      <w:r>
        <w:rPr>
          <w:rFonts w:hint="eastAsia" w:ascii="楷体" w:hAnsi="楷体" w:eastAsia="楷体" w:cs="楷体"/>
          <w:sz w:val="28"/>
          <w:szCs w:val="28"/>
          <w:highlight w:val="none"/>
        </w:rPr>
        <w:t>为该项目实施主管单位，机构</w:t>
      </w:r>
      <w:r>
        <w:rPr>
          <w:rFonts w:hint="eastAsia" w:ascii="楷体" w:hAnsi="楷体" w:eastAsia="楷体" w:cs="楷体"/>
          <w:sz w:val="28"/>
          <w:szCs w:val="28"/>
          <w:highlight w:val="none"/>
          <w:lang w:eastAsia="zh-CN"/>
        </w:rPr>
        <w:t>规格正科级</w:t>
      </w:r>
      <w:r>
        <w:rPr>
          <w:rFonts w:hint="eastAsia" w:ascii="楷体" w:hAnsi="楷体" w:eastAsia="楷体" w:cs="楷体"/>
          <w:sz w:val="28"/>
          <w:szCs w:val="28"/>
          <w:highlight w:val="none"/>
        </w:rPr>
        <w:t>。机关行政编制</w:t>
      </w:r>
      <w:r>
        <w:rPr>
          <w:rFonts w:hint="eastAsia" w:ascii="楷体" w:hAnsi="楷体" w:eastAsia="楷体" w:cs="楷体"/>
          <w:sz w:val="28"/>
          <w:szCs w:val="28"/>
          <w:highlight w:val="none"/>
          <w:lang w:val="en-US" w:eastAsia="zh-CN"/>
        </w:rPr>
        <w:t>15</w:t>
      </w:r>
      <w:r>
        <w:rPr>
          <w:rFonts w:hint="eastAsia" w:ascii="楷体" w:hAnsi="楷体" w:eastAsia="楷体" w:cs="楷体"/>
          <w:sz w:val="28"/>
          <w:szCs w:val="28"/>
          <w:highlight w:val="none"/>
        </w:rPr>
        <w:t>名。股级领导职数5名。</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highlight w:val="none"/>
        </w:rPr>
      </w:pPr>
      <w:r>
        <w:rPr>
          <w:rFonts w:hint="eastAsia" w:ascii="楷体" w:hAnsi="楷体" w:eastAsia="楷体" w:cs="楷体"/>
          <w:sz w:val="28"/>
          <w:szCs w:val="28"/>
          <w:highlight w:val="none"/>
        </w:rPr>
        <w:t>内设五个行政科室：</w:t>
      </w:r>
      <w:r>
        <w:rPr>
          <w:rFonts w:hint="eastAsia" w:ascii="楷体" w:hAnsi="楷体" w:eastAsia="楷体" w:cs="楷体"/>
          <w:sz w:val="28"/>
          <w:szCs w:val="28"/>
          <w:highlight w:val="none"/>
          <w:lang w:val="en-US" w:eastAsia="zh-CN"/>
        </w:rPr>
        <w:t>办公室、房地产管理股、建筑业管理股、工程建设股、村镇建设股</w:t>
      </w:r>
      <w:r>
        <w:rPr>
          <w:rFonts w:hint="eastAsia" w:ascii="楷体" w:hAnsi="楷体" w:eastAsia="楷体" w:cs="楷体"/>
          <w:sz w:val="28"/>
          <w:szCs w:val="28"/>
          <w:highlight w:val="none"/>
        </w:rPr>
        <w:t>。</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3．项目内容</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lang w:val="en-US" w:eastAsia="zh-CN"/>
        </w:rPr>
      </w:pPr>
      <w:r>
        <w:rPr>
          <w:rFonts w:hint="eastAsia" w:ascii="楷体" w:hAnsi="楷体" w:eastAsia="楷体" w:cs="楷体"/>
          <w:sz w:val="28"/>
          <w:szCs w:val="28"/>
          <w:lang w:eastAsia="zh-CN"/>
        </w:rPr>
        <w:t>无极县2022年老旧小区建筑主体改造项目</w:t>
      </w:r>
      <w:r>
        <w:rPr>
          <w:rFonts w:hint="eastAsia" w:ascii="楷体" w:hAnsi="楷体" w:eastAsia="楷体" w:cs="楷体"/>
          <w:sz w:val="28"/>
          <w:szCs w:val="28"/>
        </w:rPr>
        <w:t>主要内容是</w:t>
      </w:r>
      <w:r>
        <w:rPr>
          <w:rFonts w:hint="eastAsia" w:ascii="楷体" w:hAnsi="楷体" w:eastAsia="楷体" w:cs="楷体"/>
          <w:sz w:val="28"/>
          <w:szCs w:val="28"/>
          <w:lang w:eastAsia="zh-CN"/>
        </w:rPr>
        <w:t>：主要包括楼外墙及小房粉刷、楼梯间粉刷、楼道内栏杆粉刷、更换公共区域门窗户、更换雨水落水管、屋面防水、楼道内扶手更换、垃圾道封堵、楼梯间照明设施改造、单元楼门禁系统、新加空调室外机罩等内容</w:t>
      </w:r>
      <w:r>
        <w:rPr>
          <w:rFonts w:hint="eastAsia" w:ascii="楷体" w:hAnsi="楷体" w:eastAsia="楷体" w:cs="楷体"/>
          <w:sz w:val="28"/>
          <w:szCs w:val="28"/>
        </w:rPr>
        <w:t>。</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（1）实施范围</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rPr>
      </w:pPr>
      <w:r>
        <w:rPr>
          <w:rFonts w:hint="eastAsia" w:ascii="楷体" w:hAnsi="楷体" w:eastAsia="楷体" w:cs="楷体"/>
          <w:sz w:val="28"/>
          <w:szCs w:val="28"/>
          <w:lang w:eastAsia="zh-CN"/>
        </w:rPr>
        <w:t>汲及</w:t>
      </w:r>
      <w:r>
        <w:rPr>
          <w:rFonts w:hint="eastAsia" w:ascii="楷体" w:hAnsi="楷体" w:eastAsia="楷体" w:cs="楷体"/>
          <w:sz w:val="28"/>
          <w:szCs w:val="28"/>
          <w:lang w:val="en-US" w:eastAsia="zh-CN"/>
        </w:rPr>
        <w:t>27个老旧小区，建筑面积10.99万平方米。本项目涉及的27个小区分别是：林业局生活区、人行家属楼、环保局家属楼、化工厂家属楼、党校家属楼、化肥厂家属楼、鼠药厂家属楼、棉麻家属楼、幼儿园家属楼、农机局家属楼、工商局家属楼、水利局家属楼、电力局家属楼、工业局家属楼、市政公司家属楼、祥和居、红星二建家属楼、百货公司家属楼、交警大队家属楼、呋喃化工厂、二轻局家属楼、红星公司家属楼、棉油厂家属楼、汽车配件厂家属楼、永发烟草家属楼、机电厂家属院、无极镇中学家属楼。</w:t>
      </w:r>
    </w:p>
    <w:tbl>
      <w:tblPr>
        <w:tblStyle w:val="7"/>
        <w:tblW w:w="84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2175"/>
        <w:gridCol w:w="3142"/>
        <w:gridCol w:w="31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0" w:hRule="atLeast"/>
        </w:trPr>
        <w:tc>
          <w:tcPr>
            <w:tcW w:w="2175"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类别</w:t>
            </w:r>
          </w:p>
        </w:tc>
        <w:tc>
          <w:tcPr>
            <w:tcW w:w="3142"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lang w:eastAsia="zh-CN"/>
              </w:rPr>
              <w:t>建筑面积（万平方米）</w:t>
            </w:r>
          </w:p>
        </w:tc>
        <w:tc>
          <w:tcPr>
            <w:tcW w:w="3143"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lang w:eastAsia="zh-CN"/>
              </w:rPr>
            </w:pPr>
            <w:r>
              <w:rPr>
                <w:rFonts w:hint="eastAsia" w:ascii="楷体" w:hAnsi="楷体" w:eastAsia="楷体" w:cs="楷体"/>
                <w:sz w:val="28"/>
                <w:szCs w:val="28"/>
                <w:lang w:eastAsia="zh-CN"/>
              </w:rPr>
              <w:t>老旧小区数量（个）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0" w:hRule="atLeast"/>
        </w:trPr>
        <w:tc>
          <w:tcPr>
            <w:tcW w:w="2175"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lang w:eastAsia="zh-CN"/>
              </w:rPr>
            </w:pPr>
            <w:r>
              <w:rPr>
                <w:rFonts w:hint="eastAsia" w:ascii="楷体" w:hAnsi="楷体" w:eastAsia="楷体" w:cs="楷体"/>
                <w:sz w:val="28"/>
                <w:szCs w:val="28"/>
                <w:lang w:eastAsia="zh-CN"/>
              </w:rPr>
              <w:t>数量</w:t>
            </w:r>
          </w:p>
        </w:tc>
        <w:tc>
          <w:tcPr>
            <w:tcW w:w="3142"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10.99</w:t>
            </w:r>
          </w:p>
        </w:tc>
        <w:tc>
          <w:tcPr>
            <w:tcW w:w="3143"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0" w:hRule="atLeast"/>
        </w:trPr>
        <w:tc>
          <w:tcPr>
            <w:tcW w:w="2175"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合计</w:t>
            </w:r>
          </w:p>
        </w:tc>
        <w:tc>
          <w:tcPr>
            <w:tcW w:w="3142"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10.99</w:t>
            </w:r>
          </w:p>
        </w:tc>
        <w:tc>
          <w:tcPr>
            <w:tcW w:w="3143"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27</w:t>
            </w:r>
          </w:p>
        </w:tc>
      </w:tr>
    </w:tbl>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（2）实施模式</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rPr>
      </w:pPr>
      <w:r>
        <w:rPr>
          <w:rFonts w:hint="eastAsia" w:ascii="楷体" w:hAnsi="楷体" w:eastAsia="楷体" w:cs="楷体"/>
          <w:sz w:val="28"/>
          <w:szCs w:val="28"/>
        </w:rPr>
        <w:t>该项目实行由中标企业</w:t>
      </w:r>
      <w:r>
        <w:rPr>
          <w:rFonts w:hint="eastAsia" w:ascii="楷体" w:hAnsi="楷体" w:eastAsia="楷体" w:cs="楷体"/>
          <w:sz w:val="28"/>
          <w:szCs w:val="28"/>
          <w:lang w:eastAsia="zh-CN"/>
        </w:rPr>
        <w:t>建设</w:t>
      </w:r>
      <w:r>
        <w:rPr>
          <w:rFonts w:hint="eastAsia" w:ascii="楷体" w:hAnsi="楷体" w:eastAsia="楷体" w:cs="楷体"/>
          <w:sz w:val="28"/>
          <w:szCs w:val="28"/>
        </w:rPr>
        <w:t>、</w:t>
      </w:r>
      <w:r>
        <w:rPr>
          <w:rFonts w:hint="eastAsia" w:ascii="楷体" w:hAnsi="楷体" w:eastAsia="楷体" w:cs="楷体"/>
          <w:sz w:val="28"/>
          <w:szCs w:val="28"/>
          <w:lang w:eastAsia="zh-CN"/>
        </w:rPr>
        <w:t>对</w:t>
      </w:r>
      <w:r>
        <w:rPr>
          <w:rFonts w:hint="eastAsia" w:ascii="楷体" w:hAnsi="楷体" w:eastAsia="楷体" w:cs="楷体"/>
          <w:sz w:val="28"/>
          <w:szCs w:val="28"/>
          <w:lang w:val="en-US" w:eastAsia="zh-CN"/>
        </w:rPr>
        <w:t>27个老旧小区建筑主体进行综合治理改造</w:t>
      </w:r>
      <w:r>
        <w:rPr>
          <w:rFonts w:hint="eastAsia" w:ascii="楷体" w:hAnsi="楷体" w:eastAsia="楷体" w:cs="楷体"/>
          <w:sz w:val="28"/>
          <w:szCs w:val="28"/>
        </w:rPr>
        <w:t>。</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（3）实施过程</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default" w:ascii="楷体" w:hAnsi="楷体" w:eastAsia="楷体" w:cs="楷体"/>
          <w:sz w:val="28"/>
          <w:szCs w:val="28"/>
          <w:lang w:val="en-US" w:eastAsia="zh-CN"/>
        </w:rPr>
      </w:pPr>
      <w:r>
        <w:rPr>
          <w:rFonts w:hint="eastAsia" w:ascii="楷体" w:hAnsi="楷体" w:eastAsia="楷体" w:cs="楷体"/>
          <w:sz w:val="28"/>
          <w:szCs w:val="28"/>
          <w:lang w:val="en-US" w:eastAsia="zh-CN"/>
        </w:rPr>
        <w:t>2022</w:t>
      </w:r>
      <w:r>
        <w:rPr>
          <w:rFonts w:hint="eastAsia" w:ascii="楷体" w:hAnsi="楷体" w:eastAsia="楷体" w:cs="楷体"/>
          <w:sz w:val="28"/>
          <w:szCs w:val="28"/>
        </w:rPr>
        <w:t>年</w:t>
      </w:r>
      <w:r>
        <w:rPr>
          <w:rFonts w:hint="eastAsia" w:ascii="楷体" w:hAnsi="楷体" w:eastAsia="楷体" w:cs="楷体"/>
          <w:sz w:val="28"/>
          <w:szCs w:val="28"/>
          <w:lang w:val="en-US" w:eastAsia="zh-CN"/>
        </w:rPr>
        <w:t>2</w:t>
      </w:r>
      <w:r>
        <w:rPr>
          <w:rFonts w:hint="eastAsia" w:ascii="楷体" w:hAnsi="楷体" w:eastAsia="楷体" w:cs="楷体"/>
          <w:sz w:val="28"/>
          <w:szCs w:val="28"/>
        </w:rPr>
        <w:t>月</w:t>
      </w:r>
      <w:r>
        <w:rPr>
          <w:rFonts w:hint="eastAsia" w:ascii="楷体" w:hAnsi="楷体" w:eastAsia="楷体" w:cs="楷体"/>
          <w:sz w:val="28"/>
          <w:szCs w:val="28"/>
          <w:lang w:val="en-US" w:eastAsia="zh-CN"/>
        </w:rPr>
        <w:t>21</w:t>
      </w:r>
      <w:r>
        <w:rPr>
          <w:rFonts w:hint="eastAsia" w:ascii="楷体" w:hAnsi="楷体" w:eastAsia="楷体" w:cs="楷体"/>
          <w:sz w:val="28"/>
          <w:szCs w:val="28"/>
        </w:rPr>
        <w:t>日，</w:t>
      </w:r>
      <w:r>
        <w:rPr>
          <w:rFonts w:hint="eastAsia" w:ascii="楷体" w:hAnsi="楷体" w:eastAsia="楷体" w:cs="楷体"/>
          <w:sz w:val="28"/>
          <w:szCs w:val="28"/>
          <w:lang w:eastAsia="zh-CN"/>
        </w:rPr>
        <w:t>无极县住房和城乡建设局</w:t>
      </w:r>
      <w:r>
        <w:rPr>
          <w:rFonts w:hint="eastAsia" w:ascii="楷体" w:hAnsi="楷体" w:eastAsia="楷体" w:cs="楷体"/>
          <w:sz w:val="28"/>
          <w:szCs w:val="28"/>
        </w:rPr>
        <w:t>《</w:t>
      </w:r>
      <w:r>
        <w:rPr>
          <w:rFonts w:hint="eastAsia" w:ascii="楷体" w:hAnsi="楷体" w:eastAsia="楷体" w:cs="楷体"/>
          <w:sz w:val="28"/>
          <w:szCs w:val="28"/>
          <w:lang w:eastAsia="zh-CN"/>
        </w:rPr>
        <w:t>无极县</w:t>
      </w:r>
      <w:r>
        <w:rPr>
          <w:rFonts w:hint="eastAsia" w:ascii="楷体" w:hAnsi="楷体" w:eastAsia="楷体" w:cs="楷体"/>
          <w:sz w:val="28"/>
          <w:szCs w:val="28"/>
          <w:lang w:val="en-US" w:eastAsia="zh-CN"/>
        </w:rPr>
        <w:t>2022年老旧小区建筑主体改造项目招标文件</w:t>
      </w:r>
      <w:r>
        <w:rPr>
          <w:rFonts w:hint="eastAsia" w:ascii="楷体" w:hAnsi="楷体" w:eastAsia="楷体" w:cs="楷体"/>
          <w:sz w:val="28"/>
          <w:szCs w:val="28"/>
        </w:rPr>
        <w:t>》</w:t>
      </w:r>
      <w:r>
        <w:rPr>
          <w:rFonts w:hint="eastAsia" w:ascii="楷体" w:hAnsi="楷体" w:eastAsia="楷体" w:cs="楷体"/>
          <w:sz w:val="28"/>
          <w:szCs w:val="28"/>
          <w:lang w:eastAsia="zh-CN"/>
        </w:rPr>
        <w:t>（项目编号</w:t>
      </w:r>
      <w:r>
        <w:rPr>
          <w:rFonts w:hint="eastAsia" w:ascii="楷体" w:hAnsi="楷体" w:eastAsia="楷体" w:cs="楷体"/>
          <w:sz w:val="28"/>
          <w:szCs w:val="28"/>
          <w:lang w:val="en-US" w:eastAsia="zh-CN"/>
        </w:rPr>
        <w:t>HBZX-2022-0105）</w:t>
      </w:r>
      <w:r>
        <w:rPr>
          <w:rFonts w:hint="eastAsia" w:ascii="楷体" w:hAnsi="楷体" w:eastAsia="楷体" w:cs="楷体"/>
          <w:sz w:val="28"/>
          <w:szCs w:val="28"/>
        </w:rPr>
        <w:t>，</w:t>
      </w:r>
      <w:r>
        <w:rPr>
          <w:rFonts w:hint="eastAsia" w:ascii="楷体" w:hAnsi="楷体" w:eastAsia="楷体" w:cs="楷体"/>
          <w:sz w:val="28"/>
          <w:szCs w:val="28"/>
          <w:lang w:eastAsia="zh-CN"/>
        </w:rPr>
        <w:t>由河北中昌建筑工程有限公司中标，中标价为</w:t>
      </w:r>
      <w:r>
        <w:rPr>
          <w:rFonts w:hint="eastAsia" w:ascii="楷体" w:hAnsi="楷体" w:eastAsia="楷体" w:cs="楷体"/>
          <w:sz w:val="28"/>
          <w:szCs w:val="28"/>
          <w:lang w:val="en-US" w:eastAsia="zh-CN"/>
        </w:rPr>
        <w:t>2174.7121万元，</w:t>
      </w:r>
      <w:r>
        <w:rPr>
          <w:rFonts w:hint="eastAsia" w:ascii="楷体" w:hAnsi="楷体" w:eastAsia="楷体" w:cs="楷体"/>
          <w:sz w:val="28"/>
          <w:szCs w:val="28"/>
          <w:lang w:eastAsia="zh-CN"/>
        </w:rPr>
        <w:t>中标通知书文号</w:t>
      </w:r>
      <w:r>
        <w:rPr>
          <w:rFonts w:hint="eastAsia" w:ascii="楷体" w:hAnsi="楷体" w:eastAsia="楷体" w:cs="楷体"/>
          <w:sz w:val="28"/>
          <w:szCs w:val="28"/>
          <w:lang w:val="en-US" w:eastAsia="zh-CN"/>
        </w:rPr>
        <w:t>HBZX-2022-0105，中标时间为2022年2月25日</w:t>
      </w:r>
      <w:r>
        <w:rPr>
          <w:rFonts w:hint="eastAsia" w:ascii="楷体" w:hAnsi="楷体" w:eastAsia="楷体" w:cs="楷体"/>
          <w:sz w:val="28"/>
          <w:szCs w:val="28"/>
        </w:rPr>
        <w:t>。</w:t>
      </w:r>
      <w:r>
        <w:rPr>
          <w:rFonts w:hint="eastAsia" w:ascii="楷体" w:hAnsi="楷体" w:eastAsia="楷体" w:cs="楷体"/>
          <w:sz w:val="28"/>
          <w:szCs w:val="28"/>
          <w:lang w:val="en-US" w:eastAsia="zh-CN"/>
        </w:rPr>
        <w:t>2022年2月26日无极县住房和城乡建设局与中标单位河北中昌建筑工程有限公司签订了《建设工程施工合同》，合同价为2174.7121万元。</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lang w:val="en-US"/>
        </w:rPr>
      </w:pPr>
      <w:r>
        <w:rPr>
          <w:rFonts w:hint="eastAsia" w:ascii="楷体" w:hAnsi="楷体" w:eastAsia="楷体" w:cs="楷体"/>
          <w:sz w:val="28"/>
          <w:szCs w:val="28"/>
          <w:lang w:eastAsia="zh-CN"/>
        </w:rPr>
        <w:t>计划开工日期</w:t>
      </w:r>
      <w:r>
        <w:rPr>
          <w:rFonts w:hint="eastAsia" w:ascii="楷体" w:hAnsi="楷体" w:eastAsia="楷体" w:cs="楷体"/>
          <w:sz w:val="28"/>
          <w:szCs w:val="28"/>
          <w:lang w:val="en-US" w:eastAsia="zh-CN"/>
        </w:rPr>
        <w:t>2022年3月1日，计划竣工日期2022年10月26日，工期总日历天数为240天。主要建设内容及规模：主楼外墙粉刷57084.52㎡，瓷砖清洗4172.72㎡，小房外墙粉刷7145.25㎡，楼梯间内墙粉刷31920.05㎡，楼道内栏杆除锈、刷漆2783.28㎡，地下室粉刷730.47㎡，楼梯间外窗更换689.06㎡，外窗防护网除锈、刷漆24845.52㎡，新做单元对讲防盗门344.41㎡，拆除单元门42樘，更换小房门1931.12㎡，更换小房门卷帘门288.16㎡，小房门油漆40.8㎡，更换小房门窗71樘，更换雨水管6025.94m，（其中钢管844m，塑料管5181.94m），主楼屋面防水26664.82㎡，小房屋面防水7617.89㎡，移动复位太阳能209台，垃圾道封堵55个，垃圾口封堵281个，新加空调室外机罩1172个，新增单元门禁系统1039户，吸顶灯1132套，延时自闭开关1132个，配线1519m，塑料线槽3613m，单元门牌116个，楼号牌39个等。</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4．资金情况</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lang w:eastAsia="zh-CN"/>
        </w:rPr>
      </w:pPr>
      <w:r>
        <w:rPr>
          <w:rFonts w:hint="eastAsia" w:ascii="楷体" w:hAnsi="楷体" w:eastAsia="楷体" w:cs="楷体"/>
          <w:sz w:val="28"/>
          <w:szCs w:val="28"/>
          <w:highlight w:val="none"/>
          <w:lang w:eastAsia="zh-CN"/>
        </w:rPr>
        <w:t>无极县2022年老旧小区建筑主体改造项目</w:t>
      </w:r>
      <w:r>
        <w:rPr>
          <w:rFonts w:hint="eastAsia" w:ascii="楷体" w:hAnsi="楷体" w:eastAsia="楷体" w:cs="楷体"/>
          <w:sz w:val="28"/>
          <w:szCs w:val="28"/>
          <w:highlight w:val="none"/>
        </w:rPr>
        <w:t>预算安排</w:t>
      </w:r>
      <w:r>
        <w:rPr>
          <w:rFonts w:hint="eastAsia" w:ascii="楷体" w:hAnsi="楷体" w:eastAsia="楷体" w:cs="楷体"/>
          <w:color w:val="auto"/>
          <w:sz w:val="28"/>
          <w:szCs w:val="28"/>
          <w:highlight w:val="none"/>
          <w:lang w:val="en-US" w:eastAsia="zh-CN"/>
        </w:rPr>
        <w:t>935万</w:t>
      </w:r>
      <w:r>
        <w:rPr>
          <w:rFonts w:hint="eastAsia" w:ascii="楷体" w:hAnsi="楷体" w:eastAsia="楷体" w:cs="楷体"/>
          <w:sz w:val="28"/>
          <w:szCs w:val="28"/>
          <w:highlight w:val="none"/>
        </w:rPr>
        <w:t>元，</w:t>
      </w:r>
      <w:r>
        <w:rPr>
          <w:rFonts w:hint="eastAsia" w:ascii="楷体" w:hAnsi="楷体" w:eastAsia="楷体" w:cs="楷体"/>
          <w:sz w:val="28"/>
          <w:szCs w:val="28"/>
          <w:highlight w:val="none"/>
          <w:lang w:eastAsia="zh-CN"/>
        </w:rPr>
        <w:t>资金来源全部为政府资金</w:t>
      </w:r>
      <w:r>
        <w:rPr>
          <w:rFonts w:hint="eastAsia" w:ascii="楷体" w:hAnsi="楷体" w:eastAsia="楷体" w:cs="楷体"/>
          <w:sz w:val="28"/>
          <w:szCs w:val="28"/>
          <w:highlight w:val="none"/>
        </w:rPr>
        <w:t>。实际到位资金</w:t>
      </w:r>
      <w:r>
        <w:rPr>
          <w:rFonts w:hint="eastAsia" w:ascii="楷体" w:hAnsi="楷体" w:eastAsia="楷体" w:cs="楷体"/>
          <w:sz w:val="28"/>
          <w:szCs w:val="28"/>
          <w:highlight w:val="none"/>
          <w:lang w:val="en-US" w:eastAsia="zh-CN"/>
        </w:rPr>
        <w:t>904</w:t>
      </w:r>
      <w:r>
        <w:rPr>
          <w:rFonts w:hint="eastAsia" w:ascii="楷体" w:hAnsi="楷体" w:eastAsia="楷体" w:cs="楷体"/>
          <w:sz w:val="28"/>
          <w:szCs w:val="28"/>
          <w:highlight w:val="none"/>
        </w:rPr>
        <w:t>万元，实际支出</w:t>
      </w:r>
      <w:r>
        <w:rPr>
          <w:rFonts w:hint="eastAsia" w:ascii="楷体" w:hAnsi="楷体" w:eastAsia="楷体" w:cs="楷体"/>
          <w:sz w:val="28"/>
          <w:szCs w:val="28"/>
          <w:highlight w:val="none"/>
          <w:lang w:val="en-US" w:eastAsia="zh-CN"/>
        </w:rPr>
        <w:t>904</w:t>
      </w:r>
      <w:r>
        <w:rPr>
          <w:rFonts w:hint="eastAsia" w:ascii="楷体" w:hAnsi="楷体" w:eastAsia="楷体" w:cs="楷体"/>
          <w:sz w:val="28"/>
          <w:szCs w:val="28"/>
          <w:highlight w:val="none"/>
        </w:rPr>
        <w:t>万元。</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1"/>
        <w:rPr>
          <w:rFonts w:hint="eastAsia" w:ascii="楷体" w:hAnsi="楷体" w:eastAsia="楷体" w:cs="楷体"/>
          <w:sz w:val="28"/>
          <w:szCs w:val="28"/>
        </w:rPr>
      </w:pPr>
      <w:bookmarkStart w:id="2" w:name="_Toc14261"/>
      <w:r>
        <w:rPr>
          <w:rFonts w:hint="eastAsia" w:ascii="楷体" w:hAnsi="楷体" w:eastAsia="楷体" w:cs="楷体"/>
          <w:sz w:val="28"/>
          <w:szCs w:val="28"/>
        </w:rPr>
        <w:t>（二）绩效目标</w:t>
      </w:r>
      <w:bookmarkEnd w:id="2"/>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rPr>
      </w:pPr>
      <w:r>
        <w:rPr>
          <w:rFonts w:hint="eastAsia" w:ascii="楷体" w:hAnsi="楷体" w:eastAsia="楷体" w:cs="楷体"/>
          <w:sz w:val="28"/>
          <w:szCs w:val="28"/>
          <w:lang w:eastAsia="zh-CN"/>
        </w:rPr>
        <w:t>无极县住房和城乡建设局对无极县2022年老旧小区建筑主体改造项目绩效目标是实施老旧小区改造</w:t>
      </w:r>
      <w:r>
        <w:rPr>
          <w:rFonts w:hint="eastAsia" w:ascii="楷体" w:hAnsi="楷体" w:eastAsia="楷体" w:cs="楷体"/>
          <w:sz w:val="28"/>
          <w:szCs w:val="28"/>
          <w:lang w:val="en-US" w:eastAsia="zh-CN"/>
        </w:rPr>
        <w:t>27个，包括主楼及小房屋面防水，主楼及小房外墙粉刷，楼梯间内墙及地下室粉刷，更换公共区域门窗，更换小房门窗，垃圾道封堵，楼道内扶手更换，楼道内栏杆除锈、刷漆，更换单元门及增加门禁系统，增加楼号牌，单元号牌，增加空调外机罩等，通过该项目的实施，切实改善居民住房条件和居住环境</w:t>
      </w:r>
      <w:r>
        <w:rPr>
          <w:rFonts w:hint="eastAsia" w:ascii="楷体" w:hAnsi="楷体" w:eastAsia="楷体" w:cs="楷体"/>
          <w:sz w:val="28"/>
          <w:szCs w:val="28"/>
        </w:rPr>
        <w:t>。</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0"/>
        <w:rPr>
          <w:rFonts w:hint="eastAsia" w:ascii="楷体" w:hAnsi="楷体" w:eastAsia="楷体" w:cs="楷体"/>
          <w:sz w:val="28"/>
          <w:szCs w:val="28"/>
        </w:rPr>
      </w:pPr>
      <w:bookmarkStart w:id="3" w:name="_Toc30537"/>
      <w:r>
        <w:rPr>
          <w:rFonts w:hint="eastAsia" w:ascii="楷体" w:hAnsi="楷体" w:eastAsia="楷体" w:cs="楷体"/>
          <w:sz w:val="28"/>
          <w:szCs w:val="28"/>
        </w:rPr>
        <w:t>二、绩效工作组织实施</w:t>
      </w:r>
      <w:bookmarkEnd w:id="3"/>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1"/>
        <w:rPr>
          <w:rFonts w:hint="eastAsia" w:ascii="楷体" w:hAnsi="楷体" w:eastAsia="楷体" w:cs="楷体"/>
          <w:sz w:val="28"/>
          <w:szCs w:val="28"/>
        </w:rPr>
      </w:pPr>
      <w:bookmarkStart w:id="4" w:name="_Toc4080"/>
      <w:r>
        <w:rPr>
          <w:rFonts w:hint="eastAsia" w:ascii="楷体" w:hAnsi="楷体" w:eastAsia="楷体" w:cs="楷体"/>
          <w:sz w:val="28"/>
          <w:szCs w:val="28"/>
        </w:rPr>
        <w:t>（一）评价目的</w:t>
      </w:r>
      <w:bookmarkEnd w:id="4"/>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rPr>
      </w:pPr>
      <w:r>
        <w:rPr>
          <w:rFonts w:hint="eastAsia" w:ascii="楷体" w:hAnsi="楷体" w:eastAsia="楷体" w:cs="楷体"/>
          <w:sz w:val="28"/>
          <w:szCs w:val="28"/>
        </w:rPr>
        <w:t>一是加强预算绩效管理，强化支出责任，提高财政资金使用效益；二是进一步总结和分析财政资金支出效果，了解、分析、检验资金使用是否达到预期目标，资金管理是否规范，资金使用是否有效，考核财政支出效率和综合效果；三是通过绩效评价，促进项目单位发现问题、总结经验、改进工作，进一步加强项目管理，提高预算绩效质量水平；四是为今后财政部门相关项目的资金拨付提供参考依据。</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1"/>
        <w:rPr>
          <w:rFonts w:hint="eastAsia" w:ascii="楷体" w:hAnsi="楷体" w:eastAsia="楷体" w:cs="楷体"/>
          <w:sz w:val="28"/>
          <w:szCs w:val="28"/>
        </w:rPr>
      </w:pPr>
      <w:bookmarkStart w:id="5" w:name="_Toc25091"/>
      <w:r>
        <w:rPr>
          <w:rFonts w:hint="eastAsia" w:ascii="楷体" w:hAnsi="楷体" w:eastAsia="楷体" w:cs="楷体"/>
          <w:sz w:val="28"/>
          <w:szCs w:val="28"/>
        </w:rPr>
        <w:t>（二）组织工作</w:t>
      </w:r>
      <w:bookmarkEnd w:id="5"/>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rPr>
      </w:pPr>
      <w:r>
        <w:rPr>
          <w:rFonts w:hint="eastAsia" w:ascii="楷体" w:hAnsi="楷体" w:eastAsia="楷体" w:cs="楷体"/>
          <w:sz w:val="28"/>
          <w:szCs w:val="28"/>
        </w:rPr>
        <w:t>无极县财政局高度重视此次绩效评价工作，严格按照绩效评价工作流程，组织实施本项工作。此次绩效评价按照相关通知要求，成立绩效评价小组。评价组事先制定了评价方案，明确了评价内容、评价程序及时间安排，并召开专题会议，要求被评价单位提前准备相关资料，积极配合做好绩效评价工作。</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1"/>
        <w:rPr>
          <w:rFonts w:hint="eastAsia" w:ascii="楷体" w:hAnsi="楷体" w:eastAsia="楷体" w:cs="楷体"/>
          <w:sz w:val="28"/>
          <w:szCs w:val="28"/>
        </w:rPr>
      </w:pPr>
      <w:bookmarkStart w:id="6" w:name="_Toc28963"/>
      <w:r>
        <w:rPr>
          <w:rFonts w:hint="eastAsia" w:ascii="楷体" w:hAnsi="楷体" w:eastAsia="楷体" w:cs="楷体"/>
          <w:sz w:val="28"/>
          <w:szCs w:val="28"/>
        </w:rPr>
        <w:t>（三）评价方法和过程</w:t>
      </w:r>
      <w:bookmarkEnd w:id="6"/>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rPr>
      </w:pPr>
      <w:r>
        <w:rPr>
          <w:rFonts w:hint="eastAsia" w:ascii="楷体" w:hAnsi="楷体" w:eastAsia="楷体" w:cs="楷体"/>
          <w:sz w:val="28"/>
          <w:szCs w:val="28"/>
        </w:rPr>
        <w:t>本次绩效评价采用因素分析法和公众评判法，对预期目标进行定性和定量分析，并对支出效益和效果进行考核。具体过程如下：一是深入项目实施单位了解</w:t>
      </w:r>
      <w:r>
        <w:rPr>
          <w:rFonts w:hint="eastAsia" w:ascii="楷体" w:hAnsi="楷体" w:eastAsia="楷体" w:cs="楷体"/>
          <w:sz w:val="28"/>
          <w:szCs w:val="28"/>
          <w:lang w:eastAsia="zh-CN"/>
        </w:rPr>
        <w:t>无极县2022年老旧小区建筑主体改造项目</w:t>
      </w:r>
      <w:r>
        <w:rPr>
          <w:rFonts w:hint="eastAsia" w:ascii="楷体" w:hAnsi="楷体" w:eastAsia="楷体" w:cs="楷体"/>
          <w:sz w:val="28"/>
          <w:szCs w:val="28"/>
        </w:rPr>
        <w:t>立项背景、项目概况等信息，梳理出绩效评价指标；二是整理并查阅项目相关政策文件、项目资料、财务资料，深入现场，核查资金收支情况，了解项目实施的效果；三是根据绩效指标评分表逐项进行打分，撰写评价报告初稿，与项目单位</w:t>
      </w:r>
      <w:r>
        <w:rPr>
          <w:rFonts w:hint="eastAsia" w:ascii="楷体" w:hAnsi="楷体" w:eastAsia="楷体" w:cs="楷体"/>
          <w:sz w:val="28"/>
          <w:szCs w:val="28"/>
          <w:lang w:eastAsia="zh-CN"/>
        </w:rPr>
        <w:t>无极县住房和城乡建设局</w:t>
      </w:r>
      <w:r>
        <w:rPr>
          <w:rFonts w:hint="eastAsia" w:ascii="楷体" w:hAnsi="楷体" w:eastAsia="楷体" w:cs="楷体"/>
          <w:sz w:val="28"/>
          <w:szCs w:val="28"/>
        </w:rPr>
        <w:t>交换意见后，形成绩效评价报告。</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1"/>
        <w:rPr>
          <w:rFonts w:hint="eastAsia" w:ascii="楷体" w:hAnsi="楷体" w:eastAsia="楷体" w:cs="楷体"/>
          <w:sz w:val="28"/>
          <w:szCs w:val="28"/>
        </w:rPr>
      </w:pPr>
      <w:bookmarkStart w:id="7" w:name="_Toc26473"/>
      <w:r>
        <w:rPr>
          <w:rFonts w:hint="eastAsia" w:ascii="楷体" w:hAnsi="楷体" w:eastAsia="楷体" w:cs="楷体"/>
          <w:sz w:val="28"/>
          <w:szCs w:val="28"/>
        </w:rPr>
        <w:t>（四）评价依据</w:t>
      </w:r>
      <w:bookmarkEnd w:id="7"/>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1、《</w:t>
      </w:r>
      <w:r>
        <w:rPr>
          <w:rFonts w:hint="eastAsia" w:ascii="楷体" w:hAnsi="楷体" w:eastAsia="楷体" w:cs="楷体"/>
          <w:sz w:val="28"/>
          <w:szCs w:val="28"/>
          <w:lang w:eastAsia="zh-CN"/>
        </w:rPr>
        <w:t>中华人民共和国城乡规划法</w:t>
      </w:r>
      <w:r>
        <w:rPr>
          <w:rFonts w:hint="eastAsia" w:ascii="楷体" w:hAnsi="楷体" w:eastAsia="楷体" w:cs="楷体"/>
          <w:sz w:val="28"/>
          <w:szCs w:val="28"/>
        </w:rPr>
        <w:t>》；</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2、《中共中央国务院关于全面实施预算绩效管理的意见》（中发〔2018〕34号）；</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3、</w:t>
      </w:r>
      <w:r>
        <w:rPr>
          <w:rFonts w:hint="eastAsia" w:ascii="楷体" w:hAnsi="楷体" w:eastAsia="楷体" w:cs="楷体"/>
          <w:sz w:val="28"/>
          <w:szCs w:val="28"/>
          <w:lang w:eastAsia="zh-CN"/>
        </w:rPr>
        <w:t>无极县财政局</w:t>
      </w:r>
      <w:r>
        <w:rPr>
          <w:rFonts w:hint="eastAsia" w:ascii="楷体" w:hAnsi="楷体" w:eastAsia="楷体" w:cs="楷体"/>
          <w:sz w:val="28"/>
          <w:szCs w:val="28"/>
        </w:rPr>
        <w:t>《关于印发＜</w:t>
      </w:r>
      <w:r>
        <w:rPr>
          <w:rFonts w:hint="eastAsia" w:ascii="楷体" w:hAnsi="楷体" w:eastAsia="楷体" w:cs="楷体"/>
          <w:sz w:val="28"/>
          <w:szCs w:val="28"/>
          <w:lang w:eastAsia="zh-CN"/>
        </w:rPr>
        <w:t>无极县县级预算绩效重点评价管理办法</w:t>
      </w:r>
      <w:r>
        <w:rPr>
          <w:rFonts w:hint="eastAsia" w:ascii="楷体" w:hAnsi="楷体" w:eastAsia="楷体" w:cs="楷体"/>
          <w:sz w:val="28"/>
          <w:szCs w:val="28"/>
        </w:rPr>
        <w:t>＞的通知》（</w:t>
      </w:r>
      <w:r>
        <w:rPr>
          <w:rFonts w:hint="eastAsia" w:ascii="楷体" w:hAnsi="楷体" w:eastAsia="楷体" w:cs="楷体"/>
          <w:sz w:val="28"/>
          <w:szCs w:val="28"/>
          <w:lang w:eastAsia="zh-CN"/>
        </w:rPr>
        <w:t>无财</w:t>
      </w:r>
      <w:r>
        <w:rPr>
          <w:rFonts w:hint="eastAsia" w:ascii="楷体" w:hAnsi="楷体" w:eastAsia="楷体" w:cs="楷体"/>
          <w:sz w:val="28"/>
          <w:szCs w:val="28"/>
        </w:rPr>
        <w:t>〔2020〕</w:t>
      </w:r>
      <w:r>
        <w:rPr>
          <w:rFonts w:hint="eastAsia" w:ascii="楷体" w:hAnsi="楷体" w:eastAsia="楷体" w:cs="楷体"/>
          <w:sz w:val="28"/>
          <w:szCs w:val="28"/>
          <w:lang w:val="en-US" w:eastAsia="zh-CN"/>
        </w:rPr>
        <w:t>11</w:t>
      </w:r>
      <w:r>
        <w:rPr>
          <w:rFonts w:hint="eastAsia" w:ascii="楷体" w:hAnsi="楷体" w:eastAsia="楷体" w:cs="楷体"/>
          <w:sz w:val="28"/>
          <w:szCs w:val="28"/>
        </w:rPr>
        <w:t>号）；</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4、《</w:t>
      </w:r>
      <w:r>
        <w:rPr>
          <w:rFonts w:hint="eastAsia" w:ascii="楷体" w:hAnsi="楷体" w:eastAsia="楷体" w:cs="楷体"/>
          <w:sz w:val="28"/>
          <w:szCs w:val="28"/>
          <w:highlight w:val="none"/>
        </w:rPr>
        <w:t>国务院办公厅关于</w:t>
      </w:r>
      <w:r>
        <w:rPr>
          <w:rFonts w:hint="eastAsia" w:ascii="楷体" w:hAnsi="楷体" w:eastAsia="楷体" w:cs="楷体"/>
          <w:sz w:val="28"/>
          <w:szCs w:val="28"/>
          <w:highlight w:val="none"/>
          <w:lang w:eastAsia="zh-CN"/>
        </w:rPr>
        <w:t>全面推进城镇老旧小区改造工作的指导意见</w:t>
      </w:r>
      <w:r>
        <w:rPr>
          <w:rFonts w:hint="eastAsia" w:ascii="楷体" w:hAnsi="楷体" w:eastAsia="楷体" w:cs="楷体"/>
          <w:sz w:val="28"/>
          <w:szCs w:val="28"/>
          <w:highlight w:val="none"/>
        </w:rPr>
        <w:t>》</w:t>
      </w:r>
      <w:r>
        <w:rPr>
          <w:rFonts w:hint="eastAsia" w:ascii="楷体" w:hAnsi="楷体" w:eastAsia="楷体" w:cs="楷体"/>
          <w:sz w:val="28"/>
          <w:szCs w:val="28"/>
        </w:rPr>
        <w:t>（国</w:t>
      </w:r>
      <w:r>
        <w:rPr>
          <w:rFonts w:hint="eastAsia" w:ascii="楷体" w:hAnsi="楷体" w:eastAsia="楷体" w:cs="楷体"/>
          <w:sz w:val="28"/>
          <w:szCs w:val="28"/>
          <w:lang w:eastAsia="zh-CN"/>
        </w:rPr>
        <w:t>办发</w:t>
      </w:r>
      <w:r>
        <w:rPr>
          <w:rFonts w:hint="eastAsia" w:ascii="楷体" w:hAnsi="楷体" w:eastAsia="楷体" w:cs="楷体"/>
          <w:sz w:val="28"/>
          <w:szCs w:val="28"/>
        </w:rPr>
        <w:t>〔</w:t>
      </w:r>
      <w:r>
        <w:rPr>
          <w:rFonts w:hint="eastAsia" w:ascii="楷体" w:hAnsi="楷体" w:eastAsia="楷体" w:cs="楷体"/>
          <w:sz w:val="28"/>
          <w:szCs w:val="28"/>
          <w:lang w:val="en-US" w:eastAsia="zh-CN"/>
        </w:rPr>
        <w:t>2020</w:t>
      </w:r>
      <w:r>
        <w:rPr>
          <w:rFonts w:hint="eastAsia" w:ascii="楷体" w:hAnsi="楷体" w:eastAsia="楷体" w:cs="楷体"/>
          <w:sz w:val="28"/>
          <w:szCs w:val="28"/>
        </w:rPr>
        <w:t>〕</w:t>
      </w:r>
      <w:r>
        <w:rPr>
          <w:rFonts w:hint="eastAsia" w:ascii="楷体" w:hAnsi="楷体" w:eastAsia="楷体" w:cs="楷体"/>
          <w:sz w:val="28"/>
          <w:szCs w:val="28"/>
          <w:lang w:val="en-US" w:eastAsia="zh-CN"/>
        </w:rPr>
        <w:t>23</w:t>
      </w:r>
      <w:r>
        <w:rPr>
          <w:rFonts w:hint="eastAsia" w:ascii="楷体" w:hAnsi="楷体" w:eastAsia="楷体" w:cs="楷体"/>
          <w:sz w:val="28"/>
          <w:szCs w:val="28"/>
        </w:rPr>
        <w:t>号）；</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lang w:val="en-US" w:eastAsia="zh-CN"/>
        </w:rPr>
      </w:pPr>
      <w:r>
        <w:rPr>
          <w:rFonts w:hint="eastAsia" w:ascii="楷体" w:hAnsi="楷体" w:eastAsia="楷体" w:cs="楷体"/>
          <w:sz w:val="28"/>
          <w:szCs w:val="28"/>
        </w:rPr>
        <w:t>5、</w:t>
      </w:r>
      <w:r>
        <w:rPr>
          <w:rFonts w:hint="eastAsia" w:ascii="楷体" w:hAnsi="楷体" w:eastAsia="楷体" w:cs="楷体"/>
          <w:sz w:val="28"/>
          <w:szCs w:val="28"/>
          <w:lang w:eastAsia="zh-CN"/>
        </w:rPr>
        <w:t>河北省财政厅</w:t>
      </w:r>
      <w:r>
        <w:rPr>
          <w:rFonts w:hint="eastAsia" w:ascii="楷体" w:hAnsi="楷体" w:eastAsia="楷体" w:cs="楷体"/>
          <w:sz w:val="28"/>
          <w:szCs w:val="28"/>
          <w:lang w:val="en-US" w:eastAsia="zh-CN"/>
        </w:rPr>
        <w:t xml:space="preserve"> 河北省住房和城乡建设厅关于下达2022年中央财政城镇保障性安居工程补助资金预算的通知（冀财综[2022]29号）</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6、</w:t>
      </w:r>
      <w:r>
        <w:rPr>
          <w:rFonts w:hint="eastAsia" w:ascii="楷体" w:hAnsi="楷体" w:eastAsia="楷体" w:cs="楷体"/>
          <w:sz w:val="28"/>
          <w:szCs w:val="28"/>
          <w:lang w:eastAsia="zh-CN"/>
        </w:rPr>
        <w:t>石家庄市人民政府办公室关于全面推进城镇老旧小区改造工作的实施意见（石政办函【</w:t>
      </w:r>
      <w:r>
        <w:rPr>
          <w:rFonts w:hint="eastAsia" w:ascii="楷体" w:hAnsi="楷体" w:eastAsia="楷体" w:cs="楷体"/>
          <w:sz w:val="28"/>
          <w:szCs w:val="28"/>
          <w:lang w:val="en-US" w:eastAsia="zh-CN"/>
        </w:rPr>
        <w:t>2020】49号）</w:t>
      </w:r>
      <w:r>
        <w:rPr>
          <w:rFonts w:hint="eastAsia" w:ascii="楷体" w:hAnsi="楷体" w:eastAsia="楷体" w:cs="楷体"/>
          <w:sz w:val="28"/>
          <w:szCs w:val="28"/>
        </w:rPr>
        <w:t>；</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7、</w:t>
      </w:r>
      <w:r>
        <w:rPr>
          <w:rFonts w:hint="eastAsia" w:ascii="楷体" w:hAnsi="楷体" w:eastAsia="楷体" w:cs="楷体"/>
          <w:sz w:val="28"/>
          <w:szCs w:val="28"/>
          <w:lang w:eastAsia="zh-CN"/>
        </w:rPr>
        <w:t>无极县人民政府办公室关于印发</w:t>
      </w:r>
      <w:r>
        <w:rPr>
          <w:rFonts w:hint="eastAsia" w:ascii="楷体" w:hAnsi="楷体" w:eastAsia="楷体" w:cs="楷体"/>
          <w:sz w:val="28"/>
          <w:szCs w:val="28"/>
        </w:rPr>
        <w:t>《</w:t>
      </w:r>
      <w:r>
        <w:rPr>
          <w:rFonts w:hint="eastAsia" w:ascii="楷体" w:hAnsi="楷体" w:eastAsia="楷体" w:cs="楷体"/>
          <w:sz w:val="28"/>
          <w:szCs w:val="28"/>
          <w:lang w:eastAsia="zh-CN"/>
        </w:rPr>
        <w:t>关于全面推进城镇老旧小区改造工作的实施方案</w:t>
      </w:r>
      <w:r>
        <w:rPr>
          <w:rFonts w:hint="eastAsia" w:ascii="楷体" w:hAnsi="楷体" w:eastAsia="楷体" w:cs="楷体"/>
          <w:sz w:val="28"/>
          <w:szCs w:val="28"/>
        </w:rPr>
        <w:t>》</w:t>
      </w:r>
      <w:r>
        <w:rPr>
          <w:rFonts w:hint="eastAsia" w:ascii="楷体" w:hAnsi="楷体" w:eastAsia="楷体" w:cs="楷体"/>
          <w:sz w:val="28"/>
          <w:szCs w:val="28"/>
          <w:lang w:eastAsia="zh-CN"/>
        </w:rPr>
        <w:t>的通知</w:t>
      </w:r>
      <w:r>
        <w:rPr>
          <w:rFonts w:hint="eastAsia" w:ascii="楷体" w:hAnsi="楷体" w:eastAsia="楷体" w:cs="楷体"/>
          <w:sz w:val="28"/>
          <w:szCs w:val="28"/>
        </w:rPr>
        <w:t>；</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8、其他相关法律法规。</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1"/>
        <w:rPr>
          <w:rFonts w:hint="eastAsia" w:ascii="楷体" w:hAnsi="楷体" w:eastAsia="楷体" w:cs="楷体"/>
          <w:sz w:val="28"/>
          <w:szCs w:val="28"/>
        </w:rPr>
      </w:pPr>
      <w:bookmarkStart w:id="8" w:name="_Toc16024"/>
      <w:r>
        <w:rPr>
          <w:rFonts w:hint="eastAsia" w:ascii="楷体" w:hAnsi="楷体" w:eastAsia="楷体" w:cs="楷体"/>
          <w:sz w:val="28"/>
          <w:szCs w:val="28"/>
        </w:rPr>
        <w:t>（五）评价指标体系</w:t>
      </w:r>
      <w:bookmarkEnd w:id="8"/>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rPr>
      </w:pPr>
      <w:r>
        <w:rPr>
          <w:rFonts w:hint="eastAsia" w:ascii="楷体" w:hAnsi="楷体" w:eastAsia="楷体" w:cs="楷体"/>
          <w:sz w:val="28"/>
          <w:szCs w:val="28"/>
        </w:rPr>
        <w:t>该项目指标体系依据《项目支出绩效评价管理办法》（财预〔2020〕10号）进行指标细化和分值设定，绩效指标评价总分设定为100分。一级指标共设4个，包括项目决策15分、项目过程15分、项目产出40分、项目效益30分，详见下表：</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bl>
      <w:tblPr>
        <w:tblStyle w:val="7"/>
        <w:tblW w:w="83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2074"/>
        <w:gridCol w:w="3031"/>
        <w:gridCol w:w="32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0" w:hRule="atLeast"/>
          <w:jc w:val="center"/>
        </w:trPr>
        <w:tc>
          <w:tcPr>
            <w:tcW w:w="2074"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一级指标</w:t>
            </w:r>
          </w:p>
        </w:tc>
        <w:tc>
          <w:tcPr>
            <w:tcW w:w="3031"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二级指标</w:t>
            </w:r>
          </w:p>
        </w:tc>
        <w:tc>
          <w:tcPr>
            <w:tcW w:w="3255"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三级指标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00" w:hRule="atLeast"/>
          <w:jc w:val="center"/>
        </w:trPr>
        <w:tc>
          <w:tcPr>
            <w:tcW w:w="2074" w:type="dxa"/>
            <w:vMerge w:val="restart"/>
            <w:vAlign w:val="top"/>
          </w:tcPr>
          <w:p>
            <w:pPr>
              <w:keepNext w:val="0"/>
              <w:keepLines w:val="0"/>
              <w:pageBreakBefore w:val="0"/>
              <w:widowControl w:val="0"/>
              <w:kinsoku/>
              <w:wordWrap/>
              <w:overflowPunct/>
              <w:topLinePunct w:val="0"/>
              <w:autoSpaceDE/>
              <w:autoSpaceDN/>
              <w:bidi w:val="0"/>
              <w:adjustRightInd/>
              <w:snapToGrid/>
              <w:spacing w:before="1230"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项目决策</w:t>
            </w:r>
          </w:p>
          <w:p>
            <w:pPr>
              <w:keepNext w:val="0"/>
              <w:keepLines w:val="0"/>
              <w:pageBreakBefore w:val="0"/>
              <w:widowControl w:val="0"/>
              <w:kinsoku/>
              <w:wordWrap/>
              <w:overflowPunct/>
              <w:topLinePunct w:val="0"/>
              <w:autoSpaceDE/>
              <w:autoSpaceDN/>
              <w:bidi w:val="0"/>
              <w:adjustRightInd/>
              <w:snapToGrid/>
              <w:spacing w:before="130"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（15分）</w:t>
            </w:r>
          </w:p>
        </w:tc>
        <w:tc>
          <w:tcPr>
            <w:tcW w:w="3031" w:type="dxa"/>
            <w:vMerge w:val="restar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项目立项（4分）</w:t>
            </w:r>
          </w:p>
        </w:tc>
        <w:tc>
          <w:tcPr>
            <w:tcW w:w="3255"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立项依据充分性（2分）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30" w:hRule="atLeast"/>
          <w:jc w:val="center"/>
        </w:trPr>
        <w:tc>
          <w:tcPr>
            <w:tcW w:w="2074"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3031"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3255"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立项程序规范性（2分）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70" w:hRule="atLeast"/>
          <w:jc w:val="center"/>
        </w:trPr>
        <w:tc>
          <w:tcPr>
            <w:tcW w:w="2074"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3031" w:type="dxa"/>
            <w:vMerge w:val="restar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绩效目标（5分）</w:t>
            </w:r>
          </w:p>
        </w:tc>
        <w:tc>
          <w:tcPr>
            <w:tcW w:w="3255"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绩效目标合理性（2分）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70" w:hRule="atLeast"/>
          <w:jc w:val="center"/>
        </w:trPr>
        <w:tc>
          <w:tcPr>
            <w:tcW w:w="2074"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3031"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3255"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绩效目标明确性（3分）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10" w:hRule="atLeast"/>
          <w:jc w:val="center"/>
        </w:trPr>
        <w:tc>
          <w:tcPr>
            <w:tcW w:w="2074"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3031" w:type="dxa"/>
            <w:vMerge w:val="restar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资金投入（6分）</w:t>
            </w:r>
          </w:p>
        </w:tc>
        <w:tc>
          <w:tcPr>
            <w:tcW w:w="3255"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预算编制科学性（4分）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40" w:hRule="atLeast"/>
          <w:jc w:val="center"/>
        </w:trPr>
        <w:tc>
          <w:tcPr>
            <w:tcW w:w="2074"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3031"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3255"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资金分配合理性（2分）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40" w:hRule="atLeast"/>
          <w:jc w:val="center"/>
        </w:trPr>
        <w:tc>
          <w:tcPr>
            <w:tcW w:w="2074" w:type="dxa"/>
            <w:vMerge w:val="restart"/>
            <w:vAlign w:val="top"/>
          </w:tcPr>
          <w:p>
            <w:pPr>
              <w:keepNext w:val="0"/>
              <w:keepLines w:val="0"/>
              <w:pageBreakBefore w:val="0"/>
              <w:widowControl w:val="0"/>
              <w:kinsoku/>
              <w:wordWrap/>
              <w:overflowPunct/>
              <w:topLinePunct w:val="0"/>
              <w:autoSpaceDE/>
              <w:autoSpaceDN/>
              <w:bidi w:val="0"/>
              <w:adjustRightInd/>
              <w:snapToGrid/>
              <w:spacing w:before="935"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项目过程</w:t>
            </w:r>
          </w:p>
          <w:p>
            <w:pPr>
              <w:keepNext w:val="0"/>
              <w:keepLines w:val="0"/>
              <w:pageBreakBefore w:val="0"/>
              <w:widowControl w:val="0"/>
              <w:kinsoku/>
              <w:wordWrap/>
              <w:overflowPunct/>
              <w:topLinePunct w:val="0"/>
              <w:autoSpaceDE/>
              <w:autoSpaceDN/>
              <w:bidi w:val="0"/>
              <w:adjustRightInd/>
              <w:snapToGrid/>
              <w:spacing w:before="147"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（15分）</w:t>
            </w:r>
          </w:p>
        </w:tc>
        <w:tc>
          <w:tcPr>
            <w:tcW w:w="3031" w:type="dxa"/>
            <w:vMerge w:val="restart"/>
            <w:vAlign w:val="center"/>
          </w:tcPr>
          <w:p>
            <w:pPr>
              <w:keepNext w:val="0"/>
              <w:keepLines w:val="0"/>
              <w:pageBreakBefore w:val="0"/>
              <w:widowControl w:val="0"/>
              <w:kinsoku/>
              <w:wordWrap/>
              <w:overflowPunct/>
              <w:topLinePunct w:val="0"/>
              <w:autoSpaceDE/>
              <w:autoSpaceDN/>
              <w:bidi w:val="0"/>
              <w:adjustRightInd/>
              <w:snapToGrid/>
              <w:spacing w:before="653"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资金管理（10分）</w:t>
            </w:r>
          </w:p>
        </w:tc>
        <w:tc>
          <w:tcPr>
            <w:tcW w:w="3255"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资金到位率（3分）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55" w:hRule="atLeast"/>
          <w:jc w:val="center"/>
        </w:trPr>
        <w:tc>
          <w:tcPr>
            <w:tcW w:w="2074"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3031"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3255"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预算执行率（3分）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65" w:hRule="atLeast"/>
          <w:jc w:val="center"/>
        </w:trPr>
        <w:tc>
          <w:tcPr>
            <w:tcW w:w="2074"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3031"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3255"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资金使用合规性（4分）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85" w:hRule="atLeast"/>
          <w:jc w:val="center"/>
        </w:trPr>
        <w:tc>
          <w:tcPr>
            <w:tcW w:w="2074"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3031" w:type="dxa"/>
            <w:vMerge w:val="restart"/>
            <w:vAlign w:val="center"/>
          </w:tcPr>
          <w:p>
            <w:pPr>
              <w:keepNext w:val="0"/>
              <w:keepLines w:val="0"/>
              <w:pageBreakBefore w:val="0"/>
              <w:widowControl w:val="0"/>
              <w:kinsoku/>
              <w:wordWrap/>
              <w:overflowPunct/>
              <w:topLinePunct w:val="0"/>
              <w:autoSpaceDE/>
              <w:autoSpaceDN/>
              <w:bidi w:val="0"/>
              <w:adjustRightInd/>
              <w:snapToGrid/>
              <w:spacing w:before="385"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组织实施（5分）</w:t>
            </w:r>
          </w:p>
        </w:tc>
        <w:tc>
          <w:tcPr>
            <w:tcW w:w="3255"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管理制度健全性（2分）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55" w:hRule="atLeast"/>
          <w:jc w:val="center"/>
        </w:trPr>
        <w:tc>
          <w:tcPr>
            <w:tcW w:w="2074"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3031"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3255"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制度执行有效性（3分）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10" w:hRule="atLeast"/>
          <w:jc w:val="center"/>
        </w:trPr>
        <w:tc>
          <w:tcPr>
            <w:tcW w:w="2074" w:type="dxa"/>
            <w:vMerge w:val="restart"/>
            <w:vAlign w:val="top"/>
          </w:tcPr>
          <w:p>
            <w:pPr>
              <w:keepNext w:val="0"/>
              <w:keepLines w:val="0"/>
              <w:pageBreakBefore w:val="0"/>
              <w:widowControl w:val="0"/>
              <w:kinsoku/>
              <w:wordWrap/>
              <w:overflowPunct/>
              <w:topLinePunct w:val="0"/>
              <w:autoSpaceDE/>
              <w:autoSpaceDN/>
              <w:bidi w:val="0"/>
              <w:adjustRightInd/>
              <w:snapToGrid/>
              <w:spacing w:before="1141"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项目产出</w:t>
            </w:r>
          </w:p>
          <w:p>
            <w:pPr>
              <w:keepNext w:val="0"/>
              <w:keepLines w:val="0"/>
              <w:pageBreakBefore w:val="0"/>
              <w:widowControl w:val="0"/>
              <w:kinsoku/>
              <w:wordWrap/>
              <w:overflowPunct/>
              <w:topLinePunct w:val="0"/>
              <w:autoSpaceDE/>
              <w:autoSpaceDN/>
              <w:bidi w:val="0"/>
              <w:adjustRightInd/>
              <w:snapToGrid/>
              <w:spacing w:before="127"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（40分）</w:t>
            </w:r>
          </w:p>
        </w:tc>
        <w:tc>
          <w:tcPr>
            <w:tcW w:w="3031"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产出数量（10分）</w:t>
            </w:r>
          </w:p>
        </w:tc>
        <w:tc>
          <w:tcPr>
            <w:tcW w:w="3255"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实际完成率（10分）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65" w:hRule="atLeast"/>
          <w:jc w:val="center"/>
        </w:trPr>
        <w:tc>
          <w:tcPr>
            <w:tcW w:w="2074"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3031"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产出质量（10分）</w:t>
            </w:r>
          </w:p>
        </w:tc>
        <w:tc>
          <w:tcPr>
            <w:tcW w:w="3255"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lang w:eastAsia="zh-CN"/>
              </w:rPr>
              <w:t>工程质量、安全符合标准</w:t>
            </w:r>
            <w:r>
              <w:rPr>
                <w:rFonts w:hint="eastAsia" w:ascii="楷体" w:hAnsi="楷体" w:eastAsia="楷体" w:cs="楷体"/>
                <w:color w:val="000000"/>
                <w:sz w:val="28"/>
                <w:szCs w:val="28"/>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80" w:hRule="atLeast"/>
          <w:jc w:val="center"/>
        </w:trPr>
        <w:tc>
          <w:tcPr>
            <w:tcW w:w="2074"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3031" w:type="dxa"/>
            <w:vMerge w:val="restar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产出时效（10分）</w:t>
            </w:r>
          </w:p>
        </w:tc>
        <w:tc>
          <w:tcPr>
            <w:tcW w:w="3255"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lang w:eastAsia="zh-CN"/>
              </w:rPr>
              <w:t>开工</w:t>
            </w:r>
            <w:r>
              <w:rPr>
                <w:rFonts w:hint="eastAsia" w:ascii="楷体" w:hAnsi="楷体" w:eastAsia="楷体" w:cs="楷体"/>
                <w:color w:val="000000"/>
                <w:sz w:val="28"/>
                <w:szCs w:val="28"/>
              </w:rPr>
              <w:t>及时性（5分）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25" w:hRule="atLeast"/>
          <w:jc w:val="center"/>
        </w:trPr>
        <w:tc>
          <w:tcPr>
            <w:tcW w:w="2074"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3031"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3255"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lang w:eastAsia="zh-CN"/>
              </w:rPr>
              <w:t>竣工</w:t>
            </w:r>
            <w:r>
              <w:rPr>
                <w:rFonts w:hint="eastAsia" w:ascii="楷体" w:hAnsi="楷体" w:eastAsia="楷体" w:cs="楷体"/>
                <w:color w:val="000000"/>
                <w:sz w:val="28"/>
                <w:szCs w:val="28"/>
              </w:rPr>
              <w:t>及时性（5分）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30" w:hRule="atLeast"/>
          <w:jc w:val="center"/>
        </w:trPr>
        <w:tc>
          <w:tcPr>
            <w:tcW w:w="2074"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3031"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产出成本（10分）</w:t>
            </w:r>
          </w:p>
        </w:tc>
        <w:tc>
          <w:tcPr>
            <w:tcW w:w="3255"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highlight w:val="none"/>
                <w:lang w:eastAsia="zh-CN"/>
              </w:rPr>
              <w:t>积极落实配套资金</w:t>
            </w:r>
            <w:r>
              <w:rPr>
                <w:rFonts w:hint="eastAsia" w:ascii="楷体" w:hAnsi="楷体" w:eastAsia="楷体" w:cs="楷体"/>
                <w:color w:val="000000"/>
                <w:sz w:val="28"/>
                <w:szCs w:val="28"/>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0" w:hRule="atLeast"/>
          <w:jc w:val="center"/>
        </w:trPr>
        <w:tc>
          <w:tcPr>
            <w:tcW w:w="2074" w:type="dxa"/>
            <w:vMerge w:val="restart"/>
            <w:vAlign w:val="top"/>
          </w:tcPr>
          <w:p>
            <w:pPr>
              <w:keepNext w:val="0"/>
              <w:keepLines w:val="0"/>
              <w:pageBreakBefore w:val="0"/>
              <w:widowControl w:val="0"/>
              <w:kinsoku/>
              <w:wordWrap/>
              <w:overflowPunct/>
              <w:topLinePunct w:val="0"/>
              <w:autoSpaceDE/>
              <w:autoSpaceDN/>
              <w:bidi w:val="0"/>
              <w:adjustRightInd/>
              <w:snapToGrid/>
              <w:spacing w:before="1218"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项目效益</w:t>
            </w:r>
          </w:p>
          <w:p>
            <w:pPr>
              <w:keepNext w:val="0"/>
              <w:keepLines w:val="0"/>
              <w:pageBreakBefore w:val="0"/>
              <w:widowControl w:val="0"/>
              <w:kinsoku/>
              <w:wordWrap/>
              <w:overflowPunct/>
              <w:topLinePunct w:val="0"/>
              <w:autoSpaceDE/>
              <w:autoSpaceDN/>
              <w:bidi w:val="0"/>
              <w:adjustRightInd/>
              <w:snapToGrid/>
              <w:spacing w:before="136"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（30分）</w:t>
            </w:r>
          </w:p>
        </w:tc>
        <w:tc>
          <w:tcPr>
            <w:tcW w:w="3031"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color w:val="000000"/>
                <w:sz w:val="28"/>
                <w:szCs w:val="28"/>
              </w:rPr>
            </w:pPr>
            <w:r>
              <w:rPr>
                <w:rFonts w:hint="eastAsia" w:ascii="楷体" w:hAnsi="楷体" w:eastAsia="楷体" w:cs="楷体"/>
                <w:color w:val="000000"/>
                <w:sz w:val="28"/>
                <w:szCs w:val="28"/>
              </w:rPr>
              <w:t>社会效益（10分）</w:t>
            </w:r>
          </w:p>
        </w:tc>
        <w:tc>
          <w:tcPr>
            <w:tcW w:w="3255" w:type="dxa"/>
            <w:vAlign w:val="top"/>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color w:val="000000"/>
                <w:sz w:val="28"/>
                <w:szCs w:val="28"/>
              </w:rPr>
            </w:pPr>
            <w:r>
              <w:rPr>
                <w:rFonts w:hint="eastAsia" w:ascii="楷体" w:hAnsi="楷体" w:eastAsia="楷体" w:cs="楷体"/>
                <w:color w:val="000000"/>
                <w:sz w:val="28"/>
                <w:szCs w:val="28"/>
                <w:lang w:eastAsia="zh-CN"/>
              </w:rPr>
              <w:t>切实改善居民住房条件和居住环境</w:t>
            </w:r>
            <w:r>
              <w:rPr>
                <w:rFonts w:hint="eastAsia" w:ascii="楷体" w:hAnsi="楷体" w:eastAsia="楷体" w:cs="楷体"/>
                <w:color w:val="000000"/>
                <w:sz w:val="28"/>
                <w:szCs w:val="28"/>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85" w:hRule="atLeast"/>
          <w:jc w:val="center"/>
        </w:trPr>
        <w:tc>
          <w:tcPr>
            <w:tcW w:w="2074" w:type="dxa"/>
            <w:vMerge w:val="continue"/>
            <w:vAlign w:val="top"/>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3031"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color w:val="000000"/>
                <w:sz w:val="28"/>
                <w:szCs w:val="28"/>
              </w:rPr>
            </w:pPr>
            <w:r>
              <w:rPr>
                <w:rFonts w:hint="eastAsia" w:ascii="楷体" w:hAnsi="楷体" w:eastAsia="楷体" w:cs="楷体"/>
                <w:color w:val="000000"/>
                <w:sz w:val="28"/>
                <w:szCs w:val="28"/>
              </w:rPr>
              <w:t>可持续影响效益（10分）</w:t>
            </w:r>
          </w:p>
        </w:tc>
        <w:tc>
          <w:tcPr>
            <w:tcW w:w="3255" w:type="dxa"/>
            <w:vAlign w:val="top"/>
          </w:tcPr>
          <w:p>
            <w:pPr>
              <w:keepNext w:val="0"/>
              <w:keepLines w:val="0"/>
              <w:pageBreakBefore w:val="0"/>
              <w:widowControl w:val="0"/>
              <w:kinsoku/>
              <w:wordWrap/>
              <w:overflowPunct/>
              <w:topLinePunct w:val="0"/>
              <w:autoSpaceDE/>
              <w:autoSpaceDN/>
              <w:bidi w:val="0"/>
              <w:adjustRightInd/>
              <w:snapToGrid/>
              <w:spacing w:before="37" w:line="520" w:lineRule="exact"/>
              <w:jc w:val="center"/>
              <w:textAlignment w:val="auto"/>
              <w:rPr>
                <w:rFonts w:hint="eastAsia" w:ascii="楷体" w:hAnsi="楷体" w:eastAsia="楷体" w:cs="楷体"/>
                <w:color w:val="000000"/>
                <w:sz w:val="28"/>
                <w:szCs w:val="28"/>
              </w:rPr>
            </w:pPr>
            <w:r>
              <w:rPr>
                <w:rFonts w:hint="eastAsia" w:ascii="楷体" w:hAnsi="楷体" w:eastAsia="楷体" w:cs="楷体"/>
                <w:color w:val="000000"/>
                <w:sz w:val="28"/>
                <w:szCs w:val="28"/>
                <w:lang w:eastAsia="zh-CN"/>
              </w:rPr>
              <w:t>全面提升老旧小区居住品质</w:t>
            </w:r>
            <w:r>
              <w:rPr>
                <w:rFonts w:hint="eastAsia" w:ascii="楷体" w:hAnsi="楷体" w:eastAsia="楷体" w:cs="楷体"/>
                <w:color w:val="000000"/>
                <w:sz w:val="28"/>
                <w:szCs w:val="28"/>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21" w:hRule="atLeast"/>
          <w:jc w:val="center"/>
        </w:trPr>
        <w:tc>
          <w:tcPr>
            <w:tcW w:w="2074" w:type="dxa"/>
            <w:vMerge w:val="continue"/>
            <w:vAlign w:val="top"/>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3031" w:type="dxa"/>
            <w:vAlign w:val="top"/>
          </w:tcPr>
          <w:p>
            <w:pPr>
              <w:keepNext w:val="0"/>
              <w:keepLines w:val="0"/>
              <w:pageBreakBefore w:val="0"/>
              <w:widowControl w:val="0"/>
              <w:kinsoku/>
              <w:wordWrap/>
              <w:overflowPunct/>
              <w:topLinePunct w:val="0"/>
              <w:autoSpaceDE/>
              <w:autoSpaceDN/>
              <w:bidi w:val="0"/>
              <w:adjustRightInd/>
              <w:snapToGrid/>
              <w:spacing w:before="31"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公众满意度（10</w:t>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color w:val="000000"/>
                <w:sz w:val="28"/>
                <w:szCs w:val="28"/>
              </w:rPr>
            </w:pPr>
            <w:r>
              <w:rPr>
                <w:rFonts w:hint="eastAsia" w:ascii="楷体" w:hAnsi="楷体" w:eastAsia="楷体" w:cs="楷体"/>
                <w:color w:val="000000"/>
                <w:sz w:val="28"/>
                <w:szCs w:val="28"/>
              </w:rPr>
              <w:t>分）</w:t>
            </w:r>
          </w:p>
        </w:tc>
        <w:tc>
          <w:tcPr>
            <w:tcW w:w="3255" w:type="dxa"/>
            <w:vAlign w:val="top"/>
          </w:tcPr>
          <w:p>
            <w:pPr>
              <w:keepNext w:val="0"/>
              <w:keepLines w:val="0"/>
              <w:pageBreakBefore w:val="0"/>
              <w:widowControl w:val="0"/>
              <w:kinsoku/>
              <w:wordWrap/>
              <w:overflowPunct/>
              <w:topLinePunct w:val="0"/>
              <w:autoSpaceDE/>
              <w:autoSpaceDN/>
              <w:bidi w:val="0"/>
              <w:adjustRightInd/>
              <w:snapToGrid/>
              <w:spacing w:before="24"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公众对项目实施</w:t>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color w:val="000000"/>
                <w:sz w:val="28"/>
                <w:szCs w:val="28"/>
              </w:rPr>
            </w:pPr>
            <w:r>
              <w:rPr>
                <w:rFonts w:hint="eastAsia" w:ascii="楷体" w:hAnsi="楷体" w:eastAsia="楷体" w:cs="楷体"/>
                <w:color w:val="000000"/>
                <w:sz w:val="28"/>
                <w:szCs w:val="28"/>
              </w:rPr>
              <w:t>效果的满意程度（10分）</w:t>
            </w:r>
          </w:p>
        </w:tc>
      </w:tr>
    </w:tbl>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一级指标下分二级、三级指标。《项目支出绩效评价管理办法》（财预〔2020〕10号）综合评价分为四个等级，得分≥90分为优秀，80分≤得分＜90分为良好，60分≤得分＜80分为一般，得分＜60分为较差。</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0"/>
        <w:rPr>
          <w:rFonts w:hint="eastAsia" w:ascii="楷体" w:hAnsi="楷体" w:eastAsia="楷体" w:cs="楷体"/>
          <w:sz w:val="28"/>
          <w:szCs w:val="28"/>
        </w:rPr>
      </w:pPr>
      <w:bookmarkStart w:id="9" w:name="_Toc23604"/>
      <w:r>
        <w:rPr>
          <w:rFonts w:hint="eastAsia" w:ascii="楷体" w:hAnsi="楷体" w:eastAsia="楷体" w:cs="楷体"/>
          <w:sz w:val="28"/>
          <w:szCs w:val="28"/>
        </w:rPr>
        <w:t>三、评价指标分析</w:t>
      </w:r>
      <w:bookmarkEnd w:id="9"/>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1"/>
        <w:rPr>
          <w:rFonts w:hint="eastAsia" w:ascii="楷体" w:hAnsi="楷体" w:eastAsia="楷体" w:cs="楷体"/>
          <w:sz w:val="28"/>
          <w:szCs w:val="28"/>
        </w:rPr>
      </w:pPr>
      <w:bookmarkStart w:id="10" w:name="_Toc26198"/>
      <w:r>
        <w:rPr>
          <w:rFonts w:hint="eastAsia" w:ascii="楷体" w:hAnsi="楷体" w:eastAsia="楷体" w:cs="楷体"/>
          <w:sz w:val="28"/>
          <w:szCs w:val="28"/>
        </w:rPr>
        <w:t>（一）项目决策指标</w:t>
      </w:r>
      <w:bookmarkEnd w:id="10"/>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项目决策绩效得分情况表</w:t>
      </w:r>
    </w:p>
    <w:tbl>
      <w:tblPr>
        <w:tblStyle w:val="7"/>
        <w:tblW w:w="8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2015"/>
        <w:gridCol w:w="2015"/>
        <w:gridCol w:w="2015"/>
        <w:gridCol w:w="20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0" w:hRule="atLeast"/>
          <w:jc w:val="center"/>
        </w:trPr>
        <w:tc>
          <w:tcPr>
            <w:tcW w:w="2015"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一级指标</w:t>
            </w:r>
          </w:p>
        </w:tc>
        <w:tc>
          <w:tcPr>
            <w:tcW w:w="2015" w:type="dxa"/>
            <w:vAlign w:val="center"/>
          </w:tcPr>
          <w:p>
            <w:pPr>
              <w:keepNext w:val="0"/>
              <w:keepLines w:val="0"/>
              <w:pageBreakBefore w:val="0"/>
              <w:widowControl w:val="0"/>
              <w:kinsoku/>
              <w:wordWrap/>
              <w:overflowPunct/>
              <w:topLinePunct w:val="0"/>
              <w:autoSpaceDE/>
              <w:autoSpaceDN/>
              <w:bidi w:val="0"/>
              <w:adjustRightInd/>
              <w:snapToGrid/>
              <w:spacing w:line="520" w:lineRule="exact"/>
              <w:ind w:firstLine="0"/>
              <w:jc w:val="both"/>
              <w:textAlignment w:val="auto"/>
              <w:rPr>
                <w:rFonts w:hint="eastAsia" w:ascii="楷体" w:hAnsi="楷体" w:eastAsia="楷体" w:cs="楷体"/>
                <w:sz w:val="28"/>
                <w:szCs w:val="28"/>
              </w:rPr>
            </w:pPr>
            <w:r>
              <w:rPr>
                <w:rFonts w:hint="eastAsia" w:ascii="楷体" w:hAnsi="楷体" w:eastAsia="楷体" w:cs="楷体"/>
                <w:color w:val="000000"/>
                <w:sz w:val="28"/>
                <w:szCs w:val="28"/>
              </w:rPr>
              <w:t>二级指标</w:t>
            </w:r>
          </w:p>
        </w:tc>
        <w:tc>
          <w:tcPr>
            <w:tcW w:w="2015"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三级指标</w:t>
            </w:r>
          </w:p>
        </w:tc>
        <w:tc>
          <w:tcPr>
            <w:tcW w:w="2015"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140" w:hRule="atLeast"/>
          <w:jc w:val="center"/>
        </w:trPr>
        <w:tc>
          <w:tcPr>
            <w:tcW w:w="2015" w:type="dxa"/>
            <w:vMerge w:val="restart"/>
            <w:vAlign w:val="top"/>
          </w:tcPr>
          <w:p>
            <w:pPr>
              <w:keepNext w:val="0"/>
              <w:keepLines w:val="0"/>
              <w:pageBreakBefore w:val="0"/>
              <w:widowControl w:val="0"/>
              <w:kinsoku/>
              <w:wordWrap/>
              <w:overflowPunct/>
              <w:topLinePunct w:val="0"/>
              <w:autoSpaceDE/>
              <w:autoSpaceDN/>
              <w:bidi w:val="0"/>
              <w:adjustRightInd/>
              <w:snapToGrid/>
              <w:spacing w:before="2399"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项目决策</w:t>
            </w:r>
          </w:p>
          <w:p>
            <w:pPr>
              <w:keepNext w:val="0"/>
              <w:keepLines w:val="0"/>
              <w:pageBreakBefore w:val="0"/>
              <w:widowControl w:val="0"/>
              <w:kinsoku/>
              <w:wordWrap/>
              <w:overflowPunct/>
              <w:topLinePunct w:val="0"/>
              <w:autoSpaceDE/>
              <w:autoSpaceDN/>
              <w:bidi w:val="0"/>
              <w:adjustRightInd/>
              <w:snapToGrid/>
              <w:spacing w:before="153"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（15分）</w:t>
            </w:r>
          </w:p>
        </w:tc>
        <w:tc>
          <w:tcPr>
            <w:tcW w:w="2015" w:type="dxa"/>
            <w:vMerge w:val="restart"/>
            <w:vAlign w:val="center"/>
          </w:tcPr>
          <w:p>
            <w:pPr>
              <w:keepNext w:val="0"/>
              <w:keepLines w:val="0"/>
              <w:pageBreakBefore w:val="0"/>
              <w:widowControl w:val="0"/>
              <w:kinsoku/>
              <w:wordWrap/>
              <w:overflowPunct/>
              <w:topLinePunct w:val="0"/>
              <w:autoSpaceDE/>
              <w:autoSpaceDN/>
              <w:bidi w:val="0"/>
              <w:adjustRightInd/>
              <w:snapToGrid/>
              <w:spacing w:before="933" w:line="520" w:lineRule="exact"/>
              <w:ind w:left="100" w:firstLine="0"/>
              <w:jc w:val="both"/>
              <w:textAlignment w:val="auto"/>
              <w:rPr>
                <w:rFonts w:hint="eastAsia" w:ascii="楷体" w:hAnsi="楷体" w:eastAsia="楷体" w:cs="楷体"/>
                <w:sz w:val="28"/>
                <w:szCs w:val="28"/>
              </w:rPr>
            </w:pPr>
            <w:r>
              <w:rPr>
                <w:rFonts w:hint="eastAsia" w:ascii="楷体" w:hAnsi="楷体" w:eastAsia="楷体" w:cs="楷体"/>
                <w:color w:val="000000"/>
                <w:sz w:val="28"/>
                <w:szCs w:val="28"/>
              </w:rPr>
              <w:t>项目立项（4分）</w:t>
            </w:r>
          </w:p>
        </w:tc>
        <w:tc>
          <w:tcPr>
            <w:tcW w:w="2015" w:type="dxa"/>
            <w:vAlign w:val="top"/>
          </w:tcPr>
          <w:p>
            <w:pPr>
              <w:keepNext w:val="0"/>
              <w:keepLines w:val="0"/>
              <w:pageBreakBefore w:val="0"/>
              <w:widowControl w:val="0"/>
              <w:kinsoku/>
              <w:wordWrap/>
              <w:overflowPunct/>
              <w:topLinePunct w:val="0"/>
              <w:autoSpaceDE/>
              <w:autoSpaceDN/>
              <w:bidi w:val="0"/>
              <w:adjustRightInd/>
              <w:snapToGrid/>
              <w:spacing w:before="104" w:line="520" w:lineRule="exact"/>
              <w:ind w:left="180" w:firstLine="0"/>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立项依据充分性</w:t>
            </w:r>
          </w:p>
          <w:p>
            <w:pPr>
              <w:keepNext w:val="0"/>
              <w:keepLines w:val="0"/>
              <w:pageBreakBefore w:val="0"/>
              <w:widowControl w:val="0"/>
              <w:kinsoku/>
              <w:wordWrap/>
              <w:overflowPunct/>
              <w:topLinePunct w:val="0"/>
              <w:autoSpaceDE/>
              <w:autoSpaceDN/>
              <w:bidi w:val="0"/>
              <w:adjustRightInd/>
              <w:snapToGrid/>
              <w:spacing w:before="161"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（2分）</w:t>
            </w:r>
          </w:p>
        </w:tc>
        <w:tc>
          <w:tcPr>
            <w:tcW w:w="2015" w:type="dxa"/>
            <w:vAlign w:val="center"/>
          </w:tcPr>
          <w:p>
            <w:pPr>
              <w:keepNext w:val="0"/>
              <w:keepLines w:val="0"/>
              <w:pageBreakBefore w:val="0"/>
              <w:widowControl w:val="0"/>
              <w:kinsoku/>
              <w:wordWrap/>
              <w:overflowPunct/>
              <w:topLinePunct w:val="0"/>
              <w:autoSpaceDE/>
              <w:autoSpaceDN/>
              <w:bidi w:val="0"/>
              <w:adjustRightInd/>
              <w:snapToGrid/>
              <w:spacing w:before="385"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140" w:hRule="atLeast"/>
          <w:jc w:val="center"/>
        </w:trPr>
        <w:tc>
          <w:tcPr>
            <w:tcW w:w="2015"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2015"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2015" w:type="dxa"/>
            <w:vAlign w:val="top"/>
          </w:tcPr>
          <w:p>
            <w:pPr>
              <w:keepNext w:val="0"/>
              <w:keepLines w:val="0"/>
              <w:pageBreakBefore w:val="0"/>
              <w:widowControl w:val="0"/>
              <w:kinsoku/>
              <w:wordWrap/>
              <w:overflowPunct/>
              <w:topLinePunct w:val="0"/>
              <w:autoSpaceDE/>
              <w:autoSpaceDN/>
              <w:bidi w:val="0"/>
              <w:adjustRightInd/>
              <w:snapToGrid/>
              <w:spacing w:before="37"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立项程序规范性</w:t>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（2分）</w:t>
            </w:r>
          </w:p>
        </w:tc>
        <w:tc>
          <w:tcPr>
            <w:tcW w:w="2015" w:type="dxa"/>
            <w:vAlign w:val="center"/>
          </w:tcPr>
          <w:p>
            <w:pPr>
              <w:keepNext w:val="0"/>
              <w:keepLines w:val="0"/>
              <w:pageBreakBefore w:val="0"/>
              <w:widowControl w:val="0"/>
              <w:kinsoku/>
              <w:wordWrap/>
              <w:overflowPunct/>
              <w:topLinePunct w:val="0"/>
              <w:autoSpaceDE/>
              <w:autoSpaceDN/>
              <w:bidi w:val="0"/>
              <w:adjustRightInd/>
              <w:snapToGrid/>
              <w:spacing w:before="473" w:line="520" w:lineRule="exact"/>
              <w:jc w:val="center"/>
              <w:textAlignment w:val="auto"/>
              <w:rPr>
                <w:rFonts w:hint="eastAsia" w:ascii="楷体" w:hAnsi="楷体" w:eastAsia="楷体" w:cs="楷体"/>
                <w:sz w:val="28"/>
                <w:szCs w:val="28"/>
                <w:lang w:val="en-US" w:eastAsia="zh-CN"/>
              </w:rPr>
            </w:pPr>
            <w:r>
              <w:rPr>
                <w:rFonts w:hint="eastAsia" w:ascii="楷体" w:hAnsi="楷体" w:eastAsia="楷体" w:cs="楷体"/>
                <w:color w:val="000000"/>
                <w:sz w:val="28"/>
                <w:szCs w:val="28"/>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140" w:hRule="atLeast"/>
          <w:jc w:val="center"/>
        </w:trPr>
        <w:tc>
          <w:tcPr>
            <w:tcW w:w="2015"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2015" w:type="dxa"/>
            <w:vMerge w:val="restart"/>
            <w:vAlign w:val="center"/>
          </w:tcPr>
          <w:p>
            <w:pPr>
              <w:keepNext w:val="0"/>
              <w:keepLines w:val="0"/>
              <w:pageBreakBefore w:val="0"/>
              <w:widowControl w:val="0"/>
              <w:kinsoku/>
              <w:wordWrap/>
              <w:overflowPunct/>
              <w:topLinePunct w:val="0"/>
              <w:autoSpaceDE/>
              <w:autoSpaceDN/>
              <w:bidi w:val="0"/>
              <w:adjustRightInd/>
              <w:snapToGrid/>
              <w:spacing w:before="1035" w:line="520" w:lineRule="exact"/>
              <w:ind w:left="100" w:firstLine="0"/>
              <w:jc w:val="both"/>
              <w:textAlignment w:val="auto"/>
              <w:rPr>
                <w:rFonts w:hint="eastAsia" w:ascii="楷体" w:hAnsi="楷体" w:eastAsia="楷体" w:cs="楷体"/>
                <w:sz w:val="28"/>
                <w:szCs w:val="28"/>
              </w:rPr>
            </w:pPr>
            <w:r>
              <w:rPr>
                <w:rFonts w:hint="eastAsia" w:ascii="楷体" w:hAnsi="楷体" w:eastAsia="楷体" w:cs="楷体"/>
                <w:color w:val="000000"/>
                <w:sz w:val="28"/>
                <w:szCs w:val="28"/>
              </w:rPr>
              <w:t>绩效目标（5分）</w:t>
            </w:r>
          </w:p>
        </w:tc>
        <w:tc>
          <w:tcPr>
            <w:tcW w:w="2015" w:type="dxa"/>
            <w:vAlign w:val="top"/>
          </w:tcPr>
          <w:p>
            <w:pPr>
              <w:keepNext w:val="0"/>
              <w:keepLines w:val="0"/>
              <w:pageBreakBefore w:val="0"/>
              <w:widowControl w:val="0"/>
              <w:kinsoku/>
              <w:wordWrap/>
              <w:overflowPunct/>
              <w:topLinePunct w:val="0"/>
              <w:autoSpaceDE/>
              <w:autoSpaceDN/>
              <w:bidi w:val="0"/>
              <w:adjustRightInd/>
              <w:snapToGrid/>
              <w:spacing w:before="141" w:line="520" w:lineRule="exact"/>
              <w:ind w:left="160" w:firstLine="0"/>
              <w:jc w:val="left"/>
              <w:textAlignment w:val="auto"/>
              <w:rPr>
                <w:rFonts w:hint="eastAsia" w:ascii="楷体" w:hAnsi="楷体" w:eastAsia="楷体" w:cs="楷体"/>
                <w:sz w:val="28"/>
                <w:szCs w:val="28"/>
              </w:rPr>
            </w:pPr>
            <w:r>
              <w:rPr>
                <w:rFonts w:hint="eastAsia" w:ascii="楷体" w:hAnsi="楷体" w:eastAsia="楷体" w:cs="楷体"/>
                <w:color w:val="000000"/>
                <w:sz w:val="28"/>
                <w:szCs w:val="28"/>
              </w:rPr>
              <w:t>绩效目标合理性</w:t>
            </w:r>
          </w:p>
          <w:p>
            <w:pPr>
              <w:keepNext w:val="0"/>
              <w:keepLines w:val="0"/>
              <w:pageBreakBefore w:val="0"/>
              <w:widowControl w:val="0"/>
              <w:kinsoku/>
              <w:wordWrap/>
              <w:overflowPunct/>
              <w:topLinePunct w:val="0"/>
              <w:autoSpaceDE/>
              <w:autoSpaceDN/>
              <w:bidi w:val="0"/>
              <w:adjustRightInd/>
              <w:snapToGrid/>
              <w:spacing w:before="160"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（2分）</w:t>
            </w:r>
          </w:p>
        </w:tc>
        <w:tc>
          <w:tcPr>
            <w:tcW w:w="2015" w:type="dxa"/>
            <w:vAlign w:val="center"/>
          </w:tcPr>
          <w:p>
            <w:pPr>
              <w:keepNext w:val="0"/>
              <w:keepLines w:val="0"/>
              <w:pageBreakBefore w:val="0"/>
              <w:widowControl w:val="0"/>
              <w:kinsoku/>
              <w:wordWrap/>
              <w:overflowPunct/>
              <w:topLinePunct w:val="0"/>
              <w:autoSpaceDE/>
              <w:autoSpaceDN/>
              <w:bidi w:val="0"/>
              <w:adjustRightInd/>
              <w:snapToGrid/>
              <w:spacing w:before="457"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140" w:hRule="atLeast"/>
          <w:jc w:val="center"/>
        </w:trPr>
        <w:tc>
          <w:tcPr>
            <w:tcW w:w="2015"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2015"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2015" w:type="dxa"/>
            <w:vAlign w:val="top"/>
          </w:tcPr>
          <w:p>
            <w:pPr>
              <w:keepNext w:val="0"/>
              <w:keepLines w:val="0"/>
              <w:pageBreakBefore w:val="0"/>
              <w:widowControl w:val="0"/>
              <w:kinsoku/>
              <w:wordWrap/>
              <w:overflowPunct/>
              <w:topLinePunct w:val="0"/>
              <w:autoSpaceDE/>
              <w:autoSpaceDN/>
              <w:bidi w:val="0"/>
              <w:adjustRightInd/>
              <w:snapToGrid/>
              <w:spacing w:before="157" w:line="520" w:lineRule="exact"/>
              <w:ind w:left="160" w:firstLine="0"/>
              <w:jc w:val="left"/>
              <w:textAlignment w:val="auto"/>
              <w:rPr>
                <w:rFonts w:hint="eastAsia" w:ascii="楷体" w:hAnsi="楷体" w:eastAsia="楷体" w:cs="楷体"/>
                <w:sz w:val="28"/>
                <w:szCs w:val="28"/>
              </w:rPr>
            </w:pPr>
            <w:r>
              <w:rPr>
                <w:rFonts w:hint="eastAsia" w:ascii="楷体" w:hAnsi="楷体" w:eastAsia="楷体" w:cs="楷体"/>
                <w:color w:val="000000"/>
                <w:sz w:val="28"/>
                <w:szCs w:val="28"/>
              </w:rPr>
              <w:t>绩效目标明确性</w:t>
            </w:r>
          </w:p>
          <w:p>
            <w:pPr>
              <w:keepNext w:val="0"/>
              <w:keepLines w:val="0"/>
              <w:pageBreakBefore w:val="0"/>
              <w:widowControl w:val="0"/>
              <w:kinsoku/>
              <w:wordWrap/>
              <w:overflowPunct/>
              <w:topLinePunct w:val="0"/>
              <w:autoSpaceDE/>
              <w:autoSpaceDN/>
              <w:bidi w:val="0"/>
              <w:adjustRightInd/>
              <w:snapToGrid/>
              <w:spacing w:before="163"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（3分）</w:t>
            </w:r>
          </w:p>
        </w:tc>
        <w:tc>
          <w:tcPr>
            <w:tcW w:w="2015" w:type="dxa"/>
            <w:vAlign w:val="center"/>
          </w:tcPr>
          <w:p>
            <w:pPr>
              <w:keepNext w:val="0"/>
              <w:keepLines w:val="0"/>
              <w:pageBreakBefore w:val="0"/>
              <w:widowControl w:val="0"/>
              <w:kinsoku/>
              <w:wordWrap/>
              <w:overflowPunct/>
              <w:topLinePunct w:val="0"/>
              <w:autoSpaceDE/>
              <w:autoSpaceDN/>
              <w:bidi w:val="0"/>
              <w:adjustRightInd/>
              <w:snapToGrid/>
              <w:spacing w:before="488" w:line="520" w:lineRule="exact"/>
              <w:jc w:val="center"/>
              <w:textAlignment w:val="auto"/>
              <w:rPr>
                <w:rFonts w:hint="eastAsia" w:ascii="楷体" w:hAnsi="楷体" w:eastAsia="楷体" w:cs="楷体"/>
                <w:sz w:val="28"/>
                <w:szCs w:val="28"/>
                <w:lang w:val="en-US" w:eastAsia="zh-CN"/>
              </w:rPr>
            </w:pPr>
            <w:r>
              <w:rPr>
                <w:rFonts w:hint="eastAsia" w:ascii="楷体" w:hAnsi="楷体" w:eastAsia="楷体" w:cs="楷体"/>
                <w:color w:val="000000"/>
                <w:sz w:val="28"/>
                <w:szCs w:val="28"/>
                <w:lang w:val="en-US" w:eastAsia="zh-CN"/>
              </w:rPr>
              <w:t>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140" w:hRule="atLeast"/>
          <w:jc w:val="center"/>
        </w:trPr>
        <w:tc>
          <w:tcPr>
            <w:tcW w:w="2015"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2015" w:type="dxa"/>
            <w:vMerge w:val="restart"/>
            <w:vAlign w:val="center"/>
          </w:tcPr>
          <w:p>
            <w:pPr>
              <w:keepNext w:val="0"/>
              <w:keepLines w:val="0"/>
              <w:pageBreakBefore w:val="0"/>
              <w:widowControl w:val="0"/>
              <w:kinsoku/>
              <w:wordWrap/>
              <w:overflowPunct/>
              <w:topLinePunct w:val="0"/>
              <w:autoSpaceDE/>
              <w:autoSpaceDN/>
              <w:bidi w:val="0"/>
              <w:adjustRightInd/>
              <w:snapToGrid/>
              <w:spacing w:line="520" w:lineRule="exact"/>
              <w:ind w:firstLine="0"/>
              <w:jc w:val="both"/>
              <w:textAlignment w:val="auto"/>
              <w:rPr>
                <w:rFonts w:hint="eastAsia" w:ascii="楷体" w:hAnsi="楷体" w:eastAsia="楷体" w:cs="楷体"/>
                <w:sz w:val="28"/>
                <w:szCs w:val="28"/>
              </w:rPr>
            </w:pPr>
            <w:r>
              <w:rPr>
                <w:rFonts w:hint="eastAsia" w:ascii="楷体" w:hAnsi="楷体" w:eastAsia="楷体" w:cs="楷体"/>
                <w:color w:val="000000"/>
                <w:sz w:val="28"/>
                <w:szCs w:val="28"/>
              </w:rPr>
              <w:t>资金投入（6分）</w:t>
            </w:r>
          </w:p>
        </w:tc>
        <w:tc>
          <w:tcPr>
            <w:tcW w:w="2015" w:type="dxa"/>
            <w:vAlign w:val="top"/>
          </w:tcPr>
          <w:p>
            <w:pPr>
              <w:keepNext w:val="0"/>
              <w:keepLines w:val="0"/>
              <w:pageBreakBefore w:val="0"/>
              <w:widowControl w:val="0"/>
              <w:kinsoku/>
              <w:wordWrap/>
              <w:overflowPunct/>
              <w:topLinePunct w:val="0"/>
              <w:autoSpaceDE/>
              <w:autoSpaceDN/>
              <w:bidi w:val="0"/>
              <w:adjustRightInd/>
              <w:snapToGrid/>
              <w:spacing w:before="100"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预算编制科学性</w:t>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（4分）</w:t>
            </w:r>
          </w:p>
        </w:tc>
        <w:tc>
          <w:tcPr>
            <w:tcW w:w="2015" w:type="dxa"/>
            <w:vAlign w:val="center"/>
          </w:tcPr>
          <w:p>
            <w:pPr>
              <w:keepNext w:val="0"/>
              <w:keepLines w:val="0"/>
              <w:pageBreakBefore w:val="0"/>
              <w:widowControl w:val="0"/>
              <w:kinsoku/>
              <w:wordWrap/>
              <w:overflowPunct/>
              <w:topLinePunct w:val="0"/>
              <w:autoSpaceDE/>
              <w:autoSpaceDN/>
              <w:bidi w:val="0"/>
              <w:adjustRightInd/>
              <w:snapToGrid/>
              <w:spacing w:before="496" w:line="520" w:lineRule="exact"/>
              <w:jc w:val="center"/>
              <w:textAlignment w:val="auto"/>
              <w:rPr>
                <w:rFonts w:hint="default" w:ascii="楷体" w:hAnsi="楷体" w:eastAsia="楷体" w:cs="楷体"/>
                <w:sz w:val="28"/>
                <w:szCs w:val="28"/>
                <w:lang w:val="en-US" w:eastAsia="zh-CN"/>
              </w:rPr>
            </w:pPr>
            <w:r>
              <w:rPr>
                <w:rFonts w:hint="eastAsia" w:ascii="楷体" w:hAnsi="楷体" w:eastAsia="楷体" w:cs="楷体"/>
                <w:color w:val="000000"/>
                <w:sz w:val="28"/>
                <w:szCs w:val="28"/>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140" w:hRule="atLeast"/>
          <w:jc w:val="center"/>
        </w:trPr>
        <w:tc>
          <w:tcPr>
            <w:tcW w:w="2015"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2015" w:type="dxa"/>
            <w:vMerge w:val="continue"/>
            <w:vAlign w:val="center"/>
          </w:tcPr>
          <w:p>
            <w:pPr>
              <w:keepNext w:val="0"/>
              <w:keepLines w:val="0"/>
              <w:pageBreakBefore w:val="0"/>
              <w:widowControl w:val="0"/>
              <w:kinsoku/>
              <w:wordWrap/>
              <w:overflowPunct/>
              <w:topLinePunct w:val="0"/>
              <w:autoSpaceDE/>
              <w:autoSpaceDN/>
              <w:bidi w:val="0"/>
              <w:adjustRightInd/>
              <w:snapToGrid/>
              <w:spacing w:line="520" w:lineRule="exact"/>
              <w:ind w:firstLine="0"/>
              <w:jc w:val="both"/>
              <w:textAlignment w:val="auto"/>
              <w:rPr>
                <w:rFonts w:hint="eastAsia" w:ascii="楷体" w:hAnsi="楷体" w:eastAsia="楷体" w:cs="楷体"/>
                <w:color w:val="000000"/>
                <w:sz w:val="28"/>
                <w:szCs w:val="28"/>
              </w:rPr>
            </w:pPr>
          </w:p>
        </w:tc>
        <w:tc>
          <w:tcPr>
            <w:tcW w:w="2015" w:type="dxa"/>
            <w:vAlign w:val="top"/>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color w:val="000000"/>
                <w:sz w:val="28"/>
                <w:szCs w:val="28"/>
                <w:lang w:eastAsia="zh-CN"/>
              </w:rPr>
            </w:pPr>
            <w:r>
              <w:rPr>
                <w:rFonts w:hint="eastAsia" w:ascii="楷体" w:hAnsi="楷体" w:eastAsia="楷体" w:cs="楷体"/>
                <w:color w:val="000000"/>
                <w:sz w:val="28"/>
                <w:szCs w:val="28"/>
                <w:lang w:eastAsia="zh-CN"/>
              </w:rPr>
              <w:t>资金分配合理性</w:t>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color w:val="000000"/>
                <w:sz w:val="28"/>
                <w:szCs w:val="28"/>
                <w:lang w:eastAsia="zh-CN"/>
              </w:rPr>
            </w:pPr>
            <w:r>
              <w:rPr>
                <w:rFonts w:hint="eastAsia" w:ascii="楷体" w:hAnsi="楷体" w:eastAsia="楷体" w:cs="楷体"/>
                <w:color w:val="000000"/>
                <w:sz w:val="28"/>
                <w:szCs w:val="28"/>
                <w:lang w:eastAsia="zh-CN"/>
              </w:rPr>
              <w:t>（</w:t>
            </w:r>
            <w:r>
              <w:rPr>
                <w:rFonts w:hint="eastAsia" w:ascii="楷体" w:hAnsi="楷体" w:eastAsia="楷体" w:cs="楷体"/>
                <w:color w:val="000000"/>
                <w:sz w:val="28"/>
                <w:szCs w:val="28"/>
                <w:lang w:val="en-US" w:eastAsia="zh-CN"/>
              </w:rPr>
              <w:t>2分</w:t>
            </w:r>
            <w:r>
              <w:rPr>
                <w:rFonts w:hint="eastAsia" w:ascii="楷体" w:hAnsi="楷体" w:eastAsia="楷体" w:cs="楷体"/>
                <w:color w:val="000000"/>
                <w:sz w:val="28"/>
                <w:szCs w:val="28"/>
                <w:lang w:eastAsia="zh-CN"/>
              </w:rPr>
              <w:t>）</w:t>
            </w:r>
          </w:p>
        </w:tc>
        <w:tc>
          <w:tcPr>
            <w:tcW w:w="2015" w:type="dxa"/>
            <w:vAlign w:val="center"/>
          </w:tcPr>
          <w:p>
            <w:pPr>
              <w:keepNext w:val="0"/>
              <w:keepLines w:val="0"/>
              <w:pageBreakBefore w:val="0"/>
              <w:widowControl w:val="0"/>
              <w:kinsoku/>
              <w:wordWrap/>
              <w:overflowPunct/>
              <w:topLinePunct w:val="0"/>
              <w:autoSpaceDE/>
              <w:autoSpaceDN/>
              <w:bidi w:val="0"/>
              <w:adjustRightInd/>
              <w:snapToGrid/>
              <w:spacing w:before="496" w:line="520" w:lineRule="exact"/>
              <w:jc w:val="center"/>
              <w:textAlignment w:val="auto"/>
              <w:rPr>
                <w:rFonts w:hint="default" w:ascii="楷体" w:hAnsi="楷体" w:eastAsia="楷体" w:cs="楷体"/>
                <w:color w:val="000000"/>
                <w:sz w:val="28"/>
                <w:szCs w:val="28"/>
                <w:lang w:val="en-US" w:eastAsia="zh-CN"/>
              </w:rPr>
            </w:pPr>
            <w:r>
              <w:rPr>
                <w:rFonts w:hint="eastAsia" w:ascii="楷体" w:hAnsi="楷体" w:eastAsia="楷体" w:cs="楷体"/>
                <w:color w:val="000000"/>
                <w:sz w:val="28"/>
                <w:szCs w:val="28"/>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00" w:hRule="atLeast"/>
          <w:jc w:val="center"/>
        </w:trPr>
        <w:tc>
          <w:tcPr>
            <w:tcW w:w="6045" w:type="dxa"/>
            <w:gridSpan w:val="3"/>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color w:val="000000"/>
                <w:sz w:val="28"/>
                <w:szCs w:val="28"/>
              </w:rPr>
            </w:pP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lang w:eastAsia="zh-CN"/>
              </w:rPr>
            </w:pPr>
            <w:r>
              <w:rPr>
                <w:rFonts w:hint="eastAsia" w:ascii="楷体" w:hAnsi="楷体" w:eastAsia="楷体" w:cs="楷体"/>
                <w:sz w:val="28"/>
                <w:szCs w:val="28"/>
                <w:lang w:eastAsia="zh-CN"/>
              </w:rPr>
              <w:t>合计</w:t>
            </w:r>
          </w:p>
        </w:tc>
        <w:tc>
          <w:tcPr>
            <w:tcW w:w="2015" w:type="dxa"/>
            <w:vAlign w:val="center"/>
          </w:tcPr>
          <w:p>
            <w:pPr>
              <w:keepNext w:val="0"/>
              <w:keepLines w:val="0"/>
              <w:pageBreakBefore w:val="0"/>
              <w:widowControl w:val="0"/>
              <w:kinsoku/>
              <w:wordWrap/>
              <w:overflowPunct/>
              <w:topLinePunct w:val="0"/>
              <w:autoSpaceDE/>
              <w:autoSpaceDN/>
              <w:bidi w:val="0"/>
              <w:adjustRightInd/>
              <w:snapToGrid/>
              <w:spacing w:before="496" w:line="520" w:lineRule="exact"/>
              <w:jc w:val="center"/>
              <w:textAlignment w:val="auto"/>
              <w:rPr>
                <w:rFonts w:hint="default" w:ascii="楷体" w:hAnsi="楷体" w:eastAsia="楷体" w:cs="楷体"/>
                <w:color w:val="000000"/>
                <w:sz w:val="28"/>
                <w:szCs w:val="28"/>
                <w:lang w:val="en-US" w:eastAsia="zh-CN"/>
              </w:rPr>
            </w:pPr>
            <w:r>
              <w:rPr>
                <w:rFonts w:hint="eastAsia" w:ascii="楷体" w:hAnsi="楷体" w:eastAsia="楷体" w:cs="楷体"/>
                <w:color w:val="000000"/>
                <w:sz w:val="28"/>
                <w:szCs w:val="28"/>
                <w:lang w:val="en-US" w:eastAsia="zh-CN"/>
              </w:rPr>
              <w:t>14.8</w:t>
            </w:r>
          </w:p>
        </w:tc>
      </w:tr>
    </w:tbl>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1．项目立项指标（满分</w:t>
      </w:r>
      <w:r>
        <w:rPr>
          <w:rFonts w:hint="eastAsia" w:ascii="楷体" w:hAnsi="楷体" w:eastAsia="楷体" w:cs="楷体"/>
          <w:sz w:val="28"/>
          <w:szCs w:val="28"/>
          <w:lang w:val="en-US" w:eastAsia="zh-CN"/>
        </w:rPr>
        <w:t>4</w:t>
      </w:r>
      <w:r>
        <w:rPr>
          <w:rFonts w:hint="eastAsia" w:ascii="楷体" w:hAnsi="楷体" w:eastAsia="楷体" w:cs="楷体"/>
          <w:sz w:val="28"/>
          <w:szCs w:val="28"/>
        </w:rPr>
        <w:t>分，评价得分</w:t>
      </w:r>
      <w:r>
        <w:rPr>
          <w:rFonts w:hint="eastAsia" w:ascii="楷体" w:hAnsi="楷体" w:eastAsia="楷体" w:cs="楷体"/>
          <w:sz w:val="28"/>
          <w:szCs w:val="28"/>
          <w:lang w:val="en-US" w:eastAsia="zh-CN"/>
        </w:rPr>
        <w:t>4</w:t>
      </w:r>
      <w:r>
        <w:rPr>
          <w:rFonts w:hint="eastAsia" w:ascii="楷体" w:hAnsi="楷体" w:eastAsia="楷体" w:cs="楷体"/>
          <w:sz w:val="28"/>
          <w:szCs w:val="28"/>
        </w:rPr>
        <w:t>分）</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（1）立项依据充分性。主要考核该项目立项是否符合国家法律法规、国民经济发展规划和相关政策，是否与部门职责范围相符，属于部门履职所需。</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highlight w:val="none"/>
        </w:rPr>
      </w:pPr>
      <w:r>
        <w:rPr>
          <w:rFonts w:hint="eastAsia" w:ascii="楷体" w:hAnsi="楷体" w:eastAsia="楷体" w:cs="楷体"/>
          <w:sz w:val="28"/>
          <w:szCs w:val="28"/>
          <w:highlight w:val="none"/>
        </w:rPr>
        <w:t>经评价，</w:t>
      </w:r>
      <w:r>
        <w:rPr>
          <w:rFonts w:hint="eastAsia" w:ascii="楷体" w:hAnsi="楷体" w:eastAsia="楷体" w:cs="楷体"/>
          <w:sz w:val="28"/>
          <w:szCs w:val="28"/>
          <w:highlight w:val="none"/>
          <w:lang w:eastAsia="zh-CN"/>
        </w:rPr>
        <w:t>无极县住房和城乡建设局无极县2022年老旧小区建筑主体改造项目</w:t>
      </w:r>
      <w:r>
        <w:rPr>
          <w:rFonts w:hint="eastAsia" w:ascii="楷体" w:hAnsi="楷体" w:eastAsia="楷体" w:cs="楷体"/>
          <w:sz w:val="28"/>
          <w:szCs w:val="28"/>
          <w:highlight w:val="none"/>
        </w:rPr>
        <w:t>符合《国务院办公厅关于</w:t>
      </w:r>
      <w:r>
        <w:rPr>
          <w:rFonts w:hint="eastAsia" w:ascii="楷体" w:hAnsi="楷体" w:eastAsia="楷体" w:cs="楷体"/>
          <w:sz w:val="28"/>
          <w:szCs w:val="28"/>
          <w:highlight w:val="none"/>
          <w:lang w:eastAsia="zh-CN"/>
        </w:rPr>
        <w:t>全面推进城镇老旧小区改造工作的指导意见</w:t>
      </w:r>
      <w:r>
        <w:rPr>
          <w:rFonts w:hint="eastAsia" w:ascii="楷体" w:hAnsi="楷体" w:eastAsia="楷体" w:cs="楷体"/>
          <w:sz w:val="28"/>
          <w:szCs w:val="28"/>
          <w:highlight w:val="none"/>
        </w:rPr>
        <w:t>》（国</w:t>
      </w:r>
      <w:r>
        <w:rPr>
          <w:rFonts w:hint="eastAsia" w:ascii="楷体" w:hAnsi="楷体" w:eastAsia="楷体" w:cs="楷体"/>
          <w:sz w:val="28"/>
          <w:szCs w:val="28"/>
          <w:highlight w:val="none"/>
          <w:lang w:eastAsia="zh-CN"/>
        </w:rPr>
        <w:t>办发</w:t>
      </w:r>
      <w:r>
        <w:rPr>
          <w:rFonts w:hint="eastAsia" w:ascii="楷体" w:hAnsi="楷体" w:eastAsia="楷体" w:cs="楷体"/>
          <w:sz w:val="28"/>
          <w:szCs w:val="28"/>
          <w:highlight w:val="none"/>
        </w:rPr>
        <w:t>〔</w:t>
      </w:r>
      <w:r>
        <w:rPr>
          <w:rFonts w:hint="eastAsia" w:ascii="楷体" w:hAnsi="楷体" w:eastAsia="楷体" w:cs="楷体"/>
          <w:sz w:val="28"/>
          <w:szCs w:val="28"/>
          <w:highlight w:val="none"/>
          <w:lang w:val="en-US" w:eastAsia="zh-CN"/>
        </w:rPr>
        <w:t>2020</w:t>
      </w:r>
      <w:r>
        <w:rPr>
          <w:rFonts w:hint="eastAsia" w:ascii="楷体" w:hAnsi="楷体" w:eastAsia="楷体" w:cs="楷体"/>
          <w:sz w:val="28"/>
          <w:szCs w:val="28"/>
          <w:highlight w:val="none"/>
        </w:rPr>
        <w:t>〕</w:t>
      </w:r>
      <w:r>
        <w:rPr>
          <w:rFonts w:hint="eastAsia" w:ascii="楷体" w:hAnsi="楷体" w:eastAsia="楷体" w:cs="楷体"/>
          <w:sz w:val="28"/>
          <w:szCs w:val="28"/>
          <w:highlight w:val="none"/>
          <w:lang w:val="en-US" w:eastAsia="zh-CN"/>
        </w:rPr>
        <w:t>23</w:t>
      </w:r>
      <w:r>
        <w:rPr>
          <w:rFonts w:hint="eastAsia" w:ascii="楷体" w:hAnsi="楷体" w:eastAsia="楷体" w:cs="楷体"/>
          <w:sz w:val="28"/>
          <w:szCs w:val="28"/>
          <w:highlight w:val="none"/>
        </w:rPr>
        <w:t>号）、</w:t>
      </w:r>
      <w:r>
        <w:rPr>
          <w:rFonts w:hint="eastAsia" w:ascii="楷体" w:hAnsi="楷体" w:eastAsia="楷体" w:cs="楷体"/>
          <w:sz w:val="28"/>
          <w:szCs w:val="28"/>
          <w:highlight w:val="none"/>
          <w:lang w:eastAsia="zh-CN"/>
        </w:rPr>
        <w:t>河北省财政厅</w:t>
      </w:r>
      <w:r>
        <w:rPr>
          <w:rFonts w:hint="eastAsia" w:ascii="楷体" w:hAnsi="楷体" w:eastAsia="楷体" w:cs="楷体"/>
          <w:sz w:val="28"/>
          <w:szCs w:val="28"/>
          <w:highlight w:val="none"/>
          <w:lang w:val="en-US" w:eastAsia="zh-CN"/>
        </w:rPr>
        <w:t xml:space="preserve"> 河北省住房和城乡建设厅关于下达2022年中央财政城镇保障性安居工程补助资金预算的通知（冀财综[2022]29号）</w:t>
      </w:r>
      <w:r>
        <w:rPr>
          <w:rFonts w:hint="eastAsia" w:ascii="楷体" w:hAnsi="楷体" w:eastAsia="楷体" w:cs="楷体"/>
          <w:sz w:val="28"/>
          <w:szCs w:val="28"/>
          <w:highlight w:val="none"/>
        </w:rPr>
        <w:t>、</w:t>
      </w:r>
      <w:r>
        <w:rPr>
          <w:rFonts w:hint="eastAsia" w:ascii="楷体" w:hAnsi="楷体" w:eastAsia="楷体" w:cs="楷体"/>
          <w:sz w:val="28"/>
          <w:szCs w:val="28"/>
          <w:highlight w:val="none"/>
          <w:lang w:eastAsia="zh-CN"/>
        </w:rPr>
        <w:t>石家庄市人民政府办公室关于全面推进城镇老旧小区改造工作的实施意见（石政办函【</w:t>
      </w:r>
      <w:r>
        <w:rPr>
          <w:rFonts w:hint="eastAsia" w:ascii="楷体" w:hAnsi="楷体" w:eastAsia="楷体" w:cs="楷体"/>
          <w:sz w:val="28"/>
          <w:szCs w:val="28"/>
          <w:highlight w:val="none"/>
          <w:lang w:val="en-US" w:eastAsia="zh-CN"/>
        </w:rPr>
        <w:t>2020】49号）</w:t>
      </w:r>
      <w:r>
        <w:rPr>
          <w:rFonts w:hint="eastAsia" w:ascii="楷体" w:hAnsi="楷体" w:eastAsia="楷体" w:cs="楷体"/>
          <w:sz w:val="28"/>
          <w:szCs w:val="28"/>
          <w:highlight w:val="none"/>
        </w:rPr>
        <w:t>的要求，前期立项依据充分，符合、国民经济发展规划和相关政策要求，与部门职责范围相符，属于部门履职所需。</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（2）立项程序规范性。主要考核该项目是否按照规定的程序申请设立，审批文件、材料是否符合相关要求。</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highlight w:val="none"/>
          <w:lang w:val="en-US" w:eastAsia="zh-CN"/>
        </w:rPr>
      </w:pPr>
      <w:r>
        <w:rPr>
          <w:rFonts w:hint="eastAsia" w:ascii="楷体" w:hAnsi="楷体" w:eastAsia="楷体" w:cs="楷体"/>
          <w:sz w:val="28"/>
          <w:szCs w:val="28"/>
          <w:highlight w:val="none"/>
        </w:rPr>
        <w:t>经评价，</w:t>
      </w:r>
      <w:r>
        <w:rPr>
          <w:rFonts w:hint="eastAsia" w:ascii="楷体" w:hAnsi="楷体" w:eastAsia="楷体" w:cs="楷体"/>
          <w:sz w:val="28"/>
          <w:szCs w:val="28"/>
          <w:highlight w:val="none"/>
          <w:lang w:eastAsia="zh-CN"/>
        </w:rPr>
        <w:t>无极县2022年老旧小区建筑主体改造项目</w:t>
      </w:r>
      <w:r>
        <w:rPr>
          <w:rFonts w:hint="eastAsia" w:ascii="楷体" w:hAnsi="楷体" w:eastAsia="楷体" w:cs="楷体"/>
          <w:sz w:val="28"/>
          <w:szCs w:val="28"/>
          <w:highlight w:val="none"/>
        </w:rPr>
        <w:t>根据《</w:t>
      </w:r>
      <w:r>
        <w:rPr>
          <w:rFonts w:hint="eastAsia" w:ascii="楷体" w:hAnsi="楷体" w:eastAsia="楷体" w:cs="楷体"/>
          <w:sz w:val="28"/>
          <w:szCs w:val="28"/>
          <w:highlight w:val="none"/>
          <w:lang w:eastAsia="zh-CN"/>
        </w:rPr>
        <w:t>无极县人民政府办公室关于印发</w:t>
      </w:r>
      <w:r>
        <w:rPr>
          <w:rFonts w:hint="eastAsia" w:ascii="楷体" w:hAnsi="楷体" w:eastAsia="楷体" w:cs="楷体"/>
          <w:sz w:val="28"/>
          <w:szCs w:val="28"/>
          <w:highlight w:val="none"/>
        </w:rPr>
        <w:t>《</w:t>
      </w:r>
      <w:r>
        <w:rPr>
          <w:rFonts w:hint="eastAsia" w:ascii="楷体" w:hAnsi="楷体" w:eastAsia="楷体" w:cs="楷体"/>
          <w:sz w:val="28"/>
          <w:szCs w:val="28"/>
          <w:highlight w:val="none"/>
          <w:lang w:eastAsia="zh-CN"/>
        </w:rPr>
        <w:t>关于全面推进城镇老旧小区改造工作的实施方案</w:t>
      </w:r>
      <w:r>
        <w:rPr>
          <w:rFonts w:hint="eastAsia" w:ascii="楷体" w:hAnsi="楷体" w:eastAsia="楷体" w:cs="楷体"/>
          <w:sz w:val="28"/>
          <w:szCs w:val="28"/>
          <w:highlight w:val="none"/>
        </w:rPr>
        <w:t>》</w:t>
      </w:r>
      <w:r>
        <w:rPr>
          <w:rFonts w:hint="eastAsia" w:ascii="楷体" w:hAnsi="楷体" w:eastAsia="楷体" w:cs="楷体"/>
          <w:sz w:val="28"/>
          <w:szCs w:val="28"/>
          <w:highlight w:val="none"/>
          <w:lang w:eastAsia="zh-CN"/>
        </w:rPr>
        <w:t>的通知</w:t>
      </w:r>
      <w:r>
        <w:rPr>
          <w:rFonts w:hint="eastAsia" w:ascii="楷体" w:hAnsi="楷体" w:eastAsia="楷体" w:cs="楷体"/>
          <w:sz w:val="28"/>
          <w:szCs w:val="28"/>
          <w:highlight w:val="none"/>
        </w:rPr>
        <w:t>要求，由</w:t>
      </w:r>
      <w:r>
        <w:rPr>
          <w:rFonts w:hint="eastAsia" w:ascii="楷体" w:hAnsi="楷体" w:eastAsia="楷体" w:cs="楷体"/>
          <w:sz w:val="28"/>
          <w:szCs w:val="28"/>
          <w:highlight w:val="none"/>
          <w:lang w:eastAsia="zh-CN"/>
        </w:rPr>
        <w:t>无极县住房和城乡建设局与河北正信工程咨询有限公司签订工程建设项目招标代理合同，由可北正信工程咨询有限公司承担本项目的招标代理工作。河北中昌建筑工程有限公司于</w:t>
      </w:r>
      <w:r>
        <w:rPr>
          <w:rFonts w:hint="eastAsia" w:ascii="楷体" w:hAnsi="楷体" w:eastAsia="楷体" w:cs="楷体"/>
          <w:sz w:val="28"/>
          <w:szCs w:val="28"/>
          <w:highlight w:val="none"/>
          <w:lang w:val="en-US" w:eastAsia="zh-CN"/>
        </w:rPr>
        <w:t>2022年2月25日收到中标通知书</w:t>
      </w:r>
      <w:r>
        <w:rPr>
          <w:rFonts w:hint="eastAsia" w:ascii="楷体" w:hAnsi="楷体" w:eastAsia="楷体" w:cs="楷体"/>
          <w:sz w:val="28"/>
          <w:szCs w:val="28"/>
          <w:highlight w:val="none"/>
          <w:lang w:eastAsia="zh-CN"/>
        </w:rPr>
        <w:t>，中标通知书编号：</w:t>
      </w:r>
      <w:r>
        <w:rPr>
          <w:rFonts w:hint="eastAsia" w:ascii="楷体" w:hAnsi="楷体" w:eastAsia="楷体" w:cs="楷体"/>
          <w:sz w:val="28"/>
          <w:szCs w:val="28"/>
          <w:highlight w:val="none"/>
          <w:lang w:val="en-US" w:eastAsia="zh-CN"/>
        </w:rPr>
        <w:t>HBZX-2022-0105，中标价2174.7121万元，并于2022年2月26日与无极县住房和城乡建设局签订《建设工程施工合同》，合同价2174.7121万元。</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highlight w:val="none"/>
        </w:rPr>
      </w:pPr>
      <w:r>
        <w:rPr>
          <w:rFonts w:hint="eastAsia" w:ascii="楷体" w:hAnsi="楷体" w:eastAsia="楷体" w:cs="楷体"/>
          <w:sz w:val="28"/>
          <w:szCs w:val="28"/>
          <w:highlight w:val="none"/>
        </w:rPr>
        <w:t>该项目按照《国务院办公厅关于</w:t>
      </w:r>
      <w:r>
        <w:rPr>
          <w:rFonts w:hint="eastAsia" w:ascii="楷体" w:hAnsi="楷体" w:eastAsia="楷体" w:cs="楷体"/>
          <w:sz w:val="28"/>
          <w:szCs w:val="28"/>
          <w:highlight w:val="none"/>
          <w:lang w:eastAsia="zh-CN"/>
        </w:rPr>
        <w:t>全面推进城镇老旧小区改造工作的指导意见</w:t>
      </w:r>
      <w:r>
        <w:rPr>
          <w:rFonts w:hint="eastAsia" w:ascii="楷体" w:hAnsi="楷体" w:eastAsia="楷体" w:cs="楷体"/>
          <w:sz w:val="28"/>
          <w:szCs w:val="28"/>
          <w:highlight w:val="none"/>
        </w:rPr>
        <w:t>》（国</w:t>
      </w:r>
      <w:r>
        <w:rPr>
          <w:rFonts w:hint="eastAsia" w:ascii="楷体" w:hAnsi="楷体" w:eastAsia="楷体" w:cs="楷体"/>
          <w:sz w:val="28"/>
          <w:szCs w:val="28"/>
          <w:highlight w:val="none"/>
          <w:lang w:eastAsia="zh-CN"/>
        </w:rPr>
        <w:t>办发</w:t>
      </w:r>
      <w:r>
        <w:rPr>
          <w:rFonts w:hint="eastAsia" w:ascii="楷体" w:hAnsi="楷体" w:eastAsia="楷体" w:cs="楷体"/>
          <w:sz w:val="28"/>
          <w:szCs w:val="28"/>
          <w:highlight w:val="none"/>
        </w:rPr>
        <w:t>〔</w:t>
      </w:r>
      <w:r>
        <w:rPr>
          <w:rFonts w:hint="eastAsia" w:ascii="楷体" w:hAnsi="楷体" w:eastAsia="楷体" w:cs="楷体"/>
          <w:sz w:val="28"/>
          <w:szCs w:val="28"/>
          <w:highlight w:val="none"/>
          <w:lang w:val="en-US" w:eastAsia="zh-CN"/>
        </w:rPr>
        <w:t>2020</w:t>
      </w:r>
      <w:r>
        <w:rPr>
          <w:rFonts w:hint="eastAsia" w:ascii="楷体" w:hAnsi="楷体" w:eastAsia="楷体" w:cs="楷体"/>
          <w:sz w:val="28"/>
          <w:szCs w:val="28"/>
          <w:highlight w:val="none"/>
        </w:rPr>
        <w:t>〕</w:t>
      </w:r>
      <w:r>
        <w:rPr>
          <w:rFonts w:hint="eastAsia" w:ascii="楷体" w:hAnsi="楷体" w:eastAsia="楷体" w:cs="楷体"/>
          <w:sz w:val="28"/>
          <w:szCs w:val="28"/>
          <w:highlight w:val="none"/>
          <w:lang w:val="en-US" w:eastAsia="zh-CN"/>
        </w:rPr>
        <w:t>23</w:t>
      </w:r>
      <w:r>
        <w:rPr>
          <w:rFonts w:hint="eastAsia" w:ascii="楷体" w:hAnsi="楷体" w:eastAsia="楷体" w:cs="楷体"/>
          <w:sz w:val="28"/>
          <w:szCs w:val="28"/>
          <w:highlight w:val="none"/>
        </w:rPr>
        <w:t>号）、</w:t>
      </w:r>
      <w:r>
        <w:rPr>
          <w:rFonts w:hint="eastAsia" w:ascii="楷体" w:hAnsi="楷体" w:eastAsia="楷体" w:cs="楷体"/>
          <w:sz w:val="28"/>
          <w:szCs w:val="28"/>
          <w:highlight w:val="none"/>
          <w:lang w:eastAsia="zh-CN"/>
        </w:rPr>
        <w:t>河北省财政厅</w:t>
      </w:r>
      <w:r>
        <w:rPr>
          <w:rFonts w:hint="eastAsia" w:ascii="楷体" w:hAnsi="楷体" w:eastAsia="楷体" w:cs="楷体"/>
          <w:sz w:val="28"/>
          <w:szCs w:val="28"/>
          <w:highlight w:val="none"/>
          <w:lang w:val="en-US" w:eastAsia="zh-CN"/>
        </w:rPr>
        <w:t xml:space="preserve"> 河北省住房和城乡建设厅关于下达2022年中央财政城镇保障性安居工程补助资金预算的通知（冀财综[2022]29号）</w:t>
      </w:r>
      <w:r>
        <w:rPr>
          <w:rFonts w:hint="eastAsia" w:ascii="楷体" w:hAnsi="楷体" w:eastAsia="楷体" w:cs="楷体"/>
          <w:sz w:val="28"/>
          <w:szCs w:val="28"/>
          <w:highlight w:val="none"/>
        </w:rPr>
        <w:t>、</w:t>
      </w:r>
      <w:r>
        <w:rPr>
          <w:rFonts w:hint="eastAsia" w:ascii="楷体" w:hAnsi="楷体" w:eastAsia="楷体" w:cs="楷体"/>
          <w:sz w:val="28"/>
          <w:szCs w:val="28"/>
          <w:highlight w:val="none"/>
          <w:lang w:eastAsia="zh-CN"/>
        </w:rPr>
        <w:t>石家庄市人民政府办公室关于全面推进城镇老旧小区改造工作的实施意见（石政办函【</w:t>
      </w:r>
      <w:r>
        <w:rPr>
          <w:rFonts w:hint="eastAsia" w:ascii="楷体" w:hAnsi="楷体" w:eastAsia="楷体" w:cs="楷体"/>
          <w:sz w:val="28"/>
          <w:szCs w:val="28"/>
          <w:highlight w:val="none"/>
          <w:lang w:val="en-US" w:eastAsia="zh-CN"/>
        </w:rPr>
        <w:t>2020】49号）</w:t>
      </w:r>
      <w:r>
        <w:rPr>
          <w:rFonts w:hint="eastAsia" w:ascii="楷体" w:hAnsi="楷体" w:eastAsia="楷体" w:cs="楷体"/>
          <w:sz w:val="28"/>
          <w:szCs w:val="28"/>
          <w:highlight w:val="none"/>
        </w:rPr>
        <w:t>、</w:t>
      </w:r>
      <w:r>
        <w:rPr>
          <w:rFonts w:hint="eastAsia" w:ascii="楷体" w:hAnsi="楷体" w:eastAsia="楷体" w:cs="楷体"/>
          <w:sz w:val="28"/>
          <w:szCs w:val="28"/>
          <w:highlight w:val="none"/>
          <w:lang w:eastAsia="zh-CN"/>
        </w:rPr>
        <w:t>无极县人民政府办公室关于印发</w:t>
      </w:r>
      <w:r>
        <w:rPr>
          <w:rFonts w:hint="eastAsia" w:ascii="楷体" w:hAnsi="楷体" w:eastAsia="楷体" w:cs="楷体"/>
          <w:sz w:val="28"/>
          <w:szCs w:val="28"/>
          <w:highlight w:val="none"/>
        </w:rPr>
        <w:t>《</w:t>
      </w:r>
      <w:r>
        <w:rPr>
          <w:rFonts w:hint="eastAsia" w:ascii="楷体" w:hAnsi="楷体" w:eastAsia="楷体" w:cs="楷体"/>
          <w:sz w:val="28"/>
          <w:szCs w:val="28"/>
          <w:highlight w:val="none"/>
          <w:lang w:eastAsia="zh-CN"/>
        </w:rPr>
        <w:t>关于全面推进城镇老旧小区改造工作的实施方案</w:t>
      </w:r>
      <w:r>
        <w:rPr>
          <w:rFonts w:hint="eastAsia" w:ascii="楷体" w:hAnsi="楷体" w:eastAsia="楷体" w:cs="楷体"/>
          <w:sz w:val="28"/>
          <w:szCs w:val="28"/>
          <w:highlight w:val="none"/>
        </w:rPr>
        <w:t>》</w:t>
      </w:r>
      <w:r>
        <w:rPr>
          <w:rFonts w:hint="eastAsia" w:ascii="楷体" w:hAnsi="楷体" w:eastAsia="楷体" w:cs="楷体"/>
          <w:sz w:val="28"/>
          <w:szCs w:val="28"/>
          <w:highlight w:val="none"/>
          <w:lang w:eastAsia="zh-CN"/>
        </w:rPr>
        <w:t>的通知</w:t>
      </w:r>
      <w:r>
        <w:rPr>
          <w:rFonts w:hint="eastAsia" w:ascii="楷体" w:hAnsi="楷体" w:eastAsia="楷体" w:cs="楷体"/>
          <w:sz w:val="28"/>
          <w:szCs w:val="28"/>
          <w:highlight w:val="none"/>
        </w:rPr>
        <w:t>进行</w:t>
      </w:r>
      <w:r>
        <w:rPr>
          <w:rFonts w:hint="eastAsia" w:ascii="楷体" w:hAnsi="楷体" w:eastAsia="楷体" w:cs="楷体"/>
          <w:sz w:val="28"/>
          <w:szCs w:val="28"/>
          <w:highlight w:val="none"/>
          <w:lang w:eastAsia="zh-CN"/>
        </w:rPr>
        <w:t>老旧小区改造</w:t>
      </w:r>
      <w:r>
        <w:rPr>
          <w:rFonts w:hint="eastAsia" w:ascii="楷体" w:hAnsi="楷体" w:eastAsia="楷体" w:cs="楷体"/>
          <w:sz w:val="28"/>
          <w:szCs w:val="28"/>
          <w:highlight w:val="none"/>
        </w:rPr>
        <w:t>项目的实施。</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该指标满分4分，评价得分4分。</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2．绩效目标指标（满分5分，评价得分</w:t>
      </w:r>
      <w:r>
        <w:rPr>
          <w:rFonts w:hint="eastAsia" w:ascii="楷体" w:hAnsi="楷体" w:eastAsia="楷体" w:cs="楷体"/>
          <w:sz w:val="28"/>
          <w:szCs w:val="28"/>
          <w:lang w:val="en-US" w:eastAsia="zh-CN"/>
        </w:rPr>
        <w:t>4.8</w:t>
      </w:r>
      <w:r>
        <w:rPr>
          <w:rFonts w:hint="eastAsia" w:ascii="楷体" w:hAnsi="楷体" w:eastAsia="楷体" w:cs="楷体"/>
          <w:sz w:val="28"/>
          <w:szCs w:val="28"/>
        </w:rPr>
        <w:t>分）</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（1）绩效目标合理性。主要考核该项目绩效目标与实际工作内容是否具有相关性，项目预期产出效益和效果是否符合正常的业绩水平。</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经评价，目标的设定与实际工作内容具有相关性，预期产出效益和效果基本符合正常的业绩水平。</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（2）绩效目标明确性。主要考核是否将该项目绩效目标细化分解为具体的绩效指标，是否通过清晰、可衡量的指标值予以体现，是否与项目目标任务数或计划数相对应。</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rPr>
      </w:pPr>
      <w:r>
        <w:rPr>
          <w:rFonts w:hint="eastAsia" w:ascii="楷体" w:hAnsi="楷体" w:eastAsia="楷体" w:cs="楷体"/>
          <w:sz w:val="28"/>
          <w:szCs w:val="28"/>
        </w:rPr>
        <w:t>经评价，该项目绩效目标与项目目标计划数相对应。例如：数量指标设置为“</w:t>
      </w:r>
      <w:r>
        <w:rPr>
          <w:rFonts w:hint="eastAsia" w:ascii="楷体" w:hAnsi="楷体" w:eastAsia="楷体" w:cs="楷体"/>
          <w:sz w:val="28"/>
          <w:szCs w:val="28"/>
          <w:lang w:eastAsia="zh-CN"/>
        </w:rPr>
        <w:t>老旧小区改造任务为</w:t>
      </w:r>
      <w:r>
        <w:rPr>
          <w:rFonts w:hint="eastAsia" w:ascii="楷体" w:hAnsi="楷体" w:eastAsia="楷体" w:cs="楷体"/>
          <w:sz w:val="28"/>
          <w:szCs w:val="28"/>
          <w:lang w:val="en-US" w:eastAsia="zh-CN"/>
        </w:rPr>
        <w:t>27个小区</w:t>
      </w:r>
      <w:r>
        <w:rPr>
          <w:rFonts w:hint="eastAsia" w:ascii="楷体" w:hAnsi="楷体" w:eastAsia="楷体" w:cs="楷体"/>
          <w:sz w:val="28"/>
          <w:szCs w:val="28"/>
        </w:rPr>
        <w:t>”，通过查阅《</w:t>
      </w:r>
      <w:r>
        <w:rPr>
          <w:rFonts w:hint="eastAsia" w:ascii="楷体" w:hAnsi="楷体" w:eastAsia="楷体" w:cs="楷体"/>
          <w:sz w:val="28"/>
          <w:szCs w:val="28"/>
          <w:lang w:val="en-US" w:eastAsia="zh-CN"/>
        </w:rPr>
        <w:t>2022年老旧小区改造项目台账</w:t>
      </w:r>
      <w:r>
        <w:rPr>
          <w:rFonts w:hint="eastAsia" w:ascii="楷体" w:hAnsi="楷体" w:eastAsia="楷体" w:cs="楷体"/>
          <w:sz w:val="28"/>
          <w:szCs w:val="28"/>
        </w:rPr>
        <w:t>》发现，</w:t>
      </w:r>
      <w:r>
        <w:rPr>
          <w:rFonts w:hint="eastAsia" w:ascii="楷体" w:hAnsi="楷体" w:eastAsia="楷体" w:cs="楷体"/>
          <w:sz w:val="28"/>
          <w:szCs w:val="28"/>
          <w:lang w:eastAsia="zh-CN"/>
        </w:rPr>
        <w:t>改造小区数量确为</w:t>
      </w:r>
      <w:r>
        <w:rPr>
          <w:rFonts w:hint="eastAsia" w:ascii="楷体" w:hAnsi="楷体" w:eastAsia="楷体" w:cs="楷体"/>
          <w:sz w:val="28"/>
          <w:szCs w:val="28"/>
          <w:lang w:val="en-US" w:eastAsia="zh-CN"/>
        </w:rPr>
        <w:t>27个小区</w:t>
      </w:r>
      <w:r>
        <w:rPr>
          <w:rFonts w:hint="eastAsia" w:ascii="楷体" w:hAnsi="楷体" w:eastAsia="楷体" w:cs="楷体"/>
          <w:sz w:val="28"/>
          <w:szCs w:val="28"/>
        </w:rPr>
        <w:t>。绩效目标亦分解为数量、质量、成本、社会效益、服务对象满意度等5个绩效指标体现，但绩效指标设置不够全面、细化、可衡量。扣</w:t>
      </w:r>
      <w:r>
        <w:rPr>
          <w:rFonts w:hint="eastAsia" w:ascii="楷体" w:hAnsi="楷体" w:eastAsia="楷体" w:cs="楷体"/>
          <w:sz w:val="28"/>
          <w:szCs w:val="28"/>
          <w:lang w:val="en-US" w:eastAsia="zh-CN"/>
        </w:rPr>
        <w:t>0</w:t>
      </w:r>
      <w:r>
        <w:rPr>
          <w:rFonts w:hint="eastAsia" w:ascii="楷体" w:hAnsi="楷体" w:eastAsia="楷体" w:cs="楷体"/>
          <w:sz w:val="28"/>
          <w:szCs w:val="28"/>
        </w:rPr>
        <w:t>.</w:t>
      </w:r>
      <w:r>
        <w:rPr>
          <w:rFonts w:hint="eastAsia" w:ascii="楷体" w:hAnsi="楷体" w:eastAsia="楷体" w:cs="楷体"/>
          <w:sz w:val="28"/>
          <w:szCs w:val="28"/>
          <w:lang w:val="en-US" w:eastAsia="zh-CN"/>
        </w:rPr>
        <w:t>2</w:t>
      </w:r>
      <w:r>
        <w:rPr>
          <w:rFonts w:hint="eastAsia" w:ascii="楷体" w:hAnsi="楷体" w:eastAsia="楷体" w:cs="楷体"/>
          <w:sz w:val="28"/>
          <w:szCs w:val="28"/>
        </w:rPr>
        <w:t>分。</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该指标满分5分，评价得分</w:t>
      </w:r>
      <w:r>
        <w:rPr>
          <w:rFonts w:hint="eastAsia" w:ascii="楷体" w:hAnsi="楷体" w:eastAsia="楷体" w:cs="楷体"/>
          <w:sz w:val="28"/>
          <w:szCs w:val="28"/>
          <w:lang w:val="en-US" w:eastAsia="zh-CN"/>
        </w:rPr>
        <w:t>4</w:t>
      </w:r>
      <w:r>
        <w:rPr>
          <w:rFonts w:hint="eastAsia" w:ascii="楷体" w:hAnsi="楷体" w:eastAsia="楷体" w:cs="楷体"/>
          <w:sz w:val="28"/>
          <w:szCs w:val="28"/>
        </w:rPr>
        <w:t>.</w:t>
      </w:r>
      <w:r>
        <w:rPr>
          <w:rFonts w:hint="eastAsia" w:ascii="楷体" w:hAnsi="楷体" w:eastAsia="楷体" w:cs="楷体"/>
          <w:sz w:val="28"/>
          <w:szCs w:val="28"/>
          <w:lang w:val="en-US" w:eastAsia="zh-CN"/>
        </w:rPr>
        <w:t>8</w:t>
      </w:r>
      <w:r>
        <w:rPr>
          <w:rFonts w:hint="eastAsia" w:ascii="楷体" w:hAnsi="楷体" w:eastAsia="楷体" w:cs="楷体"/>
          <w:sz w:val="28"/>
          <w:szCs w:val="28"/>
        </w:rPr>
        <w:t>分。</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3．资金投入指标（满分6分，评价得分</w:t>
      </w:r>
      <w:r>
        <w:rPr>
          <w:rFonts w:hint="eastAsia" w:ascii="楷体" w:hAnsi="楷体" w:eastAsia="楷体" w:cs="楷体"/>
          <w:sz w:val="28"/>
          <w:szCs w:val="28"/>
          <w:lang w:val="en-US" w:eastAsia="zh-CN"/>
        </w:rPr>
        <w:t>6</w:t>
      </w:r>
      <w:r>
        <w:rPr>
          <w:rFonts w:hint="eastAsia" w:ascii="楷体" w:hAnsi="楷体" w:eastAsia="楷体" w:cs="楷体"/>
          <w:sz w:val="28"/>
          <w:szCs w:val="28"/>
        </w:rPr>
        <w:t>分）</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（1）预算编制科学性。该项目预算编制是否经过科学论证，预算内容与项目内容是否匹配，预算确定的项目投资额或资金量是否与工作任务相匹配。</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rPr>
      </w:pPr>
      <w:r>
        <w:rPr>
          <w:rFonts w:hint="eastAsia" w:ascii="楷体" w:hAnsi="楷体" w:eastAsia="楷体" w:cs="楷体"/>
          <w:sz w:val="28"/>
          <w:szCs w:val="28"/>
        </w:rPr>
        <w:t>经查阅</w:t>
      </w:r>
      <w:r>
        <w:rPr>
          <w:rFonts w:hint="eastAsia" w:ascii="楷体" w:hAnsi="楷体" w:eastAsia="楷体" w:cs="楷体"/>
          <w:sz w:val="28"/>
          <w:szCs w:val="28"/>
          <w:lang w:eastAsia="zh-CN"/>
        </w:rPr>
        <w:t>河北省财政厅</w:t>
      </w:r>
      <w:r>
        <w:rPr>
          <w:rFonts w:hint="eastAsia" w:ascii="楷体" w:hAnsi="楷体" w:eastAsia="楷体" w:cs="楷体"/>
          <w:sz w:val="28"/>
          <w:szCs w:val="28"/>
          <w:lang w:val="en-US" w:eastAsia="zh-CN"/>
        </w:rPr>
        <w:t xml:space="preserve">  河北省住房和城乡建设厅《关于下达2022年中央财政城镇保障性安居工程补助资金预算的通知》（冀财综【2022】29号）</w:t>
      </w:r>
      <w:r>
        <w:rPr>
          <w:rFonts w:hint="eastAsia" w:ascii="楷体" w:hAnsi="楷体" w:eastAsia="楷体" w:cs="楷体"/>
          <w:sz w:val="28"/>
          <w:szCs w:val="28"/>
        </w:rPr>
        <w:t>，</w:t>
      </w:r>
      <w:r>
        <w:rPr>
          <w:rFonts w:hint="eastAsia" w:ascii="楷体" w:hAnsi="楷体" w:eastAsia="楷体" w:cs="楷体"/>
          <w:sz w:val="28"/>
          <w:szCs w:val="28"/>
          <w:lang w:eastAsia="zh-CN"/>
        </w:rPr>
        <w:t>无极县老旧小区改造应分配</w:t>
      </w:r>
      <w:r>
        <w:rPr>
          <w:rFonts w:hint="eastAsia" w:ascii="楷体" w:hAnsi="楷体" w:eastAsia="楷体" w:cs="楷体"/>
          <w:sz w:val="28"/>
          <w:szCs w:val="28"/>
          <w:highlight w:val="none"/>
          <w:lang w:val="en-US" w:eastAsia="zh-CN"/>
        </w:rPr>
        <w:t>935</w:t>
      </w:r>
      <w:r>
        <w:rPr>
          <w:rFonts w:hint="eastAsia" w:ascii="楷体" w:hAnsi="楷体" w:eastAsia="楷体" w:cs="楷体"/>
          <w:sz w:val="28"/>
          <w:szCs w:val="28"/>
          <w:lang w:val="en-US" w:eastAsia="zh-CN"/>
        </w:rPr>
        <w:t>万元</w:t>
      </w:r>
      <w:r>
        <w:rPr>
          <w:rFonts w:hint="eastAsia" w:ascii="楷体" w:hAnsi="楷体" w:eastAsia="楷体" w:cs="楷体"/>
          <w:sz w:val="28"/>
          <w:szCs w:val="28"/>
        </w:rPr>
        <w:t>。</w:t>
      </w:r>
      <w:r>
        <w:rPr>
          <w:rFonts w:hint="eastAsia" w:ascii="楷体" w:hAnsi="楷体" w:eastAsia="楷体" w:cs="楷体"/>
          <w:sz w:val="28"/>
          <w:szCs w:val="28"/>
          <w:lang w:eastAsia="zh-CN"/>
        </w:rPr>
        <w:t>该单位预算编制经过了科学论证，预算内容与项目内容相区配，预算确定的项目投资额与工作任务基本匹配</w:t>
      </w:r>
      <w:r>
        <w:rPr>
          <w:rFonts w:hint="eastAsia" w:ascii="楷体" w:hAnsi="楷体" w:eastAsia="楷体" w:cs="楷体"/>
          <w:sz w:val="28"/>
          <w:szCs w:val="28"/>
        </w:rPr>
        <w:t>。</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（2）预算编制合理性。该项目预算资金分配依据是否充分，资金分配额度是否合理，与项目单位或地方实际是否相适应。</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highlight w:val="none"/>
          <w:lang w:eastAsia="zh-CN"/>
        </w:rPr>
      </w:pPr>
      <w:r>
        <w:rPr>
          <w:rFonts w:hint="eastAsia" w:ascii="楷体" w:hAnsi="楷体" w:eastAsia="楷体" w:cs="楷体"/>
          <w:sz w:val="28"/>
          <w:szCs w:val="28"/>
        </w:rPr>
        <w:t>经查阅</w:t>
      </w:r>
      <w:r>
        <w:rPr>
          <w:rFonts w:hint="eastAsia" w:ascii="楷体" w:hAnsi="楷体" w:eastAsia="楷体" w:cs="楷体"/>
          <w:sz w:val="28"/>
          <w:szCs w:val="28"/>
          <w:lang w:eastAsia="zh-CN"/>
        </w:rPr>
        <w:t>无极县人民政府办公室关于印发</w:t>
      </w:r>
      <w:r>
        <w:rPr>
          <w:rFonts w:hint="eastAsia" w:ascii="楷体" w:hAnsi="楷体" w:eastAsia="楷体" w:cs="楷体"/>
          <w:sz w:val="28"/>
          <w:szCs w:val="28"/>
        </w:rPr>
        <w:t>《</w:t>
      </w:r>
      <w:r>
        <w:rPr>
          <w:rFonts w:hint="eastAsia" w:ascii="楷体" w:hAnsi="楷体" w:eastAsia="楷体" w:cs="楷体"/>
          <w:sz w:val="28"/>
          <w:szCs w:val="28"/>
          <w:lang w:eastAsia="zh-CN"/>
        </w:rPr>
        <w:t>关于全面推进城镇老旧小区改造工作的实施方案</w:t>
      </w:r>
      <w:r>
        <w:rPr>
          <w:rFonts w:hint="eastAsia" w:ascii="楷体" w:hAnsi="楷体" w:eastAsia="楷体" w:cs="楷体"/>
          <w:sz w:val="28"/>
          <w:szCs w:val="28"/>
        </w:rPr>
        <w:t>》</w:t>
      </w:r>
      <w:r>
        <w:rPr>
          <w:rFonts w:hint="eastAsia" w:ascii="楷体" w:hAnsi="楷体" w:eastAsia="楷体" w:cs="楷体"/>
          <w:sz w:val="28"/>
          <w:szCs w:val="28"/>
          <w:lang w:eastAsia="zh-CN"/>
        </w:rPr>
        <w:t>的通知</w:t>
      </w:r>
      <w:r>
        <w:rPr>
          <w:rFonts w:hint="eastAsia" w:ascii="楷体" w:hAnsi="楷体" w:eastAsia="楷体" w:cs="楷体"/>
          <w:sz w:val="28"/>
          <w:szCs w:val="28"/>
        </w:rPr>
        <w:t>，</w:t>
      </w:r>
      <w:r>
        <w:rPr>
          <w:rFonts w:hint="eastAsia" w:ascii="楷体" w:hAnsi="楷体" w:eastAsia="楷体" w:cs="楷体"/>
          <w:sz w:val="28"/>
          <w:szCs w:val="28"/>
          <w:lang w:eastAsia="zh-CN"/>
        </w:rPr>
        <w:t>河北省财政厅</w:t>
      </w:r>
      <w:r>
        <w:rPr>
          <w:rFonts w:hint="eastAsia" w:ascii="楷体" w:hAnsi="楷体" w:eastAsia="楷体" w:cs="楷体"/>
          <w:sz w:val="28"/>
          <w:szCs w:val="28"/>
          <w:lang w:val="en-US" w:eastAsia="zh-CN"/>
        </w:rPr>
        <w:t xml:space="preserve"> 河北省住房和城乡建设厅《关于下达2022年中央财政城镇保障性安居工程补助资金预算的通知》（冀财综【2022】29号），</w:t>
      </w:r>
      <w:r>
        <w:rPr>
          <w:rFonts w:hint="eastAsia" w:ascii="楷体" w:hAnsi="楷体" w:eastAsia="楷体" w:cs="楷体"/>
          <w:sz w:val="28"/>
          <w:szCs w:val="28"/>
          <w:highlight w:val="none"/>
        </w:rPr>
        <w:t>该项目资金</w:t>
      </w:r>
      <w:r>
        <w:rPr>
          <w:rFonts w:hint="eastAsia" w:ascii="楷体" w:hAnsi="楷体" w:eastAsia="楷体" w:cs="楷体"/>
          <w:sz w:val="28"/>
          <w:szCs w:val="28"/>
          <w:highlight w:val="none"/>
          <w:lang w:eastAsia="zh-CN"/>
        </w:rPr>
        <w:t>来源为政府资金</w:t>
      </w:r>
      <w:r>
        <w:rPr>
          <w:rFonts w:hint="eastAsia" w:ascii="楷体" w:hAnsi="楷体" w:eastAsia="楷体" w:cs="楷体"/>
          <w:sz w:val="28"/>
          <w:szCs w:val="28"/>
          <w:highlight w:val="none"/>
        </w:rPr>
        <w:t>。预算资金分配依据充分，资金分配额度</w:t>
      </w:r>
      <w:r>
        <w:rPr>
          <w:rFonts w:hint="eastAsia" w:ascii="楷体" w:hAnsi="楷体" w:eastAsia="楷体" w:cs="楷体"/>
          <w:sz w:val="28"/>
          <w:szCs w:val="28"/>
          <w:highlight w:val="none"/>
          <w:lang w:eastAsia="zh-CN"/>
        </w:rPr>
        <w:t>较为合理</w:t>
      </w:r>
      <w:r>
        <w:rPr>
          <w:rFonts w:hint="eastAsia" w:ascii="楷体" w:hAnsi="楷体" w:eastAsia="楷体" w:cs="楷体"/>
          <w:sz w:val="28"/>
          <w:szCs w:val="28"/>
          <w:highlight w:val="none"/>
        </w:rPr>
        <w:t>，与项目单位实际</w:t>
      </w:r>
      <w:r>
        <w:rPr>
          <w:rFonts w:hint="eastAsia" w:ascii="楷体" w:hAnsi="楷体" w:eastAsia="楷体" w:cs="楷体"/>
          <w:sz w:val="28"/>
          <w:szCs w:val="28"/>
          <w:highlight w:val="none"/>
          <w:lang w:eastAsia="zh-CN"/>
        </w:rPr>
        <w:t>较为</w:t>
      </w:r>
      <w:r>
        <w:rPr>
          <w:rFonts w:hint="eastAsia" w:ascii="楷体" w:hAnsi="楷体" w:eastAsia="楷体" w:cs="楷体"/>
          <w:sz w:val="28"/>
          <w:szCs w:val="28"/>
          <w:highlight w:val="none"/>
        </w:rPr>
        <w:t>适应。</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该指标满分6分，评价得分</w:t>
      </w:r>
      <w:r>
        <w:rPr>
          <w:rFonts w:hint="eastAsia" w:ascii="楷体" w:hAnsi="楷体" w:eastAsia="楷体" w:cs="楷体"/>
          <w:sz w:val="28"/>
          <w:szCs w:val="28"/>
          <w:lang w:val="en-US" w:eastAsia="zh-CN"/>
        </w:rPr>
        <w:t>6</w:t>
      </w:r>
      <w:r>
        <w:rPr>
          <w:rFonts w:hint="eastAsia" w:ascii="楷体" w:hAnsi="楷体" w:eastAsia="楷体" w:cs="楷体"/>
          <w:sz w:val="28"/>
          <w:szCs w:val="28"/>
        </w:rPr>
        <w:t>分。</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1"/>
        <w:rPr>
          <w:rFonts w:hint="eastAsia" w:ascii="楷体" w:hAnsi="楷体" w:eastAsia="楷体" w:cs="楷体"/>
          <w:sz w:val="28"/>
          <w:szCs w:val="28"/>
        </w:rPr>
      </w:pPr>
      <w:bookmarkStart w:id="11" w:name="_Toc31165"/>
      <w:r>
        <w:rPr>
          <w:rFonts w:hint="eastAsia" w:ascii="楷体" w:hAnsi="楷体" w:eastAsia="楷体" w:cs="楷体"/>
          <w:sz w:val="28"/>
          <w:szCs w:val="28"/>
        </w:rPr>
        <w:t>（二）项目过程指标</w:t>
      </w:r>
      <w:bookmarkEnd w:id="11"/>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项目过程绩效得分情况表</w:t>
      </w:r>
    </w:p>
    <w:tbl>
      <w:tblPr>
        <w:tblStyle w:val="7"/>
        <w:tblW w:w="79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1990"/>
        <w:gridCol w:w="1990"/>
        <w:gridCol w:w="1990"/>
        <w:gridCol w:w="19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0" w:hRule="atLeast"/>
          <w:jc w:val="center"/>
        </w:trPr>
        <w:tc>
          <w:tcPr>
            <w:tcW w:w="199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一级指标</w:t>
            </w:r>
          </w:p>
        </w:tc>
        <w:tc>
          <w:tcPr>
            <w:tcW w:w="199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二级指标</w:t>
            </w:r>
          </w:p>
        </w:tc>
        <w:tc>
          <w:tcPr>
            <w:tcW w:w="199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三级指标</w:t>
            </w:r>
          </w:p>
        </w:tc>
        <w:tc>
          <w:tcPr>
            <w:tcW w:w="199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0" w:hRule="atLeast"/>
          <w:jc w:val="center"/>
        </w:trPr>
        <w:tc>
          <w:tcPr>
            <w:tcW w:w="1990" w:type="dxa"/>
            <w:vMerge w:val="restart"/>
            <w:vAlign w:val="top"/>
          </w:tcPr>
          <w:p>
            <w:pPr>
              <w:keepNext w:val="0"/>
              <w:keepLines w:val="0"/>
              <w:pageBreakBefore w:val="0"/>
              <w:widowControl w:val="0"/>
              <w:kinsoku/>
              <w:wordWrap/>
              <w:overflowPunct/>
              <w:topLinePunct w:val="0"/>
              <w:autoSpaceDE/>
              <w:autoSpaceDN/>
              <w:bidi w:val="0"/>
              <w:adjustRightInd/>
              <w:snapToGrid/>
              <w:spacing w:before="1416"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项目过程</w:t>
            </w:r>
          </w:p>
          <w:p>
            <w:pPr>
              <w:keepNext w:val="0"/>
              <w:keepLines w:val="0"/>
              <w:pageBreakBefore w:val="0"/>
              <w:widowControl w:val="0"/>
              <w:kinsoku/>
              <w:wordWrap/>
              <w:overflowPunct/>
              <w:topLinePunct w:val="0"/>
              <w:autoSpaceDE/>
              <w:autoSpaceDN/>
              <w:bidi w:val="0"/>
              <w:adjustRightInd/>
              <w:snapToGrid/>
              <w:spacing w:before="138"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（15分）</w:t>
            </w:r>
          </w:p>
        </w:tc>
        <w:tc>
          <w:tcPr>
            <w:tcW w:w="1990" w:type="dxa"/>
            <w:vMerge w:val="restart"/>
            <w:vAlign w:val="center"/>
          </w:tcPr>
          <w:p>
            <w:pPr>
              <w:keepNext w:val="0"/>
              <w:keepLines w:val="0"/>
              <w:pageBreakBefore w:val="0"/>
              <w:widowControl w:val="0"/>
              <w:kinsoku/>
              <w:wordWrap/>
              <w:overflowPunct/>
              <w:topLinePunct w:val="0"/>
              <w:autoSpaceDE/>
              <w:autoSpaceDN/>
              <w:bidi w:val="0"/>
              <w:adjustRightInd/>
              <w:snapToGrid/>
              <w:spacing w:before="1171"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资金管理（10分）</w:t>
            </w:r>
          </w:p>
        </w:tc>
        <w:tc>
          <w:tcPr>
            <w:tcW w:w="199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资金到位率（3分）</w:t>
            </w:r>
          </w:p>
        </w:tc>
        <w:tc>
          <w:tcPr>
            <w:tcW w:w="199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楷体" w:hAnsi="楷体" w:eastAsia="楷体" w:cs="楷体"/>
                <w:sz w:val="28"/>
                <w:szCs w:val="28"/>
                <w:lang w:val="en-US" w:eastAsia="zh-CN"/>
              </w:rPr>
            </w:pPr>
            <w:r>
              <w:rPr>
                <w:rFonts w:hint="eastAsia" w:ascii="楷体" w:hAnsi="楷体" w:eastAsia="楷体" w:cs="楷体"/>
                <w:color w:val="auto"/>
                <w:sz w:val="28"/>
                <w:szCs w:val="28"/>
                <w:lang w:val="en-US" w:eastAsia="zh-CN"/>
              </w:rPr>
              <w:t>2.9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920" w:hRule="atLeast"/>
          <w:jc w:val="center"/>
        </w:trPr>
        <w:tc>
          <w:tcPr>
            <w:tcW w:w="1990"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1990"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199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预算执行率（3分）</w:t>
            </w:r>
          </w:p>
        </w:tc>
        <w:tc>
          <w:tcPr>
            <w:tcW w:w="1990" w:type="dxa"/>
            <w:vAlign w:val="center"/>
          </w:tcPr>
          <w:p>
            <w:pPr>
              <w:keepNext w:val="0"/>
              <w:keepLines w:val="0"/>
              <w:pageBreakBefore w:val="0"/>
              <w:widowControl w:val="0"/>
              <w:kinsoku/>
              <w:wordWrap/>
              <w:overflowPunct/>
              <w:topLinePunct w:val="0"/>
              <w:autoSpaceDE/>
              <w:autoSpaceDN/>
              <w:bidi w:val="0"/>
              <w:adjustRightInd/>
              <w:snapToGrid/>
              <w:spacing w:before="337" w:line="520" w:lineRule="exact"/>
              <w:jc w:val="center"/>
              <w:textAlignment w:val="auto"/>
              <w:rPr>
                <w:rFonts w:hint="default" w:ascii="楷体" w:hAnsi="楷体" w:eastAsia="楷体" w:cs="楷体"/>
                <w:sz w:val="28"/>
                <w:szCs w:val="28"/>
                <w:lang w:val="en-US" w:eastAsia="zh-CN"/>
              </w:rPr>
            </w:pPr>
            <w:r>
              <w:rPr>
                <w:rFonts w:hint="eastAsia" w:ascii="楷体" w:hAnsi="楷体" w:eastAsia="楷体" w:cs="楷体"/>
                <w:color w:val="000000"/>
                <w:sz w:val="28"/>
                <w:szCs w:val="28"/>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140" w:hRule="atLeast"/>
          <w:jc w:val="center"/>
        </w:trPr>
        <w:tc>
          <w:tcPr>
            <w:tcW w:w="1990"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1990"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1990" w:type="dxa"/>
            <w:vAlign w:val="top"/>
          </w:tcPr>
          <w:p>
            <w:pPr>
              <w:keepNext w:val="0"/>
              <w:keepLines w:val="0"/>
              <w:pageBreakBefore w:val="0"/>
              <w:widowControl w:val="0"/>
              <w:kinsoku/>
              <w:wordWrap/>
              <w:overflowPunct/>
              <w:topLinePunct w:val="0"/>
              <w:autoSpaceDE/>
              <w:autoSpaceDN/>
              <w:bidi w:val="0"/>
              <w:adjustRightInd/>
              <w:snapToGrid/>
              <w:spacing w:before="43"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资金使用合规性</w:t>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（4分）</w:t>
            </w:r>
          </w:p>
        </w:tc>
        <w:tc>
          <w:tcPr>
            <w:tcW w:w="1990" w:type="dxa"/>
            <w:vAlign w:val="center"/>
          </w:tcPr>
          <w:p>
            <w:pPr>
              <w:keepNext w:val="0"/>
              <w:keepLines w:val="0"/>
              <w:pageBreakBefore w:val="0"/>
              <w:widowControl w:val="0"/>
              <w:kinsoku/>
              <w:wordWrap/>
              <w:overflowPunct/>
              <w:topLinePunct w:val="0"/>
              <w:autoSpaceDE/>
              <w:autoSpaceDN/>
              <w:bidi w:val="0"/>
              <w:adjustRightInd/>
              <w:snapToGrid/>
              <w:spacing w:before="423"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140" w:hRule="atLeast"/>
          <w:jc w:val="center"/>
        </w:trPr>
        <w:tc>
          <w:tcPr>
            <w:tcW w:w="1990"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1990" w:type="dxa"/>
            <w:vMerge w:val="restar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组织实施（5分）</w:t>
            </w:r>
          </w:p>
        </w:tc>
        <w:tc>
          <w:tcPr>
            <w:tcW w:w="1990" w:type="dxa"/>
            <w:vAlign w:val="top"/>
          </w:tcPr>
          <w:p>
            <w:pPr>
              <w:keepNext w:val="0"/>
              <w:keepLines w:val="0"/>
              <w:pageBreakBefore w:val="0"/>
              <w:widowControl w:val="0"/>
              <w:kinsoku/>
              <w:wordWrap/>
              <w:overflowPunct/>
              <w:topLinePunct w:val="0"/>
              <w:autoSpaceDE/>
              <w:autoSpaceDN/>
              <w:bidi w:val="0"/>
              <w:adjustRightInd/>
              <w:snapToGrid/>
              <w:spacing w:before="48"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管理制度健全性</w:t>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（2分）</w:t>
            </w:r>
          </w:p>
        </w:tc>
        <w:tc>
          <w:tcPr>
            <w:tcW w:w="1990" w:type="dxa"/>
            <w:vAlign w:val="center"/>
          </w:tcPr>
          <w:p>
            <w:pPr>
              <w:keepNext w:val="0"/>
              <w:keepLines w:val="0"/>
              <w:pageBreakBefore w:val="0"/>
              <w:widowControl w:val="0"/>
              <w:kinsoku/>
              <w:wordWrap/>
              <w:overflowPunct/>
              <w:topLinePunct w:val="0"/>
              <w:autoSpaceDE/>
              <w:autoSpaceDN/>
              <w:bidi w:val="0"/>
              <w:adjustRightInd/>
              <w:snapToGrid/>
              <w:spacing w:before="422"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140" w:hRule="atLeast"/>
          <w:jc w:val="center"/>
        </w:trPr>
        <w:tc>
          <w:tcPr>
            <w:tcW w:w="1990"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1990" w:type="dxa"/>
            <w:vMerge w:val="continue"/>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color w:val="000000"/>
                <w:sz w:val="28"/>
                <w:szCs w:val="28"/>
              </w:rPr>
            </w:pPr>
          </w:p>
        </w:tc>
        <w:tc>
          <w:tcPr>
            <w:tcW w:w="1990" w:type="dxa"/>
            <w:vAlign w:val="top"/>
          </w:tcPr>
          <w:p>
            <w:pPr>
              <w:keepNext w:val="0"/>
              <w:keepLines w:val="0"/>
              <w:pageBreakBefore w:val="0"/>
              <w:widowControl w:val="0"/>
              <w:kinsoku/>
              <w:wordWrap/>
              <w:overflowPunct/>
              <w:topLinePunct w:val="0"/>
              <w:autoSpaceDE/>
              <w:autoSpaceDN/>
              <w:bidi w:val="0"/>
              <w:adjustRightInd/>
              <w:snapToGrid/>
              <w:spacing w:before="26"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制度执行有效性</w:t>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color w:val="000000"/>
                <w:sz w:val="28"/>
                <w:szCs w:val="28"/>
              </w:rPr>
            </w:pPr>
            <w:r>
              <w:rPr>
                <w:rFonts w:hint="eastAsia" w:ascii="楷体" w:hAnsi="楷体" w:eastAsia="楷体" w:cs="楷体"/>
                <w:color w:val="000000"/>
                <w:sz w:val="28"/>
                <w:szCs w:val="28"/>
              </w:rPr>
              <w:t>（3分）</w:t>
            </w:r>
          </w:p>
        </w:tc>
        <w:tc>
          <w:tcPr>
            <w:tcW w:w="1990" w:type="dxa"/>
            <w:vAlign w:val="center"/>
          </w:tcPr>
          <w:p>
            <w:pPr>
              <w:keepNext w:val="0"/>
              <w:keepLines w:val="0"/>
              <w:pageBreakBefore w:val="0"/>
              <w:widowControl w:val="0"/>
              <w:kinsoku/>
              <w:wordWrap/>
              <w:overflowPunct/>
              <w:topLinePunct w:val="0"/>
              <w:autoSpaceDE/>
              <w:autoSpaceDN/>
              <w:bidi w:val="0"/>
              <w:adjustRightInd/>
              <w:snapToGrid/>
              <w:spacing w:before="430" w:line="520" w:lineRule="exact"/>
              <w:jc w:val="center"/>
              <w:textAlignment w:val="auto"/>
              <w:rPr>
                <w:rFonts w:hint="default" w:ascii="楷体" w:hAnsi="楷体" w:eastAsia="楷体" w:cs="楷体"/>
                <w:color w:val="000000"/>
                <w:sz w:val="28"/>
                <w:szCs w:val="28"/>
                <w:lang w:val="en-US" w:eastAsia="zh-CN"/>
              </w:rPr>
            </w:pPr>
            <w:r>
              <w:rPr>
                <w:rFonts w:hint="eastAsia" w:ascii="楷体" w:hAnsi="楷体" w:eastAsia="楷体" w:cs="楷体"/>
                <w:color w:val="000000"/>
                <w:sz w:val="28"/>
                <w:szCs w:val="28"/>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75" w:hRule="atLeast"/>
          <w:jc w:val="center"/>
        </w:trPr>
        <w:tc>
          <w:tcPr>
            <w:tcW w:w="5970" w:type="dxa"/>
            <w:gridSpan w:val="3"/>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color w:val="000000"/>
                <w:sz w:val="28"/>
                <w:szCs w:val="28"/>
              </w:rPr>
            </w:pPr>
            <w:r>
              <w:rPr>
                <w:rFonts w:hint="eastAsia" w:ascii="楷体" w:hAnsi="楷体" w:eastAsia="楷体" w:cs="楷体"/>
                <w:color w:val="000000"/>
                <w:sz w:val="28"/>
                <w:szCs w:val="28"/>
              </w:rPr>
              <w:t>合计</w:t>
            </w:r>
          </w:p>
        </w:tc>
        <w:tc>
          <w:tcPr>
            <w:tcW w:w="199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楷体" w:hAnsi="楷体" w:eastAsia="楷体" w:cs="楷体"/>
                <w:color w:val="000000"/>
                <w:sz w:val="28"/>
                <w:szCs w:val="28"/>
                <w:lang w:val="en-US" w:eastAsia="zh-CN"/>
              </w:rPr>
            </w:pPr>
            <w:r>
              <w:rPr>
                <w:rFonts w:hint="eastAsia" w:ascii="楷体" w:hAnsi="楷体" w:eastAsia="楷体" w:cs="楷体"/>
                <w:color w:val="000000"/>
                <w:sz w:val="28"/>
                <w:szCs w:val="28"/>
                <w:lang w:val="en-US" w:eastAsia="zh-CN"/>
              </w:rPr>
              <w:t>13.9</w:t>
            </w:r>
          </w:p>
        </w:tc>
      </w:tr>
    </w:tbl>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1．资金管理指标（满分10分，评价得分</w:t>
      </w:r>
      <w:r>
        <w:rPr>
          <w:rFonts w:hint="eastAsia" w:ascii="楷体" w:hAnsi="楷体" w:eastAsia="楷体" w:cs="楷体"/>
          <w:sz w:val="28"/>
          <w:szCs w:val="28"/>
          <w:lang w:val="en-US" w:eastAsia="zh-CN"/>
        </w:rPr>
        <w:t>9.9</w:t>
      </w:r>
      <w:r>
        <w:rPr>
          <w:rFonts w:hint="eastAsia" w:ascii="楷体" w:hAnsi="楷体" w:eastAsia="楷体" w:cs="楷体"/>
          <w:sz w:val="28"/>
          <w:szCs w:val="28"/>
        </w:rPr>
        <w:t>分）</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（1）资金到位率。主要考核该项目实际到位资金占实际预算资金的比例。</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rPr>
      </w:pPr>
      <w:r>
        <w:rPr>
          <w:rFonts w:hint="eastAsia" w:ascii="楷体" w:hAnsi="楷体" w:eastAsia="楷体" w:cs="楷体"/>
          <w:sz w:val="28"/>
          <w:szCs w:val="28"/>
          <w:lang w:eastAsia="zh-CN"/>
        </w:rPr>
        <w:t>无极县2022年老旧小区建筑主体改造项目</w:t>
      </w:r>
      <w:r>
        <w:rPr>
          <w:rFonts w:hint="eastAsia" w:ascii="楷体" w:hAnsi="楷体" w:eastAsia="楷体" w:cs="楷体"/>
          <w:sz w:val="28"/>
          <w:szCs w:val="28"/>
        </w:rPr>
        <w:t>预算资金</w:t>
      </w:r>
      <w:r>
        <w:rPr>
          <w:rFonts w:hint="eastAsia" w:ascii="楷体" w:hAnsi="楷体" w:eastAsia="楷体" w:cs="楷体"/>
          <w:color w:val="auto"/>
          <w:sz w:val="28"/>
          <w:szCs w:val="28"/>
          <w:highlight w:val="none"/>
          <w:lang w:val="en-US" w:eastAsia="zh-CN"/>
        </w:rPr>
        <w:t>935</w:t>
      </w:r>
      <w:r>
        <w:rPr>
          <w:rFonts w:hint="eastAsia" w:ascii="楷体" w:hAnsi="楷体" w:eastAsia="楷体" w:cs="楷体"/>
          <w:sz w:val="28"/>
          <w:szCs w:val="28"/>
        </w:rPr>
        <w:t>万元。截至评价日</w:t>
      </w:r>
      <w:r>
        <w:rPr>
          <w:rFonts w:hint="eastAsia" w:ascii="楷体" w:hAnsi="楷体" w:eastAsia="楷体" w:cs="楷体"/>
          <w:sz w:val="28"/>
          <w:szCs w:val="28"/>
          <w:lang w:val="en-US" w:eastAsia="zh-CN"/>
        </w:rPr>
        <w:t>2023</w:t>
      </w:r>
      <w:r>
        <w:rPr>
          <w:rFonts w:hint="eastAsia" w:ascii="楷体" w:hAnsi="楷体" w:eastAsia="楷体" w:cs="楷体"/>
          <w:sz w:val="28"/>
          <w:szCs w:val="28"/>
        </w:rPr>
        <w:t>年</w:t>
      </w:r>
      <w:r>
        <w:rPr>
          <w:rFonts w:hint="eastAsia" w:ascii="楷体" w:hAnsi="楷体" w:eastAsia="楷体" w:cs="楷体"/>
          <w:sz w:val="28"/>
          <w:szCs w:val="28"/>
          <w:highlight w:val="none"/>
          <w:lang w:val="en-US" w:eastAsia="zh-CN"/>
        </w:rPr>
        <w:t>10月23日</w:t>
      </w:r>
      <w:r>
        <w:rPr>
          <w:rFonts w:hint="eastAsia" w:ascii="楷体" w:hAnsi="楷体" w:eastAsia="楷体" w:cs="楷体"/>
          <w:sz w:val="28"/>
          <w:szCs w:val="28"/>
        </w:rPr>
        <w:t>，</w:t>
      </w:r>
      <w:r>
        <w:rPr>
          <w:rFonts w:hint="eastAsia" w:ascii="楷体" w:hAnsi="楷体" w:eastAsia="楷体" w:cs="楷体"/>
          <w:sz w:val="28"/>
          <w:szCs w:val="28"/>
          <w:lang w:eastAsia="zh-CN"/>
        </w:rPr>
        <w:t>无极县住房和城乡建设局</w:t>
      </w:r>
      <w:r>
        <w:rPr>
          <w:rFonts w:hint="eastAsia" w:ascii="楷体" w:hAnsi="楷体" w:eastAsia="楷体" w:cs="楷体"/>
          <w:sz w:val="28"/>
          <w:szCs w:val="28"/>
        </w:rPr>
        <w:t>共收到</w:t>
      </w:r>
      <w:r>
        <w:rPr>
          <w:rFonts w:hint="eastAsia" w:ascii="楷体" w:hAnsi="楷体" w:eastAsia="楷体" w:cs="楷体"/>
          <w:sz w:val="28"/>
          <w:szCs w:val="28"/>
          <w:lang w:eastAsia="zh-CN"/>
        </w:rPr>
        <w:t>老旧小区建筑主体改造</w:t>
      </w:r>
      <w:r>
        <w:rPr>
          <w:rFonts w:hint="eastAsia" w:ascii="楷体" w:hAnsi="楷体" w:eastAsia="楷体" w:cs="楷体"/>
          <w:sz w:val="28"/>
          <w:szCs w:val="28"/>
        </w:rPr>
        <w:t>项目资金</w:t>
      </w:r>
      <w:r>
        <w:rPr>
          <w:rFonts w:hint="eastAsia" w:ascii="楷体" w:hAnsi="楷体" w:eastAsia="楷体" w:cs="楷体"/>
          <w:sz w:val="28"/>
          <w:szCs w:val="28"/>
          <w:lang w:val="en-US" w:eastAsia="zh-CN"/>
        </w:rPr>
        <w:t>904</w:t>
      </w:r>
      <w:r>
        <w:rPr>
          <w:rFonts w:hint="eastAsia" w:ascii="楷体" w:hAnsi="楷体" w:eastAsia="楷体" w:cs="楷体"/>
          <w:sz w:val="28"/>
          <w:szCs w:val="28"/>
        </w:rPr>
        <w:t>万元。资金到位率为</w:t>
      </w:r>
      <w:r>
        <w:rPr>
          <w:rFonts w:hint="eastAsia" w:ascii="楷体" w:hAnsi="楷体" w:eastAsia="楷体" w:cs="楷体"/>
          <w:color w:val="auto"/>
          <w:sz w:val="28"/>
          <w:szCs w:val="28"/>
          <w:lang w:val="en-US" w:eastAsia="zh-CN"/>
        </w:rPr>
        <w:t>96.68</w:t>
      </w:r>
      <w:r>
        <w:rPr>
          <w:rFonts w:hint="eastAsia" w:ascii="楷体" w:hAnsi="楷体" w:eastAsia="楷体" w:cs="楷体"/>
          <w:color w:val="auto"/>
          <w:sz w:val="28"/>
          <w:szCs w:val="28"/>
        </w:rPr>
        <w:t>％</w:t>
      </w:r>
      <w:r>
        <w:rPr>
          <w:rFonts w:hint="eastAsia" w:ascii="楷体" w:hAnsi="楷体" w:eastAsia="楷体" w:cs="楷体"/>
          <w:sz w:val="28"/>
          <w:szCs w:val="28"/>
        </w:rPr>
        <w:t>。</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（2）预算执行率。主要考核该项目实际支出资金占实际到位资金的比例。</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rPr>
      </w:pPr>
      <w:r>
        <w:rPr>
          <w:rFonts w:hint="eastAsia" w:ascii="楷体" w:hAnsi="楷体" w:eastAsia="楷体" w:cs="楷体"/>
          <w:sz w:val="28"/>
          <w:szCs w:val="28"/>
          <w:lang w:eastAsia="zh-CN"/>
        </w:rPr>
        <w:t>无极县2022年老旧小区建筑主体改造项目实际支出</w:t>
      </w:r>
      <w:r>
        <w:rPr>
          <w:rFonts w:hint="eastAsia" w:ascii="楷体" w:hAnsi="楷体" w:eastAsia="楷体" w:cs="楷体"/>
          <w:sz w:val="28"/>
          <w:szCs w:val="28"/>
        </w:rPr>
        <w:t>资金</w:t>
      </w:r>
      <w:r>
        <w:rPr>
          <w:rFonts w:hint="eastAsia" w:ascii="楷体" w:hAnsi="楷体" w:eastAsia="楷体" w:cs="楷体"/>
          <w:sz w:val="28"/>
          <w:szCs w:val="28"/>
          <w:lang w:val="en-US" w:eastAsia="zh-CN"/>
        </w:rPr>
        <w:t>904</w:t>
      </w:r>
      <w:r>
        <w:rPr>
          <w:rFonts w:hint="eastAsia" w:ascii="楷体" w:hAnsi="楷体" w:eastAsia="楷体" w:cs="楷体"/>
          <w:sz w:val="28"/>
          <w:szCs w:val="28"/>
        </w:rPr>
        <w:t>万元，</w:t>
      </w:r>
      <w:r>
        <w:rPr>
          <w:rFonts w:hint="eastAsia" w:ascii="楷体" w:hAnsi="楷体" w:eastAsia="楷体" w:cs="楷体"/>
          <w:sz w:val="28"/>
          <w:szCs w:val="28"/>
          <w:lang w:eastAsia="zh-CN"/>
        </w:rPr>
        <w:t>实际到位资金</w:t>
      </w:r>
      <w:r>
        <w:rPr>
          <w:rFonts w:hint="eastAsia" w:ascii="楷体" w:hAnsi="楷体" w:eastAsia="楷体" w:cs="楷体"/>
          <w:sz w:val="28"/>
          <w:szCs w:val="28"/>
          <w:lang w:val="en-US" w:eastAsia="zh-CN"/>
        </w:rPr>
        <w:t>904万元</w:t>
      </w:r>
      <w:r>
        <w:rPr>
          <w:rFonts w:hint="eastAsia" w:ascii="楷体" w:hAnsi="楷体" w:eastAsia="楷体" w:cs="楷体"/>
          <w:sz w:val="28"/>
          <w:szCs w:val="28"/>
          <w:lang w:eastAsia="zh-CN"/>
        </w:rPr>
        <w:t>，预算执行率为</w:t>
      </w:r>
      <w:r>
        <w:rPr>
          <w:rFonts w:hint="eastAsia" w:ascii="楷体" w:hAnsi="楷体" w:eastAsia="楷体" w:cs="楷体"/>
          <w:sz w:val="28"/>
          <w:szCs w:val="28"/>
          <w:lang w:val="en-US" w:eastAsia="zh-CN"/>
        </w:rPr>
        <w:t>100%</w:t>
      </w:r>
      <w:r>
        <w:rPr>
          <w:rFonts w:hint="eastAsia" w:ascii="楷体" w:hAnsi="楷体" w:eastAsia="楷体" w:cs="楷体"/>
          <w:sz w:val="28"/>
          <w:szCs w:val="28"/>
        </w:rPr>
        <w:t>。</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3）资金使用合规性。主要考核该项目是否符合国家财经法规和财务管理制度以及有关专项资金管理办法的规定，资金的拨付是否有完整的审批程序和手续，是否符合项目预算批复或合同规定的用途，是否存在截留、挤占、挪用、虚列支出等情况。</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rPr>
      </w:pPr>
      <w:r>
        <w:rPr>
          <w:rFonts w:hint="eastAsia" w:ascii="楷体" w:hAnsi="楷体" w:eastAsia="楷体" w:cs="楷体"/>
          <w:sz w:val="28"/>
          <w:szCs w:val="28"/>
        </w:rPr>
        <w:t>经抽查该项目收、支凭证，专项资金使用规范，符合国家财经法规、财务管理制度等有关规定，资金拨付程序完整，手续齐全，未发现截留、挤占、挪用、虚列支出等情况。</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该指标满分10分，评价得分</w:t>
      </w:r>
      <w:r>
        <w:rPr>
          <w:rFonts w:hint="eastAsia" w:ascii="楷体" w:hAnsi="楷体" w:eastAsia="楷体" w:cs="楷体"/>
          <w:sz w:val="28"/>
          <w:szCs w:val="28"/>
          <w:lang w:val="en-US" w:eastAsia="zh-CN"/>
        </w:rPr>
        <w:t>9.9</w:t>
      </w:r>
      <w:r>
        <w:rPr>
          <w:rFonts w:hint="eastAsia" w:ascii="楷体" w:hAnsi="楷体" w:eastAsia="楷体" w:cs="楷体"/>
          <w:sz w:val="28"/>
          <w:szCs w:val="28"/>
        </w:rPr>
        <w:t>分。</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2．组织实施指标（满分5分，评价得分</w:t>
      </w:r>
      <w:r>
        <w:rPr>
          <w:rFonts w:hint="eastAsia" w:ascii="楷体" w:hAnsi="楷体" w:eastAsia="楷体" w:cs="楷体"/>
          <w:sz w:val="28"/>
          <w:szCs w:val="28"/>
          <w:lang w:val="en-US" w:eastAsia="zh-CN"/>
        </w:rPr>
        <w:t>4</w:t>
      </w:r>
      <w:r>
        <w:rPr>
          <w:rFonts w:hint="eastAsia" w:ascii="楷体" w:hAnsi="楷体" w:eastAsia="楷体" w:cs="楷体"/>
          <w:sz w:val="28"/>
          <w:szCs w:val="28"/>
        </w:rPr>
        <w:t>分）</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（1）管理制度健全性。主要考核该项目是否已制定或具有相应的财务管理制度、业务管理制度和监管制度，管理制度是否合法、合规、完整。</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rPr>
      </w:pPr>
      <w:r>
        <w:rPr>
          <w:rFonts w:hint="eastAsia" w:ascii="楷体" w:hAnsi="楷体" w:eastAsia="楷体" w:cs="楷体"/>
          <w:sz w:val="28"/>
          <w:szCs w:val="28"/>
        </w:rPr>
        <w:t>通过查阅</w:t>
      </w:r>
      <w:r>
        <w:rPr>
          <w:rFonts w:hint="eastAsia" w:ascii="楷体" w:hAnsi="楷体" w:eastAsia="楷体" w:cs="楷体"/>
          <w:sz w:val="28"/>
          <w:szCs w:val="28"/>
          <w:lang w:eastAsia="zh-CN"/>
        </w:rPr>
        <w:t>无极县住房和城乡建设局</w:t>
      </w:r>
      <w:r>
        <w:rPr>
          <w:rFonts w:hint="eastAsia" w:ascii="楷体" w:hAnsi="楷体" w:eastAsia="楷体" w:cs="楷体"/>
          <w:sz w:val="28"/>
          <w:szCs w:val="28"/>
        </w:rPr>
        <w:t>内部控制制度，</w:t>
      </w:r>
      <w:r>
        <w:rPr>
          <w:rFonts w:hint="eastAsia" w:ascii="楷体" w:hAnsi="楷体" w:eastAsia="楷体" w:cs="楷体"/>
          <w:sz w:val="28"/>
          <w:szCs w:val="28"/>
          <w:lang w:eastAsia="zh-CN"/>
        </w:rPr>
        <w:t>无极县住房和城乡建设局</w:t>
      </w:r>
      <w:r>
        <w:rPr>
          <w:rFonts w:hint="eastAsia" w:ascii="楷体" w:hAnsi="楷体" w:eastAsia="楷体" w:cs="楷体"/>
          <w:sz w:val="28"/>
          <w:szCs w:val="28"/>
        </w:rPr>
        <w:t>财务和业务管理制度基本健全，制度合法、合规。</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（2）制度执行有效性。主要考核该项目是否严格遵守相关法律法规、相关管理制度和通知规定，按规定履行招投标程序，签订合同，项目调整及支出调整手续是否完备，项目合同书、《</w:t>
      </w:r>
      <w:r>
        <w:rPr>
          <w:rFonts w:hint="eastAsia" w:ascii="楷体" w:hAnsi="楷体" w:eastAsia="楷体" w:cs="楷体"/>
          <w:sz w:val="28"/>
          <w:szCs w:val="28"/>
          <w:lang w:val="en-US" w:eastAsia="zh-CN"/>
        </w:rPr>
        <w:t>2022年老旧小区改造项目台账</w:t>
      </w:r>
      <w:r>
        <w:rPr>
          <w:rFonts w:hint="eastAsia" w:ascii="楷体" w:hAnsi="楷体" w:eastAsia="楷体" w:cs="楷体"/>
          <w:sz w:val="28"/>
          <w:szCs w:val="28"/>
        </w:rPr>
        <w:t>》等资料是否齐全并及时归档。</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rPr>
      </w:pPr>
      <w:r>
        <w:rPr>
          <w:rFonts w:hint="eastAsia" w:ascii="楷体" w:hAnsi="楷体" w:eastAsia="楷体" w:cs="楷体"/>
          <w:sz w:val="28"/>
          <w:szCs w:val="28"/>
        </w:rPr>
        <w:t>经评价，该项目的实施严格遵循相关法律法规、相关管理制度和通知的规定，项目调整及支出调整手续基本完备，项目合同书、《</w:t>
      </w:r>
      <w:r>
        <w:rPr>
          <w:rFonts w:hint="eastAsia" w:ascii="楷体" w:hAnsi="楷体" w:eastAsia="楷体" w:cs="楷体"/>
          <w:sz w:val="28"/>
          <w:szCs w:val="28"/>
          <w:lang w:val="en-US" w:eastAsia="zh-CN"/>
        </w:rPr>
        <w:t>2022年老旧小区改造项目台账</w:t>
      </w:r>
      <w:r>
        <w:rPr>
          <w:rFonts w:hint="eastAsia" w:ascii="楷体" w:hAnsi="楷体" w:eastAsia="楷体" w:cs="楷体"/>
          <w:sz w:val="28"/>
          <w:szCs w:val="28"/>
        </w:rPr>
        <w:t>》、《</w:t>
      </w:r>
      <w:r>
        <w:rPr>
          <w:rFonts w:hint="eastAsia" w:ascii="楷体" w:hAnsi="楷体" w:eastAsia="楷体" w:cs="楷体"/>
          <w:sz w:val="28"/>
          <w:szCs w:val="28"/>
          <w:lang w:eastAsia="zh-CN"/>
        </w:rPr>
        <w:t>石家庄市建设工程竣工验收报告</w:t>
      </w:r>
      <w:r>
        <w:rPr>
          <w:rFonts w:hint="eastAsia" w:ascii="楷体" w:hAnsi="楷体" w:eastAsia="楷体" w:cs="楷体"/>
          <w:sz w:val="28"/>
          <w:szCs w:val="28"/>
        </w:rPr>
        <w:t>》</w:t>
      </w:r>
      <w:r>
        <w:rPr>
          <w:rFonts w:hint="eastAsia" w:ascii="楷体" w:hAnsi="楷体" w:eastAsia="楷体" w:cs="楷体"/>
          <w:sz w:val="28"/>
          <w:szCs w:val="28"/>
          <w:lang w:eastAsia="zh-CN"/>
        </w:rPr>
        <w:t>、《施工日志》《监理日志》</w:t>
      </w:r>
      <w:r>
        <w:rPr>
          <w:rFonts w:hint="eastAsia" w:ascii="楷体" w:hAnsi="楷体" w:eastAsia="楷体" w:cs="楷体"/>
          <w:sz w:val="28"/>
          <w:szCs w:val="28"/>
        </w:rPr>
        <w:t>等档案资料归档及时、有序</w:t>
      </w:r>
      <w:r>
        <w:rPr>
          <w:rFonts w:hint="eastAsia" w:ascii="楷体" w:hAnsi="楷体" w:eastAsia="楷体" w:cs="楷体"/>
          <w:sz w:val="28"/>
          <w:szCs w:val="28"/>
          <w:lang w:eastAsia="zh-CN"/>
        </w:rPr>
        <w:t>，但未做结算审核报告和竣工决算报告，竣工验收报告不严谨，</w:t>
      </w:r>
      <w:r>
        <w:rPr>
          <w:rFonts w:hint="eastAsia" w:ascii="楷体" w:hAnsi="楷体" w:eastAsia="楷体" w:cs="楷体"/>
          <w:sz w:val="28"/>
          <w:szCs w:val="28"/>
          <w:lang w:val="en-US" w:eastAsia="zh-CN"/>
        </w:rPr>
        <w:t>27个小区只有一个总的竣工验收报告。</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该指标满分5分，评价得分</w:t>
      </w:r>
      <w:r>
        <w:rPr>
          <w:rFonts w:hint="eastAsia" w:ascii="楷体" w:hAnsi="楷体" w:eastAsia="楷体" w:cs="楷体"/>
          <w:sz w:val="28"/>
          <w:szCs w:val="28"/>
          <w:lang w:val="en-US" w:eastAsia="zh-CN"/>
        </w:rPr>
        <w:t>4</w:t>
      </w:r>
      <w:r>
        <w:rPr>
          <w:rFonts w:hint="eastAsia" w:ascii="楷体" w:hAnsi="楷体" w:eastAsia="楷体" w:cs="楷体"/>
          <w:sz w:val="28"/>
          <w:szCs w:val="28"/>
        </w:rPr>
        <w:t>分。</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1"/>
        <w:rPr>
          <w:rFonts w:hint="eastAsia" w:ascii="楷体" w:hAnsi="楷体" w:eastAsia="楷体" w:cs="楷体"/>
          <w:sz w:val="28"/>
          <w:szCs w:val="28"/>
        </w:rPr>
      </w:pPr>
      <w:bookmarkStart w:id="12" w:name="_Toc23060"/>
      <w:r>
        <w:rPr>
          <w:rFonts w:hint="eastAsia" w:ascii="楷体" w:hAnsi="楷体" w:eastAsia="楷体" w:cs="楷体"/>
          <w:sz w:val="28"/>
          <w:szCs w:val="28"/>
        </w:rPr>
        <w:t>（三）项目产出指标</w:t>
      </w:r>
      <w:bookmarkEnd w:id="12"/>
    </w:p>
    <w:p>
      <w:pPr>
        <w:keepNext w:val="0"/>
        <w:keepLines w:val="0"/>
        <w:pageBreakBefore w:val="0"/>
        <w:widowControl w:val="0"/>
        <w:kinsoku/>
        <w:wordWrap/>
        <w:overflowPunct/>
        <w:topLinePunct w:val="0"/>
        <w:autoSpaceDE/>
        <w:autoSpaceDN/>
        <w:bidi w:val="0"/>
        <w:adjustRightInd/>
        <w:snapToGrid/>
        <w:spacing w:line="520" w:lineRule="exact"/>
        <w:ind w:firstLine="2800" w:firstLineChars="1000"/>
        <w:textAlignment w:val="auto"/>
        <w:rPr>
          <w:rFonts w:hint="eastAsia" w:ascii="楷体" w:hAnsi="楷体" w:eastAsia="楷体" w:cs="楷体"/>
          <w:sz w:val="28"/>
          <w:szCs w:val="28"/>
        </w:rPr>
      </w:pPr>
      <w:r>
        <w:rPr>
          <w:rFonts w:hint="eastAsia" w:ascii="楷体" w:hAnsi="楷体" w:eastAsia="楷体" w:cs="楷体"/>
          <w:sz w:val="28"/>
          <w:szCs w:val="28"/>
        </w:rPr>
        <w:t>项目产出绩效得分情况表</w:t>
      </w:r>
    </w:p>
    <w:tbl>
      <w:tblPr>
        <w:tblStyle w:val="7"/>
        <w:tblW w:w="8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2236"/>
        <w:gridCol w:w="2236"/>
        <w:gridCol w:w="2760"/>
        <w:gridCol w:w="10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0" w:hRule="atLeast"/>
          <w:jc w:val="center"/>
        </w:trPr>
        <w:tc>
          <w:tcPr>
            <w:tcW w:w="2236" w:type="dxa"/>
            <w:vAlign w:val="center"/>
          </w:tcPr>
          <w:p>
            <w:pPr>
              <w:keepNext w:val="0"/>
              <w:keepLines w:val="0"/>
              <w:pageBreakBefore w:val="0"/>
              <w:widowControl w:val="0"/>
              <w:kinsoku/>
              <w:wordWrap/>
              <w:overflowPunct/>
              <w:topLinePunct w:val="0"/>
              <w:autoSpaceDE/>
              <w:autoSpaceDN/>
              <w:bidi w:val="0"/>
              <w:adjustRightInd/>
              <w:snapToGrid/>
              <w:spacing w:line="520" w:lineRule="exact"/>
              <w:ind w:firstLine="0"/>
              <w:jc w:val="both"/>
              <w:textAlignment w:val="auto"/>
              <w:rPr>
                <w:rFonts w:hint="eastAsia" w:ascii="楷体" w:hAnsi="楷体" w:eastAsia="楷体" w:cs="楷体"/>
                <w:sz w:val="28"/>
                <w:szCs w:val="28"/>
              </w:rPr>
            </w:pPr>
            <w:r>
              <w:rPr>
                <w:rFonts w:hint="eastAsia" w:ascii="楷体" w:hAnsi="楷体" w:eastAsia="楷体" w:cs="楷体"/>
                <w:color w:val="000000"/>
                <w:sz w:val="28"/>
                <w:szCs w:val="28"/>
              </w:rPr>
              <w:t>一级指标</w:t>
            </w:r>
          </w:p>
        </w:tc>
        <w:tc>
          <w:tcPr>
            <w:tcW w:w="2236"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二级指标</w:t>
            </w:r>
          </w:p>
        </w:tc>
        <w:tc>
          <w:tcPr>
            <w:tcW w:w="276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三级指标</w:t>
            </w:r>
          </w:p>
        </w:tc>
        <w:tc>
          <w:tcPr>
            <w:tcW w:w="1028"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0" w:hRule="atLeast"/>
          <w:jc w:val="center"/>
        </w:trPr>
        <w:tc>
          <w:tcPr>
            <w:tcW w:w="2236" w:type="dxa"/>
            <w:vMerge w:val="restart"/>
            <w:vAlign w:val="center"/>
          </w:tcPr>
          <w:p>
            <w:pPr>
              <w:keepNext w:val="0"/>
              <w:keepLines w:val="0"/>
              <w:pageBreakBefore w:val="0"/>
              <w:widowControl w:val="0"/>
              <w:kinsoku/>
              <w:wordWrap/>
              <w:overflowPunct/>
              <w:topLinePunct w:val="0"/>
              <w:autoSpaceDE/>
              <w:autoSpaceDN/>
              <w:bidi w:val="0"/>
              <w:adjustRightInd/>
              <w:snapToGrid/>
              <w:spacing w:before="1248" w:line="520" w:lineRule="exact"/>
              <w:ind w:left="120" w:firstLine="0"/>
              <w:jc w:val="both"/>
              <w:textAlignment w:val="auto"/>
              <w:rPr>
                <w:rFonts w:hint="eastAsia" w:ascii="楷体" w:hAnsi="楷体" w:eastAsia="楷体" w:cs="楷体"/>
                <w:sz w:val="28"/>
                <w:szCs w:val="28"/>
              </w:rPr>
            </w:pPr>
            <w:r>
              <w:rPr>
                <w:rFonts w:hint="eastAsia" w:ascii="楷体" w:hAnsi="楷体" w:eastAsia="楷体" w:cs="楷体"/>
                <w:color w:val="000000"/>
                <w:sz w:val="28"/>
                <w:szCs w:val="28"/>
              </w:rPr>
              <w:t>项目产出（40分）</w:t>
            </w:r>
          </w:p>
        </w:tc>
        <w:tc>
          <w:tcPr>
            <w:tcW w:w="2236"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产出数量（10分）</w:t>
            </w:r>
          </w:p>
        </w:tc>
        <w:tc>
          <w:tcPr>
            <w:tcW w:w="276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实际完成率（10分）</w:t>
            </w:r>
          </w:p>
        </w:tc>
        <w:tc>
          <w:tcPr>
            <w:tcW w:w="1028"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lang w:val="en-US" w:eastAsia="zh-CN"/>
              </w:rPr>
            </w:pPr>
            <w:r>
              <w:rPr>
                <w:rFonts w:hint="eastAsia" w:ascii="楷体" w:hAnsi="楷体" w:eastAsia="楷体" w:cs="楷体"/>
                <w:color w:val="000000"/>
                <w:sz w:val="28"/>
                <w:szCs w:val="28"/>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140" w:hRule="atLeast"/>
          <w:jc w:val="center"/>
        </w:trPr>
        <w:tc>
          <w:tcPr>
            <w:tcW w:w="2236"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2236"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产出质量（10分）</w:t>
            </w:r>
          </w:p>
        </w:tc>
        <w:tc>
          <w:tcPr>
            <w:tcW w:w="2760" w:type="dxa"/>
            <w:vAlign w:val="top"/>
          </w:tcPr>
          <w:p>
            <w:pPr>
              <w:keepNext w:val="0"/>
              <w:keepLines w:val="0"/>
              <w:pageBreakBefore w:val="0"/>
              <w:widowControl w:val="0"/>
              <w:kinsoku/>
              <w:wordWrap/>
              <w:overflowPunct/>
              <w:topLinePunct w:val="0"/>
              <w:autoSpaceDE/>
              <w:autoSpaceDN/>
              <w:bidi w:val="0"/>
              <w:adjustRightInd/>
              <w:snapToGrid/>
              <w:spacing w:before="50"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lang w:eastAsia="zh-CN"/>
              </w:rPr>
              <w:t>工程质量、安全符合标准</w:t>
            </w:r>
            <w:r>
              <w:rPr>
                <w:rFonts w:hint="eastAsia" w:ascii="楷体" w:hAnsi="楷体" w:eastAsia="楷体" w:cs="楷体"/>
                <w:color w:val="000000"/>
                <w:sz w:val="28"/>
                <w:szCs w:val="28"/>
              </w:rPr>
              <w:t>（10分）</w:t>
            </w:r>
          </w:p>
        </w:tc>
        <w:tc>
          <w:tcPr>
            <w:tcW w:w="1028" w:type="dxa"/>
            <w:vAlign w:val="center"/>
          </w:tcPr>
          <w:p>
            <w:pPr>
              <w:keepNext w:val="0"/>
              <w:keepLines w:val="0"/>
              <w:pageBreakBefore w:val="0"/>
              <w:widowControl w:val="0"/>
              <w:kinsoku/>
              <w:wordWrap/>
              <w:overflowPunct/>
              <w:topLinePunct w:val="0"/>
              <w:autoSpaceDE/>
              <w:autoSpaceDN/>
              <w:bidi w:val="0"/>
              <w:adjustRightInd/>
              <w:snapToGrid/>
              <w:spacing w:before="380" w:line="520" w:lineRule="exact"/>
              <w:jc w:val="center"/>
              <w:textAlignment w:val="auto"/>
              <w:rPr>
                <w:rFonts w:hint="eastAsia" w:ascii="楷体" w:hAnsi="楷体" w:eastAsia="楷体" w:cs="楷体"/>
                <w:sz w:val="28"/>
                <w:szCs w:val="28"/>
                <w:lang w:val="en-US" w:eastAsia="zh-CN"/>
              </w:rPr>
            </w:pPr>
            <w:r>
              <w:rPr>
                <w:rFonts w:hint="eastAsia" w:ascii="楷体" w:hAnsi="楷体" w:eastAsia="楷体" w:cs="楷体"/>
                <w:color w:val="000000"/>
                <w:sz w:val="28"/>
                <w:szCs w:val="28"/>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0" w:hRule="atLeast"/>
          <w:jc w:val="center"/>
        </w:trPr>
        <w:tc>
          <w:tcPr>
            <w:tcW w:w="2236"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2236" w:type="dxa"/>
            <w:vMerge w:val="restart"/>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产出时效（10分）</w:t>
            </w:r>
          </w:p>
        </w:tc>
        <w:tc>
          <w:tcPr>
            <w:tcW w:w="276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lang w:eastAsia="zh-CN"/>
              </w:rPr>
              <w:t>开工完工</w:t>
            </w:r>
            <w:r>
              <w:rPr>
                <w:rFonts w:hint="eastAsia" w:ascii="楷体" w:hAnsi="楷体" w:eastAsia="楷体" w:cs="楷体"/>
                <w:color w:val="000000"/>
                <w:sz w:val="28"/>
                <w:szCs w:val="28"/>
              </w:rPr>
              <w:t>及时性（5分）</w:t>
            </w:r>
          </w:p>
        </w:tc>
        <w:tc>
          <w:tcPr>
            <w:tcW w:w="1028"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0" w:hRule="atLeast"/>
          <w:jc w:val="center"/>
        </w:trPr>
        <w:tc>
          <w:tcPr>
            <w:tcW w:w="2236"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2236"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276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lang w:eastAsia="zh-CN"/>
              </w:rPr>
              <w:t>结算</w:t>
            </w:r>
            <w:r>
              <w:rPr>
                <w:rFonts w:hint="eastAsia" w:ascii="楷体" w:hAnsi="楷体" w:eastAsia="楷体" w:cs="楷体"/>
                <w:color w:val="000000"/>
                <w:sz w:val="28"/>
                <w:szCs w:val="28"/>
              </w:rPr>
              <w:t>及时性（5分）</w:t>
            </w:r>
          </w:p>
        </w:tc>
        <w:tc>
          <w:tcPr>
            <w:tcW w:w="1028"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楷体" w:hAnsi="楷体" w:eastAsia="楷体" w:cs="楷体"/>
                <w:sz w:val="28"/>
                <w:szCs w:val="28"/>
                <w:lang w:val="en-US" w:eastAsia="zh-CN"/>
              </w:rPr>
            </w:pPr>
            <w:r>
              <w:rPr>
                <w:rFonts w:hint="eastAsia" w:ascii="楷体" w:hAnsi="楷体" w:eastAsia="楷体" w:cs="楷体"/>
                <w:color w:val="auto"/>
                <w:sz w:val="28"/>
                <w:szCs w:val="28"/>
                <w:lang w:val="en-US" w:eastAsia="zh-CN"/>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0" w:hRule="atLeast"/>
          <w:jc w:val="center"/>
        </w:trPr>
        <w:tc>
          <w:tcPr>
            <w:tcW w:w="2236"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2236"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lang w:eastAsia="zh-CN"/>
              </w:rPr>
            </w:pPr>
            <w:r>
              <w:rPr>
                <w:rFonts w:hint="eastAsia" w:ascii="楷体" w:hAnsi="楷体" w:eastAsia="楷体" w:cs="楷体"/>
                <w:color w:val="000000"/>
                <w:sz w:val="28"/>
                <w:szCs w:val="28"/>
              </w:rPr>
              <w:t>产出成本（10分）</w:t>
            </w:r>
          </w:p>
        </w:tc>
        <w:tc>
          <w:tcPr>
            <w:tcW w:w="276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highlight w:val="none"/>
                <w:lang w:eastAsia="zh-CN"/>
              </w:rPr>
              <w:t>积极落实配套资金</w:t>
            </w:r>
            <w:r>
              <w:rPr>
                <w:rFonts w:hint="eastAsia" w:ascii="楷体" w:hAnsi="楷体" w:eastAsia="楷体" w:cs="楷体"/>
                <w:color w:val="000000"/>
                <w:sz w:val="28"/>
                <w:szCs w:val="28"/>
              </w:rPr>
              <w:t>（10分）</w:t>
            </w:r>
          </w:p>
        </w:tc>
        <w:tc>
          <w:tcPr>
            <w:tcW w:w="1028"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楷体" w:hAnsi="楷体" w:eastAsia="楷体" w:cs="楷体"/>
                <w:sz w:val="28"/>
                <w:szCs w:val="28"/>
                <w:lang w:val="en-US" w:eastAsia="zh-CN"/>
              </w:rPr>
            </w:pPr>
            <w:r>
              <w:rPr>
                <w:rFonts w:hint="eastAsia" w:ascii="楷体" w:hAnsi="楷体" w:eastAsia="楷体" w:cs="楷体"/>
                <w:color w:val="000000"/>
                <w:sz w:val="28"/>
                <w:szCs w:val="28"/>
                <w:lang w:val="en-US" w:eastAsia="zh-CN"/>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0" w:hRule="atLeast"/>
          <w:jc w:val="center"/>
        </w:trPr>
        <w:tc>
          <w:tcPr>
            <w:tcW w:w="7232" w:type="dxa"/>
            <w:gridSpan w:val="3"/>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color w:val="000000"/>
                <w:sz w:val="28"/>
                <w:szCs w:val="28"/>
              </w:rPr>
            </w:pPr>
            <w:r>
              <w:rPr>
                <w:rFonts w:hint="eastAsia" w:ascii="楷体" w:hAnsi="楷体" w:eastAsia="楷体" w:cs="楷体"/>
                <w:color w:val="000000"/>
                <w:sz w:val="28"/>
                <w:szCs w:val="28"/>
              </w:rPr>
              <w:t>合计</w:t>
            </w:r>
          </w:p>
        </w:tc>
        <w:tc>
          <w:tcPr>
            <w:tcW w:w="1028"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楷体" w:hAnsi="楷体" w:eastAsia="楷体" w:cs="楷体"/>
                <w:color w:val="000000"/>
                <w:sz w:val="28"/>
                <w:szCs w:val="28"/>
                <w:lang w:val="en-US" w:eastAsia="zh-CN"/>
              </w:rPr>
            </w:pPr>
            <w:r>
              <w:rPr>
                <w:rFonts w:hint="eastAsia" w:ascii="楷体" w:hAnsi="楷体" w:eastAsia="楷体" w:cs="楷体"/>
                <w:color w:val="000000"/>
                <w:sz w:val="28"/>
                <w:szCs w:val="28"/>
                <w:lang w:val="en-US" w:eastAsia="zh-CN"/>
              </w:rPr>
              <w:t>34.1</w:t>
            </w:r>
          </w:p>
        </w:tc>
      </w:tr>
    </w:tbl>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1．产出数量指标（满分10分，评价得分</w:t>
      </w:r>
      <w:r>
        <w:rPr>
          <w:rFonts w:hint="eastAsia" w:ascii="楷体" w:hAnsi="楷体" w:eastAsia="楷体" w:cs="楷体"/>
          <w:sz w:val="28"/>
          <w:szCs w:val="28"/>
          <w:lang w:val="en-US" w:eastAsia="zh-CN"/>
        </w:rPr>
        <w:t>10</w:t>
      </w:r>
      <w:r>
        <w:rPr>
          <w:rFonts w:hint="eastAsia" w:ascii="楷体" w:hAnsi="楷体" w:eastAsia="楷体" w:cs="楷体"/>
          <w:sz w:val="28"/>
          <w:szCs w:val="28"/>
        </w:rPr>
        <w:t>分）</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rPr>
      </w:pPr>
      <w:r>
        <w:rPr>
          <w:rFonts w:hint="eastAsia" w:ascii="楷体" w:hAnsi="楷体" w:eastAsia="楷体" w:cs="楷体"/>
          <w:sz w:val="28"/>
          <w:szCs w:val="28"/>
        </w:rPr>
        <w:t>该项目数量指标主要考核实际</w:t>
      </w:r>
      <w:r>
        <w:rPr>
          <w:rFonts w:hint="eastAsia" w:ascii="楷体" w:hAnsi="楷体" w:eastAsia="楷体" w:cs="楷体"/>
          <w:sz w:val="28"/>
          <w:szCs w:val="28"/>
          <w:lang w:eastAsia="zh-CN"/>
        </w:rPr>
        <w:t>完成无极县2022年老旧小区建筑主体改造项目小区个数</w:t>
      </w:r>
      <w:r>
        <w:rPr>
          <w:rFonts w:hint="eastAsia" w:ascii="楷体" w:hAnsi="楷体" w:eastAsia="楷体" w:cs="楷体"/>
          <w:sz w:val="28"/>
          <w:szCs w:val="28"/>
        </w:rPr>
        <w:t>占年</w:t>
      </w:r>
      <w:r>
        <w:rPr>
          <w:rFonts w:hint="eastAsia" w:ascii="楷体" w:hAnsi="楷体" w:eastAsia="楷体" w:cs="楷体"/>
          <w:sz w:val="28"/>
          <w:szCs w:val="28"/>
          <w:lang w:eastAsia="zh-CN"/>
        </w:rPr>
        <w:t>计划无极县2022年老旧小区建筑主体改造项目小区个数</w:t>
      </w:r>
      <w:r>
        <w:rPr>
          <w:rFonts w:hint="eastAsia" w:ascii="楷体" w:hAnsi="楷体" w:eastAsia="楷体" w:cs="楷体"/>
          <w:sz w:val="28"/>
          <w:szCs w:val="28"/>
        </w:rPr>
        <w:t>的比例。</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rPr>
      </w:pPr>
      <w:r>
        <w:rPr>
          <w:rFonts w:hint="eastAsia" w:ascii="楷体" w:hAnsi="楷体" w:eastAsia="楷体" w:cs="楷体"/>
          <w:sz w:val="28"/>
          <w:szCs w:val="28"/>
        </w:rPr>
        <w:t>根据</w:t>
      </w:r>
      <w:r>
        <w:rPr>
          <w:rFonts w:hint="eastAsia" w:ascii="楷体" w:hAnsi="楷体" w:eastAsia="楷体" w:cs="楷体"/>
          <w:sz w:val="28"/>
          <w:szCs w:val="28"/>
          <w:lang w:eastAsia="zh-CN"/>
        </w:rPr>
        <w:t>无极县人民政府办公室关于印发</w:t>
      </w:r>
      <w:r>
        <w:rPr>
          <w:rFonts w:hint="eastAsia" w:ascii="楷体" w:hAnsi="楷体" w:eastAsia="楷体" w:cs="楷体"/>
          <w:sz w:val="28"/>
          <w:szCs w:val="28"/>
          <w:lang w:val="en-US" w:eastAsia="zh-CN"/>
        </w:rPr>
        <w:t>《关于全面推进城镇老旧小区改造工作的实施方案》的通知，2022年完成27个老旧小区改造任务</w:t>
      </w:r>
      <w:r>
        <w:rPr>
          <w:rFonts w:hint="eastAsia" w:ascii="楷体" w:hAnsi="楷体" w:eastAsia="楷体" w:cs="楷体"/>
          <w:sz w:val="28"/>
          <w:szCs w:val="28"/>
        </w:rPr>
        <w:t>。</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rPr>
      </w:pPr>
      <w:r>
        <w:rPr>
          <w:rFonts w:hint="eastAsia" w:ascii="楷体" w:hAnsi="楷体" w:eastAsia="楷体" w:cs="楷体"/>
          <w:sz w:val="28"/>
          <w:szCs w:val="28"/>
        </w:rPr>
        <w:t>经评价，该项目年初计划</w:t>
      </w:r>
      <w:r>
        <w:rPr>
          <w:rFonts w:hint="eastAsia" w:ascii="楷体" w:hAnsi="楷体" w:eastAsia="楷体" w:cs="楷体"/>
          <w:sz w:val="28"/>
          <w:szCs w:val="28"/>
          <w:lang w:val="en-US" w:eastAsia="zh-CN"/>
        </w:rPr>
        <w:t>2022年完成27个老旧小区改造任务</w:t>
      </w:r>
      <w:r>
        <w:rPr>
          <w:rFonts w:hint="eastAsia" w:ascii="楷体" w:hAnsi="楷体" w:eastAsia="楷体" w:cs="楷体"/>
          <w:sz w:val="28"/>
          <w:szCs w:val="28"/>
        </w:rPr>
        <w:t>，根据提供资料，</w:t>
      </w:r>
      <w:r>
        <w:rPr>
          <w:rFonts w:hint="eastAsia" w:ascii="楷体" w:hAnsi="楷体" w:eastAsia="楷体" w:cs="楷体"/>
          <w:sz w:val="28"/>
          <w:szCs w:val="28"/>
          <w:lang w:eastAsia="zh-CN"/>
        </w:rPr>
        <w:t>无极县住房和城乡建设局无极县2022年老旧小区建筑主体改造项目实际完成</w:t>
      </w:r>
      <w:r>
        <w:rPr>
          <w:rFonts w:hint="eastAsia" w:ascii="楷体" w:hAnsi="楷体" w:eastAsia="楷体" w:cs="楷体"/>
          <w:sz w:val="28"/>
          <w:szCs w:val="28"/>
          <w:lang w:val="en-US" w:eastAsia="zh-CN"/>
        </w:rPr>
        <w:t>27个老旧小区改造</w:t>
      </w:r>
      <w:r>
        <w:rPr>
          <w:rFonts w:hint="eastAsia" w:ascii="楷体" w:hAnsi="楷体" w:eastAsia="楷体" w:cs="楷体"/>
          <w:sz w:val="28"/>
          <w:szCs w:val="28"/>
        </w:rPr>
        <w:t>，占计划数的</w:t>
      </w:r>
      <w:r>
        <w:rPr>
          <w:rFonts w:hint="eastAsia" w:ascii="楷体" w:hAnsi="楷体" w:eastAsia="楷体" w:cs="楷体"/>
          <w:sz w:val="28"/>
          <w:szCs w:val="28"/>
          <w:lang w:val="en-US" w:eastAsia="zh-CN"/>
        </w:rPr>
        <w:t>100</w:t>
      </w:r>
      <w:r>
        <w:rPr>
          <w:rFonts w:hint="eastAsia" w:ascii="楷体" w:hAnsi="楷体" w:eastAsia="楷体" w:cs="楷体"/>
          <w:sz w:val="28"/>
          <w:szCs w:val="28"/>
        </w:rPr>
        <w:t>％。</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该指标满分10分，评价得分</w:t>
      </w:r>
      <w:r>
        <w:rPr>
          <w:rFonts w:hint="eastAsia" w:ascii="楷体" w:hAnsi="楷体" w:eastAsia="楷体" w:cs="楷体"/>
          <w:sz w:val="28"/>
          <w:szCs w:val="28"/>
          <w:lang w:val="en-US" w:eastAsia="zh-CN"/>
        </w:rPr>
        <w:t>10</w:t>
      </w:r>
      <w:r>
        <w:rPr>
          <w:rFonts w:hint="eastAsia" w:ascii="楷体" w:hAnsi="楷体" w:eastAsia="楷体" w:cs="楷体"/>
          <w:sz w:val="28"/>
          <w:szCs w:val="28"/>
        </w:rPr>
        <w:t>分。</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2．产出质量指标（满分10分，评价得分</w:t>
      </w:r>
      <w:r>
        <w:rPr>
          <w:rFonts w:hint="eastAsia" w:ascii="楷体" w:hAnsi="楷体" w:eastAsia="楷体" w:cs="楷体"/>
          <w:sz w:val="28"/>
          <w:szCs w:val="28"/>
          <w:lang w:val="en-US" w:eastAsia="zh-CN"/>
        </w:rPr>
        <w:t>10</w:t>
      </w:r>
      <w:r>
        <w:rPr>
          <w:rFonts w:hint="eastAsia" w:ascii="楷体" w:hAnsi="楷体" w:eastAsia="楷体" w:cs="楷体"/>
          <w:sz w:val="28"/>
          <w:szCs w:val="28"/>
        </w:rPr>
        <w:t>分）</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rPr>
      </w:pPr>
      <w:r>
        <w:rPr>
          <w:rFonts w:hint="eastAsia" w:ascii="楷体" w:hAnsi="楷体" w:eastAsia="楷体" w:cs="楷体"/>
          <w:sz w:val="28"/>
          <w:szCs w:val="28"/>
        </w:rPr>
        <w:t>该项目质量指标主要考核是否有</w:t>
      </w:r>
      <w:r>
        <w:rPr>
          <w:rFonts w:hint="eastAsia" w:ascii="楷体" w:hAnsi="楷体" w:eastAsia="楷体" w:cs="楷体"/>
          <w:sz w:val="28"/>
          <w:szCs w:val="28"/>
          <w:lang w:eastAsia="zh-CN"/>
        </w:rPr>
        <w:t>质量</w:t>
      </w:r>
      <w:r>
        <w:rPr>
          <w:rFonts w:hint="eastAsia" w:ascii="楷体" w:hAnsi="楷体" w:eastAsia="楷体" w:cs="楷体"/>
          <w:sz w:val="28"/>
          <w:szCs w:val="28"/>
        </w:rPr>
        <w:t>、</w:t>
      </w:r>
      <w:r>
        <w:rPr>
          <w:rFonts w:hint="eastAsia" w:ascii="楷体" w:hAnsi="楷体" w:eastAsia="楷体" w:cs="楷体"/>
          <w:sz w:val="28"/>
          <w:szCs w:val="28"/>
          <w:lang w:eastAsia="zh-CN"/>
        </w:rPr>
        <w:t>安全问题，</w:t>
      </w:r>
      <w:r>
        <w:rPr>
          <w:rFonts w:hint="eastAsia" w:ascii="楷体" w:hAnsi="楷体" w:eastAsia="楷体" w:cs="楷体"/>
          <w:sz w:val="28"/>
          <w:szCs w:val="28"/>
        </w:rPr>
        <w:t>是否按照相关管理制度和通知规定反映情况。</w:t>
      </w:r>
    </w:p>
    <w:p>
      <w:pPr>
        <w:keepNext w:val="0"/>
        <w:keepLines w:val="0"/>
        <w:pageBreakBefore w:val="0"/>
        <w:widowControl w:val="0"/>
        <w:kinsoku/>
        <w:wordWrap/>
        <w:overflowPunct/>
        <w:topLinePunct w:val="0"/>
        <w:autoSpaceDE/>
        <w:autoSpaceDN/>
        <w:bidi w:val="0"/>
        <w:adjustRightInd/>
        <w:snapToGrid/>
        <w:spacing w:line="520" w:lineRule="exact"/>
        <w:ind w:firstLine="280" w:firstLineChars="100"/>
        <w:textAlignment w:val="auto"/>
        <w:rPr>
          <w:rFonts w:hint="eastAsia" w:ascii="楷体" w:hAnsi="楷体" w:eastAsia="楷体" w:cs="楷体"/>
          <w:sz w:val="28"/>
          <w:szCs w:val="28"/>
        </w:rPr>
      </w:pPr>
      <w:r>
        <w:rPr>
          <w:rFonts w:hint="eastAsia" w:ascii="楷体" w:hAnsi="楷体" w:eastAsia="楷体" w:cs="楷体"/>
          <w:sz w:val="28"/>
          <w:szCs w:val="28"/>
        </w:rPr>
        <w:t>（1）</w:t>
      </w:r>
      <w:r>
        <w:rPr>
          <w:rFonts w:hint="eastAsia" w:ascii="楷体" w:hAnsi="楷体" w:eastAsia="楷体" w:cs="楷体"/>
          <w:sz w:val="28"/>
          <w:szCs w:val="28"/>
          <w:lang w:eastAsia="zh-CN"/>
        </w:rPr>
        <w:t>工程</w:t>
      </w:r>
      <w:r>
        <w:rPr>
          <w:rFonts w:hint="eastAsia" w:ascii="楷体" w:hAnsi="楷体" w:eastAsia="楷体" w:cs="楷体"/>
          <w:sz w:val="28"/>
          <w:szCs w:val="28"/>
        </w:rPr>
        <w:t>质量检测合格情况。根据</w:t>
      </w:r>
      <w:r>
        <w:rPr>
          <w:rFonts w:hint="eastAsia" w:ascii="楷体" w:hAnsi="楷体" w:eastAsia="楷体" w:cs="楷体"/>
          <w:sz w:val="28"/>
          <w:szCs w:val="28"/>
          <w:lang w:eastAsia="zh-CN"/>
        </w:rPr>
        <w:t>石家庄市建设工程竣工验收报告</w:t>
      </w:r>
      <w:r>
        <w:rPr>
          <w:rFonts w:hint="eastAsia" w:ascii="楷体" w:hAnsi="楷体" w:eastAsia="楷体" w:cs="楷体"/>
          <w:sz w:val="28"/>
          <w:szCs w:val="28"/>
        </w:rPr>
        <w:t>，</w:t>
      </w:r>
      <w:r>
        <w:rPr>
          <w:rFonts w:hint="eastAsia" w:ascii="楷体" w:hAnsi="楷体" w:eastAsia="楷体" w:cs="楷体"/>
          <w:sz w:val="28"/>
          <w:szCs w:val="28"/>
          <w:lang w:eastAsia="zh-CN"/>
        </w:rPr>
        <w:t>验收</w:t>
      </w:r>
      <w:r>
        <w:rPr>
          <w:rFonts w:hint="eastAsia" w:ascii="楷体" w:hAnsi="楷体" w:eastAsia="楷体" w:cs="楷体"/>
          <w:sz w:val="28"/>
          <w:szCs w:val="28"/>
        </w:rPr>
        <w:t>结果均为合格，合格率为100％。</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该指标满分10分，评价得分</w:t>
      </w:r>
      <w:r>
        <w:rPr>
          <w:rFonts w:hint="eastAsia" w:ascii="楷体" w:hAnsi="楷体" w:eastAsia="楷体" w:cs="楷体"/>
          <w:sz w:val="28"/>
          <w:szCs w:val="28"/>
          <w:lang w:val="en-US" w:eastAsia="zh-CN"/>
        </w:rPr>
        <w:t>10</w:t>
      </w:r>
      <w:r>
        <w:rPr>
          <w:rFonts w:hint="eastAsia" w:ascii="楷体" w:hAnsi="楷体" w:eastAsia="楷体" w:cs="楷体"/>
          <w:sz w:val="28"/>
          <w:szCs w:val="28"/>
        </w:rPr>
        <w:t>分。</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highlight w:val="none"/>
        </w:rPr>
      </w:pPr>
      <w:r>
        <w:rPr>
          <w:rFonts w:hint="eastAsia" w:ascii="楷体" w:hAnsi="楷体" w:eastAsia="楷体" w:cs="楷体"/>
          <w:sz w:val="28"/>
          <w:szCs w:val="28"/>
        </w:rPr>
        <w:t>3．</w:t>
      </w:r>
      <w:r>
        <w:rPr>
          <w:rFonts w:hint="eastAsia" w:ascii="楷体" w:hAnsi="楷体" w:eastAsia="楷体" w:cs="楷体"/>
          <w:sz w:val="28"/>
          <w:szCs w:val="28"/>
          <w:highlight w:val="none"/>
        </w:rPr>
        <w:t>产出时效指标（满分10分，评价得分</w:t>
      </w:r>
      <w:r>
        <w:rPr>
          <w:rFonts w:hint="eastAsia" w:ascii="楷体" w:hAnsi="楷体" w:eastAsia="楷体" w:cs="楷体"/>
          <w:sz w:val="28"/>
          <w:szCs w:val="28"/>
          <w:highlight w:val="none"/>
          <w:lang w:val="en-US" w:eastAsia="zh-CN"/>
        </w:rPr>
        <w:t>7.1</w:t>
      </w:r>
      <w:r>
        <w:rPr>
          <w:rFonts w:hint="eastAsia" w:ascii="楷体" w:hAnsi="楷体" w:eastAsia="楷体" w:cs="楷体"/>
          <w:sz w:val="28"/>
          <w:szCs w:val="28"/>
          <w:highlight w:val="none"/>
        </w:rPr>
        <w:t>分）</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highlight w:val="yellow"/>
        </w:rPr>
      </w:pPr>
      <w:r>
        <w:rPr>
          <w:rFonts w:hint="eastAsia" w:ascii="楷体" w:hAnsi="楷体" w:eastAsia="楷体" w:cs="楷体"/>
          <w:sz w:val="28"/>
          <w:szCs w:val="28"/>
          <w:highlight w:val="none"/>
        </w:rPr>
        <w:t>通过查阅《</w:t>
      </w:r>
      <w:r>
        <w:rPr>
          <w:rFonts w:hint="eastAsia" w:ascii="楷体" w:hAnsi="楷体" w:eastAsia="楷体" w:cs="楷体"/>
          <w:sz w:val="28"/>
          <w:szCs w:val="28"/>
          <w:highlight w:val="none"/>
          <w:lang w:eastAsia="zh-CN"/>
        </w:rPr>
        <w:t>建设工程施工合同</w:t>
      </w:r>
      <w:r>
        <w:rPr>
          <w:rFonts w:hint="eastAsia" w:ascii="楷体" w:hAnsi="楷体" w:eastAsia="楷体" w:cs="楷体"/>
          <w:sz w:val="28"/>
          <w:szCs w:val="28"/>
          <w:highlight w:val="none"/>
        </w:rPr>
        <w:t>》，</w:t>
      </w:r>
      <w:r>
        <w:rPr>
          <w:rFonts w:hint="eastAsia" w:ascii="楷体" w:hAnsi="楷体" w:eastAsia="楷体" w:cs="楷体"/>
          <w:sz w:val="28"/>
          <w:szCs w:val="28"/>
          <w:highlight w:val="none"/>
          <w:lang w:eastAsia="zh-CN"/>
        </w:rPr>
        <w:t>计划开工日期为</w:t>
      </w:r>
      <w:r>
        <w:rPr>
          <w:rFonts w:hint="eastAsia" w:ascii="楷体" w:hAnsi="楷体" w:eastAsia="楷体" w:cs="楷体"/>
          <w:sz w:val="28"/>
          <w:szCs w:val="28"/>
          <w:highlight w:val="none"/>
          <w:lang w:val="en-US" w:eastAsia="zh-CN"/>
        </w:rPr>
        <w:t>2022年3月1日，计划竣工日期为2022年10月26日，工期总日历天数240天。工期总日历天数与根据前述计划开竣工日期计算的工期天数不一致的，以工期总日历天数为准</w:t>
      </w:r>
      <w:r>
        <w:rPr>
          <w:rFonts w:hint="eastAsia" w:ascii="楷体" w:hAnsi="楷体" w:eastAsia="楷体" w:cs="楷体"/>
          <w:sz w:val="28"/>
          <w:szCs w:val="28"/>
          <w:highlight w:val="none"/>
        </w:rPr>
        <w:t>。</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highlight w:val="none"/>
        </w:rPr>
      </w:pPr>
      <w:r>
        <w:rPr>
          <w:rFonts w:hint="eastAsia" w:ascii="楷体" w:hAnsi="楷体" w:eastAsia="楷体" w:cs="楷体"/>
          <w:sz w:val="28"/>
          <w:szCs w:val="28"/>
          <w:highlight w:val="none"/>
        </w:rPr>
        <w:t>通过查阅</w:t>
      </w:r>
      <w:r>
        <w:rPr>
          <w:rFonts w:hint="eastAsia" w:ascii="楷体" w:hAnsi="楷体" w:eastAsia="楷体" w:cs="楷体"/>
          <w:sz w:val="28"/>
          <w:szCs w:val="28"/>
          <w:highlight w:val="none"/>
          <w:lang w:eastAsia="zh-CN"/>
        </w:rPr>
        <w:t>无极县住房和城乡建设局与河北中昌建筑工程有限公司签订的《建设工程施工合同》合同价为</w:t>
      </w:r>
      <w:r>
        <w:rPr>
          <w:rFonts w:hint="eastAsia" w:ascii="楷体" w:hAnsi="楷体" w:eastAsia="楷体" w:cs="楷体"/>
          <w:sz w:val="28"/>
          <w:szCs w:val="28"/>
          <w:highlight w:val="none"/>
          <w:lang w:val="en-US" w:eastAsia="zh-CN"/>
        </w:rPr>
        <w:t>2174.7121万元，2022年6月已支付河北中昌建筑工程有限公司904万元的工程款，因工程完工未做竣工结算审核报告，剩余应付资金未在账簿中显示，造成剩余应支付资金不明确</w:t>
      </w:r>
      <w:r>
        <w:rPr>
          <w:rFonts w:hint="eastAsia" w:ascii="楷体" w:hAnsi="楷体" w:eastAsia="楷体" w:cs="楷体"/>
          <w:sz w:val="28"/>
          <w:szCs w:val="28"/>
          <w:highlight w:val="none"/>
        </w:rPr>
        <w:t>。</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highlight w:val="yellow"/>
        </w:rPr>
      </w:pPr>
      <w:r>
        <w:rPr>
          <w:rFonts w:hint="eastAsia" w:ascii="楷体" w:hAnsi="楷体" w:eastAsia="楷体" w:cs="楷体"/>
          <w:sz w:val="28"/>
          <w:szCs w:val="28"/>
          <w:highlight w:val="none"/>
        </w:rPr>
        <w:t>该指标满分10分，评价得分</w:t>
      </w:r>
      <w:r>
        <w:rPr>
          <w:rFonts w:hint="eastAsia" w:ascii="楷体" w:hAnsi="楷体" w:eastAsia="楷体" w:cs="楷体"/>
          <w:sz w:val="28"/>
          <w:szCs w:val="28"/>
          <w:highlight w:val="none"/>
          <w:lang w:val="en-US" w:eastAsia="zh-CN"/>
        </w:rPr>
        <w:t>7.1</w:t>
      </w:r>
      <w:r>
        <w:rPr>
          <w:rFonts w:hint="eastAsia" w:ascii="楷体" w:hAnsi="楷体" w:eastAsia="楷体" w:cs="楷体"/>
          <w:sz w:val="28"/>
          <w:szCs w:val="28"/>
          <w:highlight w:val="none"/>
        </w:rPr>
        <w:t>分。</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4．产出成本指标（满分10分，评价得分</w:t>
      </w:r>
      <w:r>
        <w:rPr>
          <w:rFonts w:hint="eastAsia" w:ascii="楷体" w:hAnsi="楷体" w:eastAsia="楷体" w:cs="楷体"/>
          <w:sz w:val="28"/>
          <w:szCs w:val="28"/>
          <w:lang w:val="en-US" w:eastAsia="zh-CN"/>
        </w:rPr>
        <w:t>7</w:t>
      </w:r>
      <w:r>
        <w:rPr>
          <w:rFonts w:hint="eastAsia" w:ascii="楷体" w:hAnsi="楷体" w:eastAsia="楷体" w:cs="楷体"/>
          <w:sz w:val="28"/>
          <w:szCs w:val="28"/>
        </w:rPr>
        <w:t>分）</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highlight w:val="none"/>
        </w:rPr>
      </w:pPr>
      <w:r>
        <w:rPr>
          <w:rFonts w:hint="eastAsia" w:ascii="楷体" w:hAnsi="楷体" w:eastAsia="楷体" w:cs="楷体"/>
          <w:sz w:val="28"/>
          <w:szCs w:val="28"/>
        </w:rPr>
        <w:t>按照《</w:t>
      </w:r>
      <w:r>
        <w:rPr>
          <w:rFonts w:hint="eastAsia" w:ascii="楷体" w:hAnsi="楷体" w:eastAsia="楷体" w:cs="楷体"/>
          <w:sz w:val="28"/>
          <w:szCs w:val="28"/>
          <w:lang w:eastAsia="zh-CN"/>
        </w:rPr>
        <w:t>河北省财政厅</w:t>
      </w:r>
      <w:r>
        <w:rPr>
          <w:rFonts w:hint="eastAsia" w:ascii="楷体" w:hAnsi="楷体" w:eastAsia="楷体" w:cs="楷体"/>
          <w:sz w:val="28"/>
          <w:szCs w:val="28"/>
          <w:lang w:val="en-US" w:eastAsia="zh-CN"/>
        </w:rPr>
        <w:t xml:space="preserve"> 河北省住房和城乡建设厅关于下达2022年中央财政城镇保障性安居工程补助资金预算的通知</w:t>
      </w:r>
      <w:r>
        <w:rPr>
          <w:rFonts w:hint="eastAsia" w:ascii="楷体" w:hAnsi="楷体" w:eastAsia="楷体" w:cs="楷体"/>
          <w:sz w:val="28"/>
          <w:szCs w:val="28"/>
        </w:rPr>
        <w:t>》</w:t>
      </w:r>
      <w:r>
        <w:rPr>
          <w:rFonts w:hint="eastAsia" w:ascii="楷体" w:hAnsi="楷体" w:eastAsia="楷体" w:cs="楷体"/>
          <w:sz w:val="28"/>
          <w:szCs w:val="28"/>
          <w:lang w:eastAsia="zh-CN"/>
        </w:rPr>
        <w:t>（冀财综【</w:t>
      </w:r>
      <w:r>
        <w:rPr>
          <w:rFonts w:hint="eastAsia" w:ascii="楷体" w:hAnsi="楷体" w:eastAsia="楷体" w:cs="楷体"/>
          <w:sz w:val="28"/>
          <w:szCs w:val="28"/>
          <w:lang w:val="en-US" w:eastAsia="zh-CN"/>
        </w:rPr>
        <w:t>2022】29号）</w:t>
      </w:r>
      <w:r>
        <w:rPr>
          <w:rFonts w:hint="eastAsia" w:ascii="楷体" w:hAnsi="楷体" w:eastAsia="楷体" w:cs="楷体"/>
          <w:sz w:val="28"/>
          <w:szCs w:val="28"/>
          <w:lang w:eastAsia="zh-CN"/>
        </w:rPr>
        <w:t>中按规定时间及时支付中央财政补贴资金</w:t>
      </w:r>
      <w:r>
        <w:rPr>
          <w:rFonts w:hint="eastAsia" w:ascii="楷体" w:hAnsi="楷体" w:eastAsia="楷体" w:cs="楷体"/>
          <w:sz w:val="28"/>
          <w:szCs w:val="28"/>
          <w:lang w:val="en-US" w:eastAsia="zh-CN"/>
        </w:rPr>
        <w:t>904万元</w:t>
      </w:r>
      <w:r>
        <w:rPr>
          <w:rFonts w:hint="eastAsia" w:ascii="楷体" w:hAnsi="楷体" w:eastAsia="楷体" w:cs="楷体"/>
          <w:sz w:val="28"/>
          <w:szCs w:val="28"/>
        </w:rPr>
        <w:t>。经评价，</w:t>
      </w:r>
      <w:r>
        <w:rPr>
          <w:rFonts w:hint="eastAsia" w:ascii="楷体" w:hAnsi="楷体" w:eastAsia="楷体" w:cs="楷体"/>
          <w:sz w:val="28"/>
          <w:szCs w:val="28"/>
          <w:highlight w:val="none"/>
          <w:lang w:val="en-US" w:eastAsia="zh-CN"/>
        </w:rPr>
        <w:t>2022年老旧小区建筑主体改造项目合同价为2174.7121元，已支付904万元，剩余应付资金未及实支付，因工程完工未做竣工结算审核报告，项目剩余未付资金不能确认</w:t>
      </w:r>
      <w:r>
        <w:rPr>
          <w:rFonts w:hint="eastAsia" w:ascii="楷体" w:hAnsi="楷体" w:eastAsia="楷体" w:cs="楷体"/>
          <w:sz w:val="28"/>
          <w:szCs w:val="28"/>
          <w:highlight w:val="none"/>
        </w:rPr>
        <w:t>。</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该指标满分10分，评价得分</w:t>
      </w:r>
      <w:r>
        <w:rPr>
          <w:rFonts w:hint="eastAsia" w:ascii="楷体" w:hAnsi="楷体" w:eastAsia="楷体" w:cs="楷体"/>
          <w:sz w:val="28"/>
          <w:szCs w:val="28"/>
          <w:lang w:val="en-US" w:eastAsia="zh-CN"/>
        </w:rPr>
        <w:t>7</w:t>
      </w:r>
      <w:r>
        <w:rPr>
          <w:rFonts w:hint="eastAsia" w:ascii="楷体" w:hAnsi="楷体" w:eastAsia="楷体" w:cs="楷体"/>
          <w:sz w:val="28"/>
          <w:szCs w:val="28"/>
        </w:rPr>
        <w:t>分。</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1"/>
        <w:rPr>
          <w:rFonts w:hint="eastAsia" w:ascii="楷体" w:hAnsi="楷体" w:eastAsia="楷体" w:cs="楷体"/>
          <w:sz w:val="28"/>
          <w:szCs w:val="28"/>
        </w:rPr>
      </w:pPr>
      <w:bookmarkStart w:id="13" w:name="_Toc6549"/>
      <w:r>
        <w:rPr>
          <w:rFonts w:hint="eastAsia" w:ascii="楷体" w:hAnsi="楷体" w:eastAsia="楷体" w:cs="楷体"/>
          <w:sz w:val="28"/>
          <w:szCs w:val="28"/>
        </w:rPr>
        <w:t>（四）项目效益指标</w:t>
      </w:r>
      <w:bookmarkEnd w:id="13"/>
    </w:p>
    <w:p>
      <w:pPr>
        <w:keepNext w:val="0"/>
        <w:keepLines w:val="0"/>
        <w:pageBreakBefore w:val="0"/>
        <w:widowControl w:val="0"/>
        <w:kinsoku/>
        <w:wordWrap/>
        <w:overflowPunct/>
        <w:topLinePunct w:val="0"/>
        <w:autoSpaceDE/>
        <w:autoSpaceDN/>
        <w:bidi w:val="0"/>
        <w:adjustRightInd/>
        <w:snapToGrid/>
        <w:spacing w:line="520" w:lineRule="exact"/>
        <w:ind w:firstLine="3080" w:firstLineChars="1100"/>
        <w:textAlignment w:val="auto"/>
        <w:rPr>
          <w:rFonts w:hint="eastAsia" w:ascii="楷体" w:hAnsi="楷体" w:eastAsia="楷体" w:cs="楷体"/>
          <w:sz w:val="28"/>
          <w:szCs w:val="28"/>
        </w:rPr>
      </w:pPr>
      <w:r>
        <w:rPr>
          <w:rFonts w:hint="eastAsia" w:ascii="楷体" w:hAnsi="楷体" w:eastAsia="楷体" w:cs="楷体"/>
          <w:sz w:val="28"/>
          <w:szCs w:val="28"/>
        </w:rPr>
        <w:t>项目效益绩效得分情况表</w:t>
      </w:r>
    </w:p>
    <w:tbl>
      <w:tblPr>
        <w:tblStyle w:val="7"/>
        <w:tblW w:w="871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2432"/>
        <w:gridCol w:w="2835"/>
        <w:gridCol w:w="2550"/>
        <w:gridCol w:w="9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880" w:hRule="atLeast"/>
        </w:trPr>
        <w:tc>
          <w:tcPr>
            <w:tcW w:w="2432"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一级指标</w:t>
            </w:r>
          </w:p>
        </w:tc>
        <w:tc>
          <w:tcPr>
            <w:tcW w:w="2835"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二级指标</w:t>
            </w:r>
          </w:p>
        </w:tc>
        <w:tc>
          <w:tcPr>
            <w:tcW w:w="255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三级指标</w:t>
            </w:r>
          </w:p>
        </w:tc>
        <w:tc>
          <w:tcPr>
            <w:tcW w:w="90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680" w:hRule="atLeast"/>
        </w:trPr>
        <w:tc>
          <w:tcPr>
            <w:tcW w:w="2432" w:type="dxa"/>
            <w:vMerge w:val="restart"/>
            <w:vAlign w:val="center"/>
          </w:tcPr>
          <w:p>
            <w:pPr>
              <w:keepNext w:val="0"/>
              <w:keepLines w:val="0"/>
              <w:pageBreakBefore w:val="0"/>
              <w:widowControl w:val="0"/>
              <w:kinsoku/>
              <w:wordWrap/>
              <w:overflowPunct/>
              <w:topLinePunct w:val="0"/>
              <w:autoSpaceDE/>
              <w:autoSpaceDN/>
              <w:bidi w:val="0"/>
              <w:adjustRightInd/>
              <w:snapToGrid/>
              <w:spacing w:before="1746"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项目效益（30分）</w:t>
            </w:r>
          </w:p>
        </w:tc>
        <w:tc>
          <w:tcPr>
            <w:tcW w:w="2835" w:type="dxa"/>
            <w:vAlign w:val="center"/>
          </w:tcPr>
          <w:p>
            <w:pPr>
              <w:keepNext w:val="0"/>
              <w:keepLines w:val="0"/>
              <w:pageBreakBefore w:val="0"/>
              <w:widowControl w:val="0"/>
              <w:kinsoku/>
              <w:wordWrap/>
              <w:overflowPunct/>
              <w:topLinePunct w:val="0"/>
              <w:autoSpaceDE/>
              <w:autoSpaceDN/>
              <w:bidi w:val="0"/>
              <w:adjustRightInd/>
              <w:snapToGrid/>
              <w:spacing w:before="617"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社会效益（10分）</w:t>
            </w:r>
          </w:p>
        </w:tc>
        <w:tc>
          <w:tcPr>
            <w:tcW w:w="2550" w:type="dxa"/>
            <w:vAlign w:val="top"/>
          </w:tcPr>
          <w:p>
            <w:pPr>
              <w:keepNext w:val="0"/>
              <w:keepLines w:val="0"/>
              <w:pageBreakBefore w:val="0"/>
              <w:widowControl w:val="0"/>
              <w:kinsoku/>
              <w:wordWrap/>
              <w:overflowPunct/>
              <w:topLinePunct w:val="0"/>
              <w:autoSpaceDE/>
              <w:autoSpaceDN/>
              <w:bidi w:val="0"/>
              <w:adjustRightInd/>
              <w:snapToGrid/>
              <w:spacing w:line="520" w:lineRule="exact"/>
              <w:ind w:left="160" w:firstLine="0"/>
              <w:jc w:val="both"/>
              <w:textAlignment w:val="auto"/>
              <w:rPr>
                <w:rFonts w:hint="eastAsia" w:ascii="楷体" w:hAnsi="楷体" w:eastAsia="楷体" w:cs="楷体"/>
                <w:sz w:val="28"/>
                <w:szCs w:val="28"/>
              </w:rPr>
            </w:pPr>
            <w:r>
              <w:rPr>
                <w:rFonts w:hint="eastAsia" w:ascii="楷体" w:hAnsi="楷体" w:eastAsia="楷体" w:cs="楷体"/>
                <w:color w:val="000000"/>
                <w:sz w:val="28"/>
                <w:szCs w:val="28"/>
                <w:lang w:eastAsia="zh-CN"/>
              </w:rPr>
              <w:t>切实改善居民住房条件和居住环境</w:t>
            </w:r>
            <w:r>
              <w:rPr>
                <w:rFonts w:hint="eastAsia" w:ascii="楷体" w:hAnsi="楷体" w:eastAsia="楷体" w:cs="楷体"/>
                <w:color w:val="000000"/>
                <w:sz w:val="28"/>
                <w:szCs w:val="28"/>
              </w:rPr>
              <w:t>（10分）</w:t>
            </w:r>
          </w:p>
        </w:tc>
        <w:tc>
          <w:tcPr>
            <w:tcW w:w="900" w:type="dxa"/>
            <w:vAlign w:val="center"/>
          </w:tcPr>
          <w:p>
            <w:pPr>
              <w:keepNext w:val="0"/>
              <w:keepLines w:val="0"/>
              <w:pageBreakBefore w:val="0"/>
              <w:widowControl w:val="0"/>
              <w:kinsoku/>
              <w:wordWrap/>
              <w:overflowPunct/>
              <w:topLinePunct w:val="0"/>
              <w:autoSpaceDE/>
              <w:autoSpaceDN/>
              <w:bidi w:val="0"/>
              <w:adjustRightInd/>
              <w:snapToGrid/>
              <w:spacing w:before="676"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100" w:hRule="atLeast"/>
        </w:trPr>
        <w:tc>
          <w:tcPr>
            <w:tcW w:w="2432"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2835" w:type="dxa"/>
            <w:vAlign w:val="top"/>
          </w:tcPr>
          <w:p>
            <w:pPr>
              <w:keepNext w:val="0"/>
              <w:keepLines w:val="0"/>
              <w:pageBreakBefore w:val="0"/>
              <w:widowControl w:val="0"/>
              <w:kinsoku/>
              <w:wordWrap/>
              <w:overflowPunct/>
              <w:topLinePunct w:val="0"/>
              <w:autoSpaceDE/>
              <w:autoSpaceDN/>
              <w:bidi w:val="0"/>
              <w:adjustRightInd/>
              <w:snapToGrid/>
              <w:spacing w:before="12"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可持续影响效益（10</w:t>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分）</w:t>
            </w:r>
          </w:p>
        </w:tc>
        <w:tc>
          <w:tcPr>
            <w:tcW w:w="2550" w:type="dxa"/>
            <w:vAlign w:val="top"/>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color w:val="000000"/>
                <w:sz w:val="28"/>
                <w:szCs w:val="28"/>
                <w:lang w:eastAsia="zh-CN"/>
              </w:rPr>
            </w:pPr>
            <w:r>
              <w:rPr>
                <w:rFonts w:hint="eastAsia" w:ascii="楷体" w:hAnsi="楷体" w:eastAsia="楷体" w:cs="楷体"/>
                <w:color w:val="000000"/>
                <w:sz w:val="28"/>
                <w:szCs w:val="28"/>
                <w:lang w:eastAsia="zh-CN"/>
              </w:rPr>
              <w:t>全面提升老旧小区居住品质</w:t>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（10分）</w:t>
            </w:r>
          </w:p>
        </w:tc>
        <w:tc>
          <w:tcPr>
            <w:tcW w:w="900" w:type="dxa"/>
            <w:vAlign w:val="center"/>
          </w:tcPr>
          <w:p>
            <w:pPr>
              <w:keepNext w:val="0"/>
              <w:keepLines w:val="0"/>
              <w:pageBreakBefore w:val="0"/>
              <w:widowControl w:val="0"/>
              <w:kinsoku/>
              <w:wordWrap/>
              <w:overflowPunct/>
              <w:topLinePunct w:val="0"/>
              <w:autoSpaceDE/>
              <w:autoSpaceDN/>
              <w:bidi w:val="0"/>
              <w:adjustRightInd/>
              <w:snapToGrid/>
              <w:spacing w:before="389"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120" w:hRule="atLeast"/>
        </w:trPr>
        <w:tc>
          <w:tcPr>
            <w:tcW w:w="2432" w:type="dxa"/>
            <w:vMerge w:val="continue"/>
          </w:tcPr>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p>
        </w:tc>
        <w:tc>
          <w:tcPr>
            <w:tcW w:w="2835" w:type="dxa"/>
            <w:vAlign w:val="top"/>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公众满意度（10分）</w:t>
            </w:r>
          </w:p>
        </w:tc>
        <w:tc>
          <w:tcPr>
            <w:tcW w:w="2550" w:type="dxa"/>
            <w:vAlign w:val="top"/>
          </w:tcPr>
          <w:p>
            <w:pPr>
              <w:keepNext w:val="0"/>
              <w:keepLines w:val="0"/>
              <w:pageBreakBefore w:val="0"/>
              <w:widowControl w:val="0"/>
              <w:kinsoku/>
              <w:wordWrap/>
              <w:overflowPunct/>
              <w:topLinePunct w:val="0"/>
              <w:autoSpaceDE/>
              <w:autoSpaceDN/>
              <w:bidi w:val="0"/>
              <w:adjustRightInd/>
              <w:snapToGrid/>
              <w:spacing w:before="24"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公众对项目实施</w:t>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效果的满意程度（10分）</w:t>
            </w:r>
          </w:p>
        </w:tc>
        <w:tc>
          <w:tcPr>
            <w:tcW w:w="900" w:type="dxa"/>
            <w:vAlign w:val="center"/>
          </w:tcPr>
          <w:p>
            <w:pPr>
              <w:keepNext w:val="0"/>
              <w:keepLines w:val="0"/>
              <w:pageBreakBefore w:val="0"/>
              <w:widowControl w:val="0"/>
              <w:kinsoku/>
              <w:wordWrap/>
              <w:overflowPunct/>
              <w:topLinePunct w:val="0"/>
              <w:autoSpaceDE/>
              <w:autoSpaceDN/>
              <w:bidi w:val="0"/>
              <w:adjustRightInd/>
              <w:snapToGrid/>
              <w:spacing w:before="398" w:line="520" w:lineRule="exact"/>
              <w:jc w:val="center"/>
              <w:textAlignment w:val="auto"/>
              <w:rPr>
                <w:rFonts w:hint="default" w:ascii="楷体" w:hAnsi="楷体" w:eastAsia="楷体" w:cs="楷体"/>
                <w:sz w:val="28"/>
                <w:szCs w:val="28"/>
                <w:lang w:val="en-US" w:eastAsia="zh-CN"/>
              </w:rPr>
            </w:pPr>
            <w:r>
              <w:rPr>
                <w:rFonts w:hint="eastAsia" w:ascii="楷体" w:hAnsi="楷体" w:eastAsia="楷体" w:cs="楷体"/>
                <w:color w:val="000000"/>
                <w:sz w:val="28"/>
                <w:szCs w:val="28"/>
                <w:lang w:val="en-US" w:eastAsia="zh-CN"/>
              </w:rPr>
              <w:t>9.8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880" w:hRule="atLeast"/>
        </w:trPr>
        <w:tc>
          <w:tcPr>
            <w:tcW w:w="7817" w:type="dxa"/>
            <w:gridSpan w:val="3"/>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合计</w:t>
            </w:r>
          </w:p>
        </w:tc>
        <w:tc>
          <w:tcPr>
            <w:tcW w:w="90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楷体" w:hAnsi="楷体" w:eastAsia="楷体" w:cs="楷体"/>
                <w:sz w:val="28"/>
                <w:szCs w:val="28"/>
                <w:lang w:val="en-US" w:eastAsia="zh-CN"/>
              </w:rPr>
            </w:pPr>
            <w:r>
              <w:rPr>
                <w:rFonts w:hint="eastAsia" w:ascii="楷体" w:hAnsi="楷体" w:eastAsia="楷体" w:cs="楷体"/>
                <w:color w:val="000000"/>
                <w:sz w:val="28"/>
                <w:szCs w:val="28"/>
                <w:lang w:val="en-US" w:eastAsia="zh-CN"/>
              </w:rPr>
              <w:t>29.8</w:t>
            </w:r>
          </w:p>
        </w:tc>
      </w:tr>
    </w:tbl>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1．社会效益指标（满分10分，评价得分10分）</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rPr>
      </w:pPr>
      <w:r>
        <w:rPr>
          <w:rFonts w:hint="eastAsia" w:ascii="楷体" w:hAnsi="楷体" w:eastAsia="楷体" w:cs="楷体"/>
          <w:sz w:val="28"/>
          <w:szCs w:val="28"/>
        </w:rPr>
        <w:t>综合看，</w:t>
      </w:r>
      <w:r>
        <w:rPr>
          <w:rFonts w:hint="eastAsia" w:ascii="楷体" w:hAnsi="楷体" w:eastAsia="楷体" w:cs="楷体"/>
          <w:sz w:val="28"/>
          <w:szCs w:val="28"/>
          <w:lang w:eastAsia="zh-CN"/>
        </w:rPr>
        <w:t>无极县2022年老旧小区建筑主体改造项目</w:t>
      </w:r>
      <w:r>
        <w:rPr>
          <w:rFonts w:hint="eastAsia" w:ascii="楷体" w:hAnsi="楷体" w:eastAsia="楷体" w:cs="楷体"/>
          <w:sz w:val="28"/>
          <w:szCs w:val="28"/>
        </w:rPr>
        <w:t>的实施效果比较显著，</w:t>
      </w:r>
      <w:r>
        <w:rPr>
          <w:rFonts w:hint="eastAsia" w:ascii="楷体" w:hAnsi="楷体" w:eastAsia="楷体" w:cs="楷体"/>
          <w:sz w:val="28"/>
          <w:szCs w:val="28"/>
          <w:lang w:eastAsia="zh-CN"/>
        </w:rPr>
        <w:t>一是为满足居民居住安全需要和基本生活需求；二是为满足居民生活便利需要和改善需求；三是为丰富社会服务供给，提升居民生活品质需求</w:t>
      </w:r>
      <w:r>
        <w:rPr>
          <w:rFonts w:hint="eastAsia" w:ascii="楷体" w:hAnsi="楷体" w:eastAsia="楷体" w:cs="楷体"/>
          <w:sz w:val="28"/>
          <w:szCs w:val="28"/>
        </w:rPr>
        <w:t>。</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该指标满分10分，评价得分10分。</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2．可持续影响效益（满分10分，评价得分10分）</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rPr>
      </w:pPr>
      <w:r>
        <w:rPr>
          <w:rFonts w:hint="eastAsia" w:ascii="楷体" w:hAnsi="楷体" w:eastAsia="楷体" w:cs="楷体"/>
          <w:sz w:val="28"/>
          <w:szCs w:val="28"/>
          <w:lang w:eastAsia="zh-CN"/>
        </w:rPr>
        <w:t>城镇老旧小区建成年代较早、失养失修失管、市政配套设施不完善、社区服务设施不健全、居民改造意愿强烈</w:t>
      </w:r>
      <w:r>
        <w:rPr>
          <w:rFonts w:hint="eastAsia" w:ascii="楷体" w:hAnsi="楷体" w:eastAsia="楷体" w:cs="楷体"/>
          <w:sz w:val="28"/>
          <w:szCs w:val="28"/>
        </w:rPr>
        <w:t>。</w:t>
      </w:r>
      <w:r>
        <w:rPr>
          <w:rFonts w:hint="eastAsia" w:ascii="楷体" w:hAnsi="楷体" w:eastAsia="楷体" w:cs="楷体"/>
          <w:sz w:val="28"/>
          <w:szCs w:val="28"/>
          <w:lang w:eastAsia="zh-CN"/>
        </w:rPr>
        <w:t>无极县2022年老旧小区建筑主体改造项目</w:t>
      </w:r>
      <w:r>
        <w:rPr>
          <w:rFonts w:hint="eastAsia" w:ascii="楷体" w:hAnsi="楷体" w:eastAsia="楷体" w:cs="楷体"/>
          <w:sz w:val="28"/>
          <w:szCs w:val="28"/>
        </w:rPr>
        <w:t>是一个社会反应好，可持续性强的项目。</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该指标满分10分，评价得分10分。</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3．满意度指标（满分10分，评价得分</w:t>
      </w:r>
      <w:r>
        <w:rPr>
          <w:rFonts w:hint="eastAsia" w:ascii="楷体" w:hAnsi="楷体" w:eastAsia="楷体" w:cs="楷体"/>
          <w:sz w:val="28"/>
          <w:szCs w:val="28"/>
          <w:lang w:val="en-US" w:eastAsia="zh-CN"/>
        </w:rPr>
        <w:t>9.8</w:t>
      </w:r>
      <w:r>
        <w:rPr>
          <w:rFonts w:hint="eastAsia" w:ascii="楷体" w:hAnsi="楷体" w:eastAsia="楷体" w:cs="楷体"/>
          <w:sz w:val="28"/>
          <w:szCs w:val="28"/>
        </w:rPr>
        <w:t>分）</w:t>
      </w:r>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default" w:ascii="楷体" w:hAnsi="楷体" w:eastAsia="楷体" w:cs="楷体"/>
          <w:sz w:val="28"/>
          <w:szCs w:val="28"/>
          <w:lang w:val="en-US" w:eastAsia="zh-CN"/>
        </w:rPr>
      </w:pPr>
      <w:r>
        <w:rPr>
          <w:rFonts w:hint="eastAsia" w:ascii="楷体" w:hAnsi="楷体" w:eastAsia="楷体" w:cs="楷体"/>
          <w:sz w:val="28"/>
          <w:szCs w:val="28"/>
        </w:rPr>
        <w:t>结合</w:t>
      </w:r>
      <w:r>
        <w:rPr>
          <w:rFonts w:hint="eastAsia" w:ascii="楷体" w:hAnsi="楷体" w:eastAsia="楷体" w:cs="楷体"/>
          <w:sz w:val="28"/>
          <w:szCs w:val="28"/>
          <w:lang w:eastAsia="zh-CN"/>
        </w:rPr>
        <w:t>无极县2022年老旧小区建筑主体改造项目</w:t>
      </w:r>
      <w:r>
        <w:rPr>
          <w:rFonts w:hint="eastAsia" w:ascii="楷体" w:hAnsi="楷体" w:eastAsia="楷体" w:cs="楷体"/>
          <w:sz w:val="28"/>
          <w:szCs w:val="28"/>
        </w:rPr>
        <w:t>的实际情况，评价组制作了调查问卷，了解</w:t>
      </w:r>
      <w:r>
        <w:rPr>
          <w:rFonts w:hint="eastAsia" w:ascii="楷体" w:hAnsi="楷体" w:eastAsia="楷体" w:cs="楷体"/>
          <w:sz w:val="28"/>
          <w:szCs w:val="28"/>
          <w:lang w:val="en-US" w:eastAsia="zh-CN"/>
        </w:rPr>
        <w:t>2022年老旧小区建筑主体改造</w:t>
      </w:r>
      <w:r>
        <w:rPr>
          <w:rFonts w:hint="eastAsia" w:ascii="楷体" w:hAnsi="楷体" w:eastAsia="楷体" w:cs="楷体"/>
          <w:sz w:val="28"/>
          <w:szCs w:val="28"/>
        </w:rPr>
        <w:t>项目的满意度，具体包括</w:t>
      </w:r>
      <w:r>
        <w:rPr>
          <w:rFonts w:hint="eastAsia" w:ascii="楷体" w:hAnsi="楷体" w:eastAsia="楷体" w:cs="楷体"/>
          <w:sz w:val="28"/>
          <w:szCs w:val="28"/>
          <w:lang w:val="en-US" w:eastAsia="zh-CN"/>
        </w:rPr>
        <w:t>主楼及小房屋面防水，主楼及小房外墙粉刷，楼梯间内墙及地下室粉刷，更换公共区域门窗，更换小房门窗，垃圾道封堵，楼道内扶手更换，楼道内栏杆除锈、刷漆，更换单元门及增加门禁系统，增加楼号牌，单元号牌，增加空调外机罩等</w:t>
      </w:r>
      <w:r>
        <w:rPr>
          <w:rFonts w:hint="eastAsia" w:ascii="楷体" w:hAnsi="楷体" w:eastAsia="楷体" w:cs="楷体"/>
          <w:sz w:val="28"/>
          <w:szCs w:val="28"/>
        </w:rPr>
        <w:t>整个项目效果等方面的满意程度。问卷调查共有</w:t>
      </w:r>
      <w:r>
        <w:rPr>
          <w:rFonts w:hint="eastAsia" w:ascii="楷体" w:hAnsi="楷体" w:eastAsia="楷体" w:cs="楷体"/>
          <w:sz w:val="28"/>
          <w:szCs w:val="28"/>
          <w:lang w:val="en-US" w:eastAsia="zh-CN"/>
        </w:rPr>
        <w:t>27个小区</w:t>
      </w:r>
      <w:r>
        <w:rPr>
          <w:rFonts w:hint="eastAsia" w:ascii="楷体" w:hAnsi="楷体" w:eastAsia="楷体" w:cs="楷体"/>
          <w:sz w:val="28"/>
          <w:szCs w:val="28"/>
          <w:highlight w:val="none"/>
          <w:lang w:val="en-US" w:eastAsia="zh-CN"/>
        </w:rPr>
        <w:t>1012户</w:t>
      </w:r>
      <w:r>
        <w:rPr>
          <w:rFonts w:hint="eastAsia" w:ascii="楷体" w:hAnsi="楷体" w:eastAsia="楷体" w:cs="楷体"/>
          <w:sz w:val="28"/>
          <w:szCs w:val="28"/>
        </w:rPr>
        <w:t>参与，</w:t>
      </w:r>
      <w:r>
        <w:rPr>
          <w:rFonts w:hint="eastAsia" w:ascii="楷体" w:hAnsi="楷体" w:eastAsia="楷体" w:cs="楷体"/>
          <w:sz w:val="28"/>
          <w:szCs w:val="28"/>
          <w:highlight w:val="none"/>
        </w:rPr>
        <w:t>其中满意和比较满</w:t>
      </w:r>
      <w:r>
        <w:rPr>
          <w:rFonts w:hint="eastAsia" w:ascii="楷体" w:hAnsi="楷体" w:eastAsia="楷体" w:cs="楷体"/>
          <w:sz w:val="28"/>
          <w:szCs w:val="28"/>
          <w:highlight w:val="none"/>
          <w:lang w:eastAsia="zh-CN"/>
        </w:rPr>
        <w:t>意占比为</w:t>
      </w:r>
      <w:r>
        <w:rPr>
          <w:rFonts w:hint="eastAsia" w:ascii="楷体" w:hAnsi="楷体" w:eastAsia="楷体" w:cs="楷体"/>
          <w:sz w:val="28"/>
          <w:szCs w:val="28"/>
          <w:highlight w:val="none"/>
          <w:lang w:val="en-US" w:eastAsia="zh-CN"/>
        </w:rPr>
        <w:t>98</w:t>
      </w:r>
      <w:r>
        <w:rPr>
          <w:rFonts w:hint="eastAsia" w:ascii="楷体" w:hAnsi="楷体" w:eastAsia="楷体" w:cs="楷体"/>
          <w:sz w:val="28"/>
          <w:szCs w:val="28"/>
          <w:highlight w:val="none"/>
        </w:rPr>
        <w:t>％，没有提出意见，并希望能够继续保持</w:t>
      </w:r>
      <w:r>
        <w:rPr>
          <w:rFonts w:hint="eastAsia" w:ascii="楷体" w:hAnsi="楷体" w:eastAsia="楷体" w:cs="楷体"/>
          <w:sz w:val="28"/>
          <w:szCs w:val="28"/>
          <w:highlight w:val="none"/>
          <w:lang w:eastAsia="zh-CN"/>
        </w:rPr>
        <w:t>。认为一般</w:t>
      </w:r>
      <w:r>
        <w:rPr>
          <w:rFonts w:hint="eastAsia" w:ascii="楷体" w:hAnsi="楷体" w:eastAsia="楷体" w:cs="楷体"/>
          <w:sz w:val="28"/>
          <w:szCs w:val="28"/>
          <w:highlight w:val="none"/>
          <w:lang w:val="en-US" w:eastAsia="zh-CN"/>
        </w:rPr>
        <w:t>占比2%。经分析，导致满意度为一般有以下几种原因：一是因为改造设计不合理导致住户的地下室下雨漏水，二是因为小房门窗质量不达标，导致住户不愿意更换小房门窗。</w:t>
      </w:r>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该指标满分10分，评价得分</w:t>
      </w:r>
      <w:r>
        <w:rPr>
          <w:rFonts w:hint="eastAsia" w:ascii="楷体" w:hAnsi="楷体" w:eastAsia="楷体" w:cs="楷体"/>
          <w:sz w:val="28"/>
          <w:szCs w:val="28"/>
          <w:highlight w:val="none"/>
          <w:lang w:val="en-US" w:eastAsia="zh-CN"/>
        </w:rPr>
        <w:t>9.8</w:t>
      </w:r>
      <w:r>
        <w:rPr>
          <w:rFonts w:hint="eastAsia" w:ascii="楷体" w:hAnsi="楷体" w:eastAsia="楷体" w:cs="楷体"/>
          <w:sz w:val="28"/>
          <w:szCs w:val="28"/>
        </w:rPr>
        <w:t>分。</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0"/>
        <w:rPr>
          <w:rFonts w:hint="eastAsia" w:ascii="楷体" w:hAnsi="楷体" w:eastAsia="楷体" w:cs="楷体"/>
          <w:sz w:val="28"/>
          <w:szCs w:val="28"/>
        </w:rPr>
      </w:pPr>
      <w:bookmarkStart w:id="14" w:name="_Toc26867"/>
      <w:r>
        <w:rPr>
          <w:rFonts w:hint="eastAsia" w:ascii="楷体" w:hAnsi="楷体" w:eastAsia="楷体" w:cs="楷体"/>
          <w:sz w:val="28"/>
          <w:szCs w:val="28"/>
        </w:rPr>
        <w:t>四、评价结论和评价等级</w:t>
      </w:r>
      <w:bookmarkEnd w:id="14"/>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1"/>
        <w:rPr>
          <w:rFonts w:hint="eastAsia" w:ascii="楷体" w:hAnsi="楷体" w:eastAsia="楷体" w:cs="楷体"/>
          <w:sz w:val="28"/>
          <w:szCs w:val="28"/>
        </w:rPr>
      </w:pPr>
      <w:bookmarkStart w:id="15" w:name="_Toc742"/>
      <w:r>
        <w:rPr>
          <w:rFonts w:hint="eastAsia" w:ascii="楷体" w:hAnsi="楷体" w:eastAsia="楷体" w:cs="楷体"/>
          <w:sz w:val="28"/>
          <w:szCs w:val="28"/>
        </w:rPr>
        <w:t>（一）评价结论</w:t>
      </w:r>
      <w:bookmarkEnd w:id="15"/>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rPr>
      </w:pPr>
      <w:r>
        <w:rPr>
          <w:rFonts w:hint="eastAsia" w:ascii="楷体" w:hAnsi="楷体" w:eastAsia="楷体" w:cs="楷体"/>
          <w:sz w:val="28"/>
          <w:szCs w:val="28"/>
        </w:rPr>
        <w:t>经评价，</w:t>
      </w:r>
      <w:r>
        <w:rPr>
          <w:rFonts w:hint="eastAsia" w:ascii="楷体" w:hAnsi="楷体" w:eastAsia="楷体" w:cs="楷体"/>
          <w:sz w:val="28"/>
          <w:szCs w:val="28"/>
          <w:lang w:eastAsia="zh-CN"/>
        </w:rPr>
        <w:t>无极县2022年老旧小区建筑主体改造项目</w:t>
      </w:r>
      <w:r>
        <w:rPr>
          <w:rFonts w:hint="eastAsia" w:ascii="楷体" w:hAnsi="楷体" w:eastAsia="楷体" w:cs="楷体"/>
          <w:sz w:val="28"/>
          <w:szCs w:val="28"/>
        </w:rPr>
        <w:t>的实施进一步</w:t>
      </w:r>
      <w:r>
        <w:rPr>
          <w:rFonts w:hint="eastAsia" w:ascii="楷体" w:hAnsi="楷体" w:eastAsia="楷体" w:cs="楷体"/>
          <w:sz w:val="28"/>
          <w:szCs w:val="28"/>
          <w:lang w:eastAsia="zh-CN"/>
        </w:rPr>
        <w:t>改善了建筑主体外貌、提升主体居住质量、对破损房屋进行整修和完善技防，补齐功能短板，提升建筑主体居住水平，实现建筑主体干净、整洁、美观，推动当地社会和谐与稳定</w:t>
      </w:r>
      <w:r>
        <w:rPr>
          <w:rFonts w:hint="eastAsia" w:ascii="楷体" w:hAnsi="楷体" w:eastAsia="楷体" w:cs="楷体"/>
          <w:sz w:val="28"/>
          <w:szCs w:val="28"/>
        </w:rPr>
        <w:t>。</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1"/>
        <w:rPr>
          <w:rFonts w:hint="eastAsia" w:ascii="楷体" w:hAnsi="楷体" w:eastAsia="楷体" w:cs="楷体"/>
          <w:sz w:val="28"/>
          <w:szCs w:val="28"/>
        </w:rPr>
      </w:pPr>
      <w:bookmarkStart w:id="16" w:name="_Toc18387"/>
      <w:r>
        <w:rPr>
          <w:rFonts w:hint="eastAsia" w:ascii="楷体" w:hAnsi="楷体" w:eastAsia="楷体" w:cs="楷体"/>
          <w:sz w:val="28"/>
          <w:szCs w:val="28"/>
        </w:rPr>
        <w:t>（二）评价等级</w:t>
      </w:r>
      <w:bookmarkEnd w:id="16"/>
    </w:p>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经评价，该项目综</w:t>
      </w:r>
      <w:r>
        <w:rPr>
          <w:rFonts w:hint="eastAsia" w:ascii="楷体" w:hAnsi="楷体" w:eastAsia="楷体" w:cs="楷体"/>
          <w:sz w:val="28"/>
          <w:szCs w:val="28"/>
          <w:highlight w:val="none"/>
        </w:rPr>
        <w:t>合得分</w:t>
      </w:r>
      <w:r>
        <w:rPr>
          <w:rFonts w:hint="eastAsia" w:ascii="楷体" w:hAnsi="楷体" w:eastAsia="楷体" w:cs="楷体"/>
          <w:sz w:val="28"/>
          <w:szCs w:val="28"/>
          <w:highlight w:val="none"/>
          <w:lang w:val="en-US" w:eastAsia="zh-CN"/>
        </w:rPr>
        <w:t>92.6</w:t>
      </w:r>
      <w:r>
        <w:rPr>
          <w:rFonts w:hint="eastAsia" w:ascii="楷体" w:hAnsi="楷体" w:eastAsia="楷体" w:cs="楷体"/>
          <w:sz w:val="28"/>
          <w:szCs w:val="28"/>
          <w:highlight w:val="none"/>
        </w:rPr>
        <w:t>分</w:t>
      </w:r>
      <w:r>
        <w:rPr>
          <w:rFonts w:hint="eastAsia" w:ascii="楷体" w:hAnsi="楷体" w:eastAsia="楷体" w:cs="楷体"/>
          <w:sz w:val="28"/>
          <w:szCs w:val="28"/>
        </w:rPr>
        <w:t>，评价等级为“</w:t>
      </w:r>
      <w:r>
        <w:rPr>
          <w:rFonts w:hint="eastAsia" w:ascii="楷体" w:hAnsi="楷体" w:eastAsia="楷体" w:cs="楷体"/>
          <w:sz w:val="28"/>
          <w:szCs w:val="28"/>
          <w:lang w:eastAsia="zh-CN"/>
        </w:rPr>
        <w:t>优秀</w:t>
      </w:r>
      <w:r>
        <w:rPr>
          <w:rFonts w:hint="eastAsia" w:ascii="楷体" w:hAnsi="楷体" w:eastAsia="楷体" w:cs="楷体"/>
          <w:sz w:val="28"/>
          <w:szCs w:val="28"/>
        </w:rPr>
        <w:t>”，具体得分情况如下表：</w:t>
      </w:r>
    </w:p>
    <w:tbl>
      <w:tblPr>
        <w:tblStyle w:val="7"/>
        <w:tblW w:w="84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2105"/>
        <w:gridCol w:w="2105"/>
        <w:gridCol w:w="2105"/>
        <w:gridCol w:w="21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0" w:hRule="atLeast"/>
          <w:jc w:val="center"/>
        </w:trPr>
        <w:tc>
          <w:tcPr>
            <w:tcW w:w="8320" w:type="dxa"/>
            <w:gridSpan w:val="4"/>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项目综合绩效评价情况得分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5" w:hRule="atLeast"/>
          <w:jc w:val="center"/>
        </w:trPr>
        <w:tc>
          <w:tcPr>
            <w:tcW w:w="208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评价维度</w:t>
            </w:r>
          </w:p>
        </w:tc>
        <w:tc>
          <w:tcPr>
            <w:tcW w:w="208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分值（分）</w:t>
            </w:r>
          </w:p>
        </w:tc>
        <w:tc>
          <w:tcPr>
            <w:tcW w:w="208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评价得分（分）</w:t>
            </w:r>
          </w:p>
        </w:tc>
        <w:tc>
          <w:tcPr>
            <w:tcW w:w="208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评价分占比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0" w:hRule="atLeast"/>
          <w:jc w:val="center"/>
        </w:trPr>
        <w:tc>
          <w:tcPr>
            <w:tcW w:w="208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项目决策</w:t>
            </w:r>
          </w:p>
        </w:tc>
        <w:tc>
          <w:tcPr>
            <w:tcW w:w="208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15</w:t>
            </w:r>
          </w:p>
        </w:tc>
        <w:tc>
          <w:tcPr>
            <w:tcW w:w="208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楷体" w:hAnsi="楷体" w:eastAsia="楷体" w:cs="楷体"/>
                <w:sz w:val="28"/>
                <w:szCs w:val="28"/>
                <w:lang w:val="en-US" w:eastAsia="zh-CN"/>
              </w:rPr>
            </w:pPr>
            <w:r>
              <w:rPr>
                <w:rFonts w:hint="eastAsia" w:ascii="楷体" w:hAnsi="楷体" w:eastAsia="楷体" w:cs="楷体"/>
                <w:sz w:val="28"/>
                <w:szCs w:val="28"/>
                <w:lang w:val="en-US" w:eastAsia="zh-CN"/>
              </w:rPr>
              <w:t>14.8</w:t>
            </w:r>
          </w:p>
        </w:tc>
        <w:tc>
          <w:tcPr>
            <w:tcW w:w="208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highlight w:val="none"/>
              </w:rPr>
            </w:pPr>
            <w:r>
              <w:rPr>
                <w:rFonts w:hint="eastAsia" w:ascii="楷体" w:hAnsi="楷体" w:eastAsia="楷体" w:cs="楷体"/>
                <w:color w:val="000000"/>
                <w:sz w:val="28"/>
                <w:szCs w:val="28"/>
                <w:highlight w:val="none"/>
                <w:lang w:val="en-US" w:eastAsia="zh-CN"/>
              </w:rPr>
              <w:t>98.66</w:t>
            </w:r>
            <w:r>
              <w:rPr>
                <w:rFonts w:hint="eastAsia" w:ascii="楷体" w:hAnsi="楷体" w:eastAsia="楷体" w:cs="楷体"/>
                <w:color w:val="000000"/>
                <w:sz w:val="28"/>
                <w:szCs w:val="2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0" w:hRule="atLeast"/>
          <w:jc w:val="center"/>
        </w:trPr>
        <w:tc>
          <w:tcPr>
            <w:tcW w:w="208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项目过程</w:t>
            </w:r>
          </w:p>
        </w:tc>
        <w:tc>
          <w:tcPr>
            <w:tcW w:w="208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15</w:t>
            </w:r>
          </w:p>
        </w:tc>
        <w:tc>
          <w:tcPr>
            <w:tcW w:w="208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楷体" w:hAnsi="楷体" w:eastAsia="楷体" w:cs="楷体"/>
                <w:sz w:val="28"/>
                <w:szCs w:val="28"/>
                <w:lang w:val="en-US" w:eastAsia="zh-CN"/>
              </w:rPr>
            </w:pPr>
            <w:r>
              <w:rPr>
                <w:rFonts w:hint="eastAsia" w:ascii="楷体" w:hAnsi="楷体" w:eastAsia="楷体" w:cs="楷体"/>
                <w:color w:val="auto"/>
                <w:sz w:val="28"/>
                <w:szCs w:val="28"/>
                <w:lang w:val="en-US" w:eastAsia="zh-CN"/>
              </w:rPr>
              <w:t>13.9</w:t>
            </w:r>
          </w:p>
        </w:tc>
        <w:tc>
          <w:tcPr>
            <w:tcW w:w="208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highlight w:val="none"/>
              </w:rPr>
            </w:pPr>
            <w:r>
              <w:rPr>
                <w:rFonts w:hint="eastAsia" w:ascii="楷体" w:hAnsi="楷体" w:eastAsia="楷体" w:cs="楷体"/>
                <w:color w:val="000000"/>
                <w:sz w:val="28"/>
                <w:szCs w:val="28"/>
                <w:highlight w:val="none"/>
                <w:lang w:val="en-US" w:eastAsia="zh-CN"/>
              </w:rPr>
              <w:t>92.66</w:t>
            </w:r>
            <w:r>
              <w:rPr>
                <w:rFonts w:hint="eastAsia" w:ascii="楷体" w:hAnsi="楷体" w:eastAsia="楷体" w:cs="楷体"/>
                <w:color w:val="000000"/>
                <w:sz w:val="28"/>
                <w:szCs w:val="2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0" w:hRule="atLeast"/>
          <w:jc w:val="center"/>
        </w:trPr>
        <w:tc>
          <w:tcPr>
            <w:tcW w:w="208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项目产出</w:t>
            </w:r>
          </w:p>
        </w:tc>
        <w:tc>
          <w:tcPr>
            <w:tcW w:w="208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40</w:t>
            </w:r>
          </w:p>
        </w:tc>
        <w:tc>
          <w:tcPr>
            <w:tcW w:w="208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楷体" w:hAnsi="楷体" w:eastAsia="楷体" w:cs="楷体"/>
                <w:sz w:val="28"/>
                <w:szCs w:val="28"/>
                <w:lang w:val="en-US" w:eastAsia="zh-CN"/>
              </w:rPr>
            </w:pPr>
            <w:r>
              <w:rPr>
                <w:rFonts w:hint="eastAsia" w:ascii="楷体" w:hAnsi="楷体" w:eastAsia="楷体" w:cs="楷体"/>
                <w:sz w:val="28"/>
                <w:szCs w:val="28"/>
                <w:lang w:val="en-US" w:eastAsia="zh-CN"/>
              </w:rPr>
              <w:t>34.1</w:t>
            </w:r>
          </w:p>
        </w:tc>
        <w:tc>
          <w:tcPr>
            <w:tcW w:w="208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highlight w:val="none"/>
              </w:rPr>
            </w:pPr>
            <w:r>
              <w:rPr>
                <w:rFonts w:hint="eastAsia" w:ascii="楷体" w:hAnsi="楷体" w:eastAsia="楷体" w:cs="楷体"/>
                <w:color w:val="000000"/>
                <w:sz w:val="28"/>
                <w:szCs w:val="28"/>
                <w:highlight w:val="none"/>
                <w:lang w:val="en-US" w:eastAsia="zh-CN"/>
              </w:rPr>
              <w:t>85.25</w:t>
            </w:r>
            <w:r>
              <w:rPr>
                <w:rFonts w:hint="eastAsia" w:ascii="楷体" w:hAnsi="楷体" w:eastAsia="楷体" w:cs="楷体"/>
                <w:color w:val="000000"/>
                <w:sz w:val="28"/>
                <w:szCs w:val="2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0" w:hRule="atLeast"/>
          <w:jc w:val="center"/>
        </w:trPr>
        <w:tc>
          <w:tcPr>
            <w:tcW w:w="208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项目效益</w:t>
            </w:r>
          </w:p>
        </w:tc>
        <w:tc>
          <w:tcPr>
            <w:tcW w:w="208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30</w:t>
            </w:r>
          </w:p>
        </w:tc>
        <w:tc>
          <w:tcPr>
            <w:tcW w:w="208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楷体" w:hAnsi="楷体" w:eastAsia="楷体" w:cs="楷体"/>
                <w:sz w:val="28"/>
                <w:szCs w:val="28"/>
                <w:lang w:val="en-US" w:eastAsia="zh-CN"/>
              </w:rPr>
            </w:pPr>
            <w:r>
              <w:rPr>
                <w:rFonts w:hint="eastAsia" w:ascii="楷体" w:hAnsi="楷体" w:eastAsia="楷体" w:cs="楷体"/>
                <w:sz w:val="28"/>
                <w:szCs w:val="28"/>
                <w:lang w:val="en-US" w:eastAsia="zh-CN"/>
              </w:rPr>
              <w:t>29.8</w:t>
            </w:r>
          </w:p>
        </w:tc>
        <w:tc>
          <w:tcPr>
            <w:tcW w:w="208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highlight w:val="none"/>
              </w:rPr>
            </w:pPr>
            <w:r>
              <w:rPr>
                <w:rFonts w:hint="eastAsia" w:ascii="楷体" w:hAnsi="楷体" w:eastAsia="楷体" w:cs="楷体"/>
                <w:color w:val="000000"/>
                <w:sz w:val="28"/>
                <w:szCs w:val="28"/>
                <w:highlight w:val="none"/>
                <w:lang w:val="en-US" w:eastAsia="zh-CN"/>
              </w:rPr>
              <w:t>99.33</w:t>
            </w:r>
            <w:r>
              <w:rPr>
                <w:rFonts w:hint="eastAsia" w:ascii="楷体" w:hAnsi="楷体" w:eastAsia="楷体" w:cs="楷体"/>
                <w:color w:val="000000"/>
                <w:sz w:val="28"/>
                <w:szCs w:val="2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0" w:hRule="atLeast"/>
          <w:jc w:val="center"/>
        </w:trPr>
        <w:tc>
          <w:tcPr>
            <w:tcW w:w="208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合计</w:t>
            </w:r>
          </w:p>
        </w:tc>
        <w:tc>
          <w:tcPr>
            <w:tcW w:w="208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rPr>
            </w:pPr>
            <w:r>
              <w:rPr>
                <w:rFonts w:hint="eastAsia" w:ascii="楷体" w:hAnsi="楷体" w:eastAsia="楷体" w:cs="楷体"/>
                <w:color w:val="000000"/>
                <w:sz w:val="28"/>
                <w:szCs w:val="28"/>
              </w:rPr>
              <w:t>100</w:t>
            </w:r>
          </w:p>
        </w:tc>
        <w:tc>
          <w:tcPr>
            <w:tcW w:w="208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楷体" w:hAnsi="楷体" w:eastAsia="楷体" w:cs="楷体"/>
                <w:sz w:val="28"/>
                <w:szCs w:val="28"/>
                <w:lang w:val="en-US" w:eastAsia="zh-CN"/>
              </w:rPr>
            </w:pPr>
            <w:r>
              <w:rPr>
                <w:rFonts w:hint="eastAsia" w:ascii="楷体" w:hAnsi="楷体" w:eastAsia="楷体" w:cs="楷体"/>
                <w:sz w:val="28"/>
                <w:szCs w:val="28"/>
                <w:lang w:val="en-US" w:eastAsia="zh-CN"/>
              </w:rPr>
              <w:t>92.6</w:t>
            </w:r>
          </w:p>
        </w:tc>
        <w:tc>
          <w:tcPr>
            <w:tcW w:w="2080" w:type="dxa"/>
            <w:vAlign w:val="center"/>
          </w:tcPr>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 w:hAnsi="楷体" w:eastAsia="楷体" w:cs="楷体"/>
                <w:sz w:val="28"/>
                <w:szCs w:val="28"/>
                <w:highlight w:val="none"/>
              </w:rPr>
            </w:pPr>
            <w:r>
              <w:rPr>
                <w:rFonts w:hint="eastAsia" w:ascii="楷体" w:hAnsi="楷体" w:eastAsia="楷体" w:cs="楷体"/>
                <w:color w:val="000000"/>
                <w:sz w:val="28"/>
                <w:szCs w:val="28"/>
                <w:highlight w:val="none"/>
                <w:lang w:val="en-US" w:eastAsia="zh-CN"/>
              </w:rPr>
              <w:t>92.6</w:t>
            </w:r>
            <w:r>
              <w:rPr>
                <w:rFonts w:hint="eastAsia" w:ascii="楷体" w:hAnsi="楷体" w:eastAsia="楷体" w:cs="楷体"/>
                <w:color w:val="000000"/>
                <w:sz w:val="28"/>
                <w:szCs w:val="28"/>
                <w:highlight w:val="none"/>
              </w:rPr>
              <w:t>%</w:t>
            </w:r>
          </w:p>
        </w:tc>
      </w:tr>
    </w:tbl>
    <w:p>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楷体" w:hAnsi="楷体" w:eastAsia="楷体" w:cs="楷体"/>
          <w:sz w:val="28"/>
          <w:szCs w:val="28"/>
        </w:rPr>
      </w:pPr>
      <w:r>
        <w:rPr>
          <w:rFonts w:hint="eastAsia" w:ascii="楷体" w:hAnsi="楷体" w:eastAsia="楷体" w:cs="楷体"/>
          <w:sz w:val="28"/>
          <w:szCs w:val="28"/>
        </w:rPr>
        <w:t>注：各指标的详细得分及评分依据情况详见附表《</w:t>
      </w:r>
      <w:r>
        <w:rPr>
          <w:rFonts w:hint="eastAsia" w:ascii="楷体" w:hAnsi="楷体" w:eastAsia="楷体" w:cs="楷体"/>
          <w:sz w:val="28"/>
          <w:szCs w:val="28"/>
          <w:lang w:eastAsia="zh-CN"/>
        </w:rPr>
        <w:t>无极县2022年老旧小区建筑主体改造项目</w:t>
      </w:r>
      <w:r>
        <w:rPr>
          <w:rFonts w:hint="eastAsia" w:ascii="楷体" w:hAnsi="楷体" w:eastAsia="楷体" w:cs="楷体"/>
          <w:sz w:val="28"/>
          <w:szCs w:val="28"/>
        </w:rPr>
        <w:t>绩效评价表》</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0"/>
        <w:rPr>
          <w:rFonts w:hint="eastAsia" w:ascii="楷体" w:hAnsi="楷体" w:eastAsia="楷体" w:cs="楷体"/>
          <w:sz w:val="28"/>
          <w:szCs w:val="28"/>
        </w:rPr>
      </w:pPr>
      <w:bookmarkStart w:id="17" w:name="_Toc32746"/>
      <w:r>
        <w:rPr>
          <w:rFonts w:hint="eastAsia" w:ascii="楷体" w:hAnsi="楷体" w:eastAsia="楷体" w:cs="楷体"/>
          <w:sz w:val="28"/>
          <w:szCs w:val="28"/>
        </w:rPr>
        <w:t>五、存在的问题</w:t>
      </w:r>
      <w:bookmarkEnd w:id="17"/>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1"/>
        <w:rPr>
          <w:rFonts w:hint="eastAsia" w:ascii="楷体" w:hAnsi="楷体" w:eastAsia="楷体" w:cs="楷体"/>
          <w:sz w:val="28"/>
          <w:szCs w:val="28"/>
        </w:rPr>
      </w:pPr>
      <w:bookmarkStart w:id="18" w:name="_Toc17788"/>
      <w:r>
        <w:rPr>
          <w:rFonts w:hint="eastAsia" w:ascii="楷体" w:hAnsi="楷体" w:eastAsia="楷体" w:cs="楷体"/>
          <w:sz w:val="28"/>
          <w:szCs w:val="28"/>
        </w:rPr>
        <w:t>（一）预算编制不够精准</w:t>
      </w:r>
      <w:bookmarkEnd w:id="18"/>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rPr>
      </w:pPr>
      <w:r>
        <w:rPr>
          <w:rFonts w:hint="eastAsia" w:ascii="楷体" w:hAnsi="楷体" w:eastAsia="楷体" w:cs="楷体"/>
          <w:color w:val="auto"/>
          <w:sz w:val="28"/>
          <w:szCs w:val="28"/>
        </w:rPr>
        <w:t>经查阅</w:t>
      </w:r>
      <w:r>
        <w:rPr>
          <w:rFonts w:hint="eastAsia" w:ascii="楷体" w:hAnsi="楷体" w:eastAsia="楷体" w:cs="楷体"/>
          <w:color w:val="auto"/>
          <w:sz w:val="28"/>
          <w:szCs w:val="28"/>
          <w:lang w:eastAsia="zh-CN"/>
        </w:rPr>
        <w:t>无极县2022年老旧小区建筑主体改造项目</w:t>
      </w:r>
      <w:r>
        <w:rPr>
          <w:rFonts w:hint="eastAsia" w:ascii="楷体" w:hAnsi="楷体" w:eastAsia="楷体" w:cs="楷体"/>
          <w:color w:val="auto"/>
          <w:sz w:val="28"/>
          <w:szCs w:val="28"/>
        </w:rPr>
        <w:t>绩效目标表发现，</w:t>
      </w:r>
      <w:r>
        <w:rPr>
          <w:rFonts w:hint="eastAsia" w:ascii="楷体" w:hAnsi="楷体" w:eastAsia="楷体" w:cs="楷体"/>
          <w:sz w:val="28"/>
          <w:szCs w:val="28"/>
        </w:rPr>
        <w:t>绩效目标数量指标设置不够精准，</w:t>
      </w:r>
      <w:r>
        <w:rPr>
          <w:rFonts w:hint="eastAsia" w:ascii="楷体" w:hAnsi="楷体" w:eastAsia="楷体" w:cs="楷体"/>
          <w:sz w:val="28"/>
          <w:szCs w:val="28"/>
          <w:lang w:eastAsia="zh-CN"/>
        </w:rPr>
        <w:t>虽</w:t>
      </w:r>
      <w:r>
        <w:rPr>
          <w:rFonts w:hint="eastAsia" w:ascii="楷体" w:hAnsi="楷体" w:eastAsia="楷体" w:cs="楷体"/>
          <w:sz w:val="28"/>
          <w:szCs w:val="28"/>
        </w:rPr>
        <w:t>设置时效指标和可持续影响指标，绩效指标设置不够全面、细化、可衡量。</w:t>
      </w:r>
    </w:p>
    <w:p>
      <w:pPr>
        <w:keepNext w:val="0"/>
        <w:keepLines w:val="0"/>
        <w:pageBreakBefore w:val="0"/>
        <w:widowControl w:val="0"/>
        <w:numPr>
          <w:ilvl w:val="0"/>
          <w:numId w:val="1"/>
        </w:numPr>
        <w:kinsoku/>
        <w:wordWrap/>
        <w:overflowPunct/>
        <w:topLinePunct w:val="0"/>
        <w:autoSpaceDE/>
        <w:autoSpaceDN/>
        <w:bidi w:val="0"/>
        <w:adjustRightInd/>
        <w:snapToGrid/>
        <w:spacing w:line="520" w:lineRule="exact"/>
        <w:textAlignment w:val="auto"/>
        <w:outlineLvl w:val="1"/>
        <w:rPr>
          <w:rFonts w:hint="eastAsia" w:ascii="楷体" w:hAnsi="楷体" w:eastAsia="楷体" w:cs="楷体"/>
          <w:sz w:val="28"/>
          <w:szCs w:val="28"/>
          <w:lang w:eastAsia="zh-CN"/>
        </w:rPr>
      </w:pPr>
      <w:bookmarkStart w:id="19" w:name="_Toc25587"/>
      <w:r>
        <w:rPr>
          <w:rFonts w:hint="eastAsia" w:ascii="楷体" w:hAnsi="楷体" w:eastAsia="楷体" w:cs="楷体"/>
          <w:sz w:val="28"/>
          <w:szCs w:val="28"/>
          <w:lang w:eastAsia="zh-CN"/>
        </w:rPr>
        <w:t>工程完工未做竣工结算审核报告</w:t>
      </w:r>
      <w:bookmarkEnd w:id="19"/>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lang w:val="en-US" w:eastAsia="zh-CN"/>
        </w:rPr>
      </w:pPr>
      <w:r>
        <w:rPr>
          <w:rFonts w:hint="eastAsia" w:ascii="楷体" w:hAnsi="楷体" w:eastAsia="楷体" w:cs="楷体"/>
          <w:sz w:val="28"/>
          <w:szCs w:val="28"/>
        </w:rPr>
        <w:t>根据《无极县</w:t>
      </w:r>
      <w:r>
        <w:rPr>
          <w:rFonts w:hint="eastAsia" w:ascii="楷体" w:hAnsi="楷体" w:eastAsia="楷体" w:cs="楷体"/>
          <w:sz w:val="28"/>
          <w:szCs w:val="28"/>
          <w:lang w:eastAsia="zh-CN"/>
        </w:rPr>
        <w:t>无极县2022年老旧小区建筑主体改造项目</w:t>
      </w:r>
      <w:r>
        <w:rPr>
          <w:rFonts w:hint="eastAsia" w:ascii="楷体" w:hAnsi="楷体" w:eastAsia="楷体" w:cs="楷体"/>
          <w:sz w:val="28"/>
          <w:szCs w:val="28"/>
        </w:rPr>
        <w:t>实施方案》</w:t>
      </w:r>
      <w:r>
        <w:rPr>
          <w:rFonts w:hint="eastAsia" w:ascii="楷体" w:hAnsi="楷体" w:eastAsia="楷体" w:cs="楷体"/>
          <w:sz w:val="28"/>
          <w:szCs w:val="28"/>
          <w:lang w:eastAsia="zh-CN"/>
        </w:rPr>
        <w:t>、《建设工程施工合同》合同价款为</w:t>
      </w:r>
      <w:r>
        <w:rPr>
          <w:rFonts w:hint="eastAsia" w:ascii="楷体" w:hAnsi="楷体" w:eastAsia="楷体" w:cs="楷体"/>
          <w:sz w:val="28"/>
          <w:szCs w:val="28"/>
          <w:lang w:val="en-US" w:eastAsia="zh-CN"/>
        </w:rPr>
        <w:t>2174.7121万元，其中中央</w:t>
      </w:r>
      <w:r>
        <w:rPr>
          <w:rFonts w:hint="eastAsia" w:ascii="楷体" w:hAnsi="楷体" w:eastAsia="楷体" w:cs="楷体"/>
          <w:sz w:val="28"/>
          <w:szCs w:val="28"/>
          <w:lang w:eastAsia="zh-CN"/>
        </w:rPr>
        <w:t>财政资金</w:t>
      </w:r>
      <w:r>
        <w:rPr>
          <w:rFonts w:hint="eastAsia" w:ascii="楷体" w:hAnsi="楷体" w:eastAsia="楷体" w:cs="楷体"/>
          <w:sz w:val="28"/>
          <w:szCs w:val="28"/>
          <w:lang w:val="en-US" w:eastAsia="zh-CN"/>
        </w:rPr>
        <w:t>904万元已支付，但工程未做竣工结算审核报告。竣工验收报告填写不严谨，未写签署日期。</w:t>
      </w:r>
    </w:p>
    <w:p>
      <w:pPr>
        <w:keepNext w:val="0"/>
        <w:keepLines w:val="0"/>
        <w:pageBreakBefore w:val="0"/>
        <w:widowControl w:val="0"/>
        <w:numPr>
          <w:ilvl w:val="0"/>
          <w:numId w:val="1"/>
        </w:numPr>
        <w:kinsoku/>
        <w:wordWrap/>
        <w:overflowPunct/>
        <w:topLinePunct w:val="0"/>
        <w:autoSpaceDE/>
        <w:autoSpaceDN/>
        <w:bidi w:val="0"/>
        <w:adjustRightInd/>
        <w:snapToGrid/>
        <w:spacing w:line="520" w:lineRule="exact"/>
        <w:ind w:left="0" w:leftChars="0" w:firstLine="0" w:firstLineChars="0"/>
        <w:textAlignment w:val="auto"/>
        <w:outlineLvl w:val="1"/>
        <w:rPr>
          <w:rFonts w:hint="eastAsia" w:ascii="楷体" w:hAnsi="楷体" w:eastAsia="楷体" w:cs="楷体"/>
          <w:sz w:val="28"/>
          <w:szCs w:val="28"/>
          <w:lang w:val="en-US" w:eastAsia="zh-CN"/>
        </w:rPr>
      </w:pPr>
      <w:bookmarkStart w:id="20" w:name="_Toc20729"/>
      <w:r>
        <w:rPr>
          <w:rFonts w:hint="eastAsia" w:ascii="楷体" w:hAnsi="楷体" w:eastAsia="楷体" w:cs="楷体"/>
          <w:sz w:val="28"/>
          <w:szCs w:val="28"/>
          <w:lang w:val="en-US" w:eastAsia="zh-CN"/>
        </w:rPr>
        <w:t>工程质量有待提高</w:t>
      </w:r>
      <w:bookmarkEnd w:id="20"/>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textAlignment w:val="auto"/>
        <w:rPr>
          <w:rFonts w:hint="default" w:ascii="楷体" w:hAnsi="楷体" w:eastAsia="楷体" w:cs="楷体"/>
          <w:sz w:val="28"/>
          <w:szCs w:val="28"/>
          <w:lang w:val="en-US" w:eastAsia="zh-CN"/>
        </w:rPr>
      </w:pPr>
      <w:r>
        <w:rPr>
          <w:rFonts w:hint="eastAsia" w:ascii="楷体" w:hAnsi="楷体" w:eastAsia="楷体" w:cs="楷体"/>
          <w:sz w:val="28"/>
          <w:szCs w:val="28"/>
          <w:lang w:val="en-US" w:eastAsia="zh-CN"/>
        </w:rPr>
        <w:t xml:space="preserve">    项目质量虽达到招标文件要求，验收结论为“合格”但工程质量还有待提高，比如：百货公司家属楼因设计不合理导致地下室漏水，工业局家属楼楼顶漏水，棉油厂家属楼、党校家属楼外墙涂料已经脱落，影响美观。</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0"/>
        <w:rPr>
          <w:rFonts w:hint="eastAsia" w:ascii="楷体" w:hAnsi="楷体" w:eastAsia="楷体" w:cs="楷体"/>
          <w:sz w:val="28"/>
          <w:szCs w:val="28"/>
        </w:rPr>
      </w:pPr>
      <w:bookmarkStart w:id="21" w:name="_Toc11993"/>
      <w:r>
        <w:rPr>
          <w:rFonts w:hint="eastAsia" w:ascii="楷体" w:hAnsi="楷体" w:eastAsia="楷体" w:cs="楷体"/>
          <w:sz w:val="28"/>
          <w:szCs w:val="28"/>
        </w:rPr>
        <w:t>六、相关建议</w:t>
      </w:r>
      <w:bookmarkEnd w:id="21"/>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1"/>
        <w:rPr>
          <w:rFonts w:hint="eastAsia" w:ascii="楷体" w:hAnsi="楷体" w:eastAsia="楷体" w:cs="楷体"/>
          <w:sz w:val="28"/>
          <w:szCs w:val="28"/>
        </w:rPr>
      </w:pPr>
      <w:bookmarkStart w:id="22" w:name="_Toc27600"/>
      <w:r>
        <w:rPr>
          <w:rFonts w:hint="eastAsia" w:ascii="楷体" w:hAnsi="楷体" w:eastAsia="楷体" w:cs="楷体"/>
          <w:sz w:val="28"/>
          <w:szCs w:val="28"/>
        </w:rPr>
        <w:t>（一）精准编辑预算、合理安排预算资金</w:t>
      </w:r>
      <w:bookmarkEnd w:id="22"/>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rPr>
          <w:rFonts w:hint="eastAsia" w:ascii="楷体" w:hAnsi="楷体" w:eastAsia="楷体" w:cs="楷体"/>
          <w:sz w:val="28"/>
          <w:szCs w:val="28"/>
        </w:rPr>
      </w:pPr>
      <w:r>
        <w:rPr>
          <w:rFonts w:hint="eastAsia" w:ascii="楷体" w:hAnsi="楷体" w:eastAsia="楷体" w:cs="楷体"/>
          <w:sz w:val="28"/>
          <w:szCs w:val="28"/>
        </w:rPr>
        <w:t>在设置绩效目标时应明确绩效目标，分解细化绩效指标，科学设定指标值，加强指标衔接性，绩效目标的设置既要与实际情况一致，不能偏离实际，又要通过相关的绩效指标进行全面体现，绩效指标值的设置要在考虑可实现性的基础上，尽量从严、从高设定，以充分发挥绩效目标对预算编制执行的引导约束和控制作用，避免选用难以确定具体指标值、标准不明确或缺乏约束力的指标。</w:t>
      </w:r>
      <w:r>
        <w:rPr>
          <w:rFonts w:hint="eastAsia" w:ascii="楷体" w:hAnsi="楷体" w:eastAsia="楷体" w:cs="楷体"/>
          <w:sz w:val="28"/>
          <w:szCs w:val="28"/>
          <w:lang w:eastAsia="zh-CN"/>
        </w:rPr>
        <w:t>无极县住房和城乡建设局</w:t>
      </w:r>
      <w:r>
        <w:rPr>
          <w:rFonts w:hint="eastAsia" w:ascii="楷体" w:hAnsi="楷体" w:eastAsia="楷体" w:cs="楷体"/>
          <w:sz w:val="28"/>
          <w:szCs w:val="28"/>
        </w:rPr>
        <w:t>要充分考虑项目情况，科学合理安排预算。</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1"/>
        <w:rPr>
          <w:rFonts w:hint="eastAsia" w:ascii="楷体" w:hAnsi="楷体" w:eastAsia="楷体" w:cs="楷体"/>
          <w:sz w:val="28"/>
          <w:szCs w:val="28"/>
          <w:lang w:val="en-US" w:eastAsia="zh-CN"/>
        </w:rPr>
      </w:pPr>
      <w:bookmarkStart w:id="23" w:name="_Toc8404"/>
      <w:r>
        <w:rPr>
          <w:rFonts w:hint="eastAsia" w:ascii="楷体" w:hAnsi="楷体" w:eastAsia="楷体" w:cs="楷体"/>
          <w:sz w:val="28"/>
          <w:szCs w:val="28"/>
        </w:rPr>
        <w:t>（</w:t>
      </w:r>
      <w:r>
        <w:rPr>
          <w:rFonts w:hint="eastAsia" w:ascii="楷体" w:hAnsi="楷体" w:eastAsia="楷体" w:cs="楷体"/>
          <w:sz w:val="28"/>
          <w:szCs w:val="28"/>
          <w:lang w:eastAsia="zh-CN"/>
        </w:rPr>
        <w:t>二</w:t>
      </w:r>
      <w:r>
        <w:rPr>
          <w:rFonts w:hint="eastAsia" w:ascii="楷体" w:hAnsi="楷体" w:eastAsia="楷体" w:cs="楷体"/>
          <w:sz w:val="28"/>
          <w:szCs w:val="28"/>
        </w:rPr>
        <w:t>）</w:t>
      </w:r>
      <w:r>
        <w:rPr>
          <w:rFonts w:hint="eastAsia" w:ascii="楷体" w:hAnsi="楷体" w:eastAsia="楷体" w:cs="楷体"/>
          <w:sz w:val="28"/>
          <w:szCs w:val="28"/>
          <w:lang w:val="en-US" w:eastAsia="zh-CN"/>
        </w:rPr>
        <w:t>及时做好项目竣工结算审核报告、完善竣工验收报告</w:t>
      </w:r>
      <w:bookmarkEnd w:id="23"/>
    </w:p>
    <w:p>
      <w:pPr>
        <w:keepNext w:val="0"/>
        <w:keepLines w:val="0"/>
        <w:pageBreakBefore w:val="0"/>
        <w:widowControl w:val="0"/>
        <w:kinsoku/>
        <w:wordWrap/>
        <w:overflowPunct/>
        <w:topLinePunct w:val="0"/>
        <w:autoSpaceDE/>
        <w:autoSpaceDN/>
        <w:bidi w:val="0"/>
        <w:adjustRightInd/>
        <w:snapToGrid/>
        <w:spacing w:line="520" w:lineRule="exact"/>
        <w:ind w:firstLine="560" w:firstLineChars="200"/>
        <w:textAlignment w:val="auto"/>
        <w:outlineLvl w:val="1"/>
        <w:rPr>
          <w:rFonts w:hint="default" w:ascii="楷体" w:hAnsi="楷体" w:eastAsia="楷体" w:cs="楷体"/>
          <w:sz w:val="28"/>
          <w:szCs w:val="28"/>
          <w:lang w:val="en-US"/>
        </w:rPr>
      </w:pPr>
      <w:bookmarkStart w:id="24" w:name="_Toc4858"/>
      <w:bookmarkStart w:id="25" w:name="_Toc4011"/>
      <w:bookmarkStart w:id="26" w:name="_Toc29488"/>
      <w:bookmarkStart w:id="27" w:name="_Toc20005"/>
      <w:bookmarkStart w:id="28" w:name="_Toc15393"/>
      <w:bookmarkStart w:id="29" w:name="_Toc12033"/>
      <w:bookmarkStart w:id="30" w:name="_Toc30532"/>
      <w:bookmarkStart w:id="31" w:name="_Toc27139"/>
      <w:bookmarkStart w:id="32" w:name="_Toc20597"/>
      <w:bookmarkStart w:id="33" w:name="_Toc11106"/>
      <w:bookmarkStart w:id="34" w:name="_Toc31031"/>
      <w:bookmarkStart w:id="35" w:name="_Toc31084"/>
      <w:bookmarkStart w:id="36" w:name="_Toc2476"/>
      <w:bookmarkStart w:id="37" w:name="_Toc2925"/>
      <w:bookmarkStart w:id="38" w:name="_Toc32399"/>
      <w:bookmarkStart w:id="39" w:name="_Toc29534"/>
      <w:r>
        <w:rPr>
          <w:rFonts w:hint="eastAsia" w:ascii="楷体" w:hAnsi="楷体" w:eastAsia="楷体" w:cs="楷体"/>
          <w:sz w:val="28"/>
          <w:szCs w:val="28"/>
          <w:lang w:val="en-US" w:eastAsia="zh-CN"/>
        </w:rPr>
        <w:t>经评价组查阅资料发现，项目竣工后未做竣工结算审核报告，竣工验收报告填写不严谨。建议项目主管单位对项目完工后及时做好竣工结算审核报告，竣工验收报告签署日期填写完整。</w:t>
      </w:r>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Chars="0"/>
        <w:textAlignment w:val="auto"/>
        <w:outlineLvl w:val="1"/>
        <w:rPr>
          <w:rFonts w:hint="eastAsia" w:ascii="楷体" w:hAnsi="楷体" w:eastAsia="楷体" w:cs="楷体"/>
          <w:sz w:val="28"/>
          <w:szCs w:val="28"/>
          <w:lang w:eastAsia="zh-CN"/>
        </w:rPr>
      </w:pPr>
      <w:bookmarkStart w:id="40" w:name="_Toc14165"/>
      <w:bookmarkStart w:id="41" w:name="_Toc51848805"/>
      <w:bookmarkStart w:id="42" w:name="_Toc51848777"/>
      <w:bookmarkStart w:id="43" w:name="_Toc27132"/>
      <w:r>
        <w:rPr>
          <w:rFonts w:hint="eastAsia" w:ascii="楷体" w:hAnsi="楷体" w:eastAsia="楷体" w:cs="楷体"/>
          <w:sz w:val="28"/>
          <w:szCs w:val="28"/>
          <w:lang w:eastAsia="zh-CN"/>
        </w:rPr>
        <w:t>（三）</w:t>
      </w:r>
      <w:bookmarkEnd w:id="40"/>
      <w:bookmarkEnd w:id="41"/>
      <w:bookmarkEnd w:id="42"/>
      <w:r>
        <w:rPr>
          <w:rFonts w:hint="eastAsia" w:ascii="楷体" w:hAnsi="楷体" w:eastAsia="楷体" w:cs="楷体"/>
          <w:sz w:val="28"/>
          <w:szCs w:val="28"/>
          <w:lang w:eastAsia="zh-CN"/>
        </w:rPr>
        <w:t>提高工程质量</w:t>
      </w:r>
      <w:bookmarkEnd w:id="43"/>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Chars="0"/>
        <w:textAlignment w:val="auto"/>
        <w:outlineLvl w:val="1"/>
        <w:rPr>
          <w:rFonts w:hint="default" w:ascii="楷体" w:hAnsi="楷体" w:eastAsia="楷体" w:cs="楷体"/>
          <w:sz w:val="28"/>
          <w:szCs w:val="28"/>
          <w:lang w:val="en-US" w:eastAsia="zh-CN"/>
        </w:rPr>
      </w:pPr>
      <w:r>
        <w:rPr>
          <w:rFonts w:hint="eastAsia" w:ascii="楷体" w:hAnsi="楷体" w:eastAsia="楷体" w:cs="楷体"/>
          <w:sz w:val="28"/>
          <w:szCs w:val="28"/>
          <w:lang w:val="en-US" w:eastAsia="zh-CN"/>
        </w:rPr>
        <w:t xml:space="preserve">    </w:t>
      </w:r>
      <w:bookmarkStart w:id="44" w:name="_Toc241"/>
      <w:bookmarkStart w:id="45" w:name="_Toc29525"/>
      <w:bookmarkStart w:id="46" w:name="_Toc28414"/>
      <w:r>
        <w:rPr>
          <w:rFonts w:hint="eastAsia" w:ascii="楷体" w:hAnsi="楷体" w:eastAsia="楷体" w:cs="楷体"/>
          <w:sz w:val="28"/>
          <w:szCs w:val="28"/>
          <w:lang w:val="en-US" w:eastAsia="zh-CN"/>
        </w:rPr>
        <w:t>对于百货公司家属楼因设计不合理导致地下室漏水，工业局家属楼楼顶漏水，棉油厂家属楼、党校家属楼等外墙涂料已经脱落问题，应及时修补，达到预期效果。并保证项目工程的质量，防范项目质量问题和资金浪费。</w:t>
      </w:r>
      <w:bookmarkEnd w:id="44"/>
      <w:bookmarkEnd w:id="45"/>
      <w:bookmarkEnd w:id="46"/>
    </w:p>
    <w:p>
      <w:pPr>
        <w:keepNext w:val="0"/>
        <w:keepLines w:val="0"/>
        <w:pageBreakBefore w:val="0"/>
        <w:widowControl w:val="0"/>
        <w:kinsoku/>
        <w:wordWrap/>
        <w:overflowPunct/>
        <w:topLinePunct w:val="0"/>
        <w:autoSpaceDE/>
        <w:autoSpaceDN/>
        <w:bidi w:val="0"/>
        <w:adjustRightInd/>
        <w:snapToGrid/>
        <w:spacing w:line="480" w:lineRule="exact"/>
        <w:textAlignment w:val="auto"/>
        <w:outlineLvl w:val="1"/>
        <w:rPr>
          <w:rFonts w:hint="eastAsia" w:ascii="楷体" w:hAnsi="楷体" w:eastAsia="楷体" w:cs="楷体"/>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textAlignment w:val="auto"/>
        <w:outlineLvl w:val="1"/>
        <w:rPr>
          <w:rFonts w:hint="eastAsia" w:ascii="楷体" w:hAnsi="楷体" w:eastAsia="楷体" w:cs="楷体"/>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textAlignment w:val="auto"/>
        <w:outlineLvl w:val="1"/>
        <w:rPr>
          <w:rFonts w:hint="eastAsia" w:ascii="楷体" w:hAnsi="楷体" w:eastAsia="楷体" w:cs="楷体"/>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textAlignment w:val="auto"/>
        <w:outlineLvl w:val="1"/>
        <w:rPr>
          <w:rFonts w:hint="eastAsia" w:ascii="楷体" w:hAnsi="楷体" w:eastAsia="楷体" w:cs="楷体"/>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textAlignment w:val="auto"/>
        <w:outlineLvl w:val="1"/>
        <w:rPr>
          <w:rFonts w:hint="eastAsia" w:ascii="楷体" w:hAnsi="楷体" w:eastAsia="楷体" w:cs="楷体"/>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楷体" w:hAnsi="楷体" w:eastAsia="楷体" w:cs="楷体"/>
          <w:sz w:val="28"/>
          <w:szCs w:val="28"/>
        </w:rPr>
      </w:pPr>
    </w:p>
    <w:p>
      <w:pPr>
        <w:rPr>
          <w:rFonts w:hint="eastAsia" w:ascii="楷体" w:hAnsi="楷体" w:eastAsia="楷体" w:cs="楷体"/>
          <w:sz w:val="28"/>
          <w:szCs w:val="28"/>
        </w:rPr>
      </w:pPr>
      <w:r>
        <w:rPr>
          <w:rFonts w:hint="eastAsia" w:ascii="楷体" w:hAnsi="楷体" w:eastAsia="楷体" w:cs="楷体"/>
          <w:sz w:val="28"/>
          <w:szCs w:val="28"/>
        </w:rPr>
        <w:t>附件1：</w:t>
      </w:r>
      <w:r>
        <w:rPr>
          <w:rFonts w:hint="eastAsia" w:ascii="楷体" w:hAnsi="楷体" w:eastAsia="楷体" w:cs="楷体"/>
          <w:sz w:val="28"/>
          <w:szCs w:val="28"/>
          <w:lang w:eastAsia="zh-CN"/>
        </w:rPr>
        <w:t>无极县2022年老旧小区建筑主体改造项目</w:t>
      </w:r>
      <w:r>
        <w:rPr>
          <w:rFonts w:hint="eastAsia" w:ascii="楷体" w:hAnsi="楷体" w:eastAsia="楷体" w:cs="楷体"/>
          <w:sz w:val="28"/>
          <w:szCs w:val="28"/>
        </w:rPr>
        <w:t>绩效评价表</w:t>
      </w:r>
    </w:p>
    <w:p>
      <w:pPr>
        <w:rPr>
          <w:rFonts w:hint="eastAsia" w:ascii="楷体" w:hAnsi="楷体" w:eastAsia="楷体" w:cs="楷体"/>
          <w:sz w:val="24"/>
          <w:szCs w:val="24"/>
        </w:rPr>
      </w:pPr>
    </w:p>
    <w:p>
      <w:pPr>
        <w:rPr>
          <w:rFonts w:hint="eastAsia"/>
        </w:rPr>
      </w:pPr>
    </w:p>
    <w:p>
      <w:pPr>
        <w:rPr>
          <w:rFonts w:hint="eastAsia"/>
        </w:rPr>
      </w:pPr>
    </w:p>
    <w:p>
      <w:pPr>
        <w:rPr>
          <w:rFonts w:hint="eastAsia"/>
        </w:rPr>
      </w:pPr>
    </w:p>
    <w:p>
      <w:pPr>
        <w:rPr>
          <w:rFonts w:hint="eastAsia"/>
        </w:rPr>
      </w:pPr>
    </w:p>
    <w:p>
      <w:pPr>
        <w:keepNext w:val="0"/>
        <w:keepLines w:val="0"/>
        <w:pageBreakBefore w:val="0"/>
        <w:widowControl w:val="0"/>
        <w:tabs>
          <w:tab w:val="left" w:pos="5445"/>
        </w:tabs>
        <w:kinsoku/>
        <w:wordWrap/>
        <w:overflowPunct/>
        <w:topLinePunct w:val="0"/>
        <w:autoSpaceDE/>
        <w:autoSpaceDN/>
        <w:bidi w:val="0"/>
        <w:spacing w:line="440" w:lineRule="exact"/>
        <w:ind w:firstLine="1280" w:firstLineChars="400"/>
        <w:jc w:val="center"/>
        <w:textAlignment w:val="auto"/>
        <w:rPr>
          <w:rFonts w:hint="eastAsia" w:ascii="楷体" w:hAnsi="楷体" w:eastAsia="楷体" w:cs="楷体"/>
          <w:kern w:val="2"/>
          <w:sz w:val="32"/>
          <w:szCs w:val="24"/>
          <w:lang w:val="en-US" w:eastAsia="zh-CN" w:bidi="ar-SA"/>
        </w:rPr>
      </w:pPr>
      <w:r>
        <w:rPr>
          <w:rFonts w:hint="eastAsia" w:ascii="楷体" w:hAnsi="楷体" w:eastAsia="楷体" w:cs="楷体"/>
          <w:kern w:val="2"/>
          <w:sz w:val="32"/>
          <w:szCs w:val="24"/>
          <w:lang w:val="en-US" w:eastAsia="zh-CN" w:bidi="ar-SA"/>
        </w:rPr>
        <w:t xml:space="preserve">            </w:t>
      </w:r>
    </w:p>
    <w:p>
      <w:pPr>
        <w:keepNext w:val="0"/>
        <w:keepLines w:val="0"/>
        <w:pageBreakBefore w:val="0"/>
        <w:widowControl w:val="0"/>
        <w:tabs>
          <w:tab w:val="left" w:pos="5445"/>
        </w:tabs>
        <w:kinsoku/>
        <w:wordWrap/>
        <w:overflowPunct/>
        <w:topLinePunct w:val="0"/>
        <w:autoSpaceDE/>
        <w:autoSpaceDN/>
        <w:bidi w:val="0"/>
        <w:spacing w:line="440" w:lineRule="exact"/>
        <w:ind w:firstLine="1280" w:firstLineChars="400"/>
        <w:jc w:val="center"/>
        <w:textAlignment w:val="auto"/>
        <w:rPr>
          <w:rFonts w:hint="eastAsia" w:ascii="楷体" w:hAnsi="楷体" w:eastAsia="楷体" w:cs="楷体"/>
          <w:kern w:val="2"/>
          <w:sz w:val="32"/>
          <w:szCs w:val="24"/>
          <w:lang w:val="en-US" w:eastAsia="zh-CN" w:bidi="ar-SA"/>
        </w:rPr>
      </w:pPr>
      <w:r>
        <w:rPr>
          <w:rFonts w:hint="eastAsia" w:ascii="楷体" w:hAnsi="楷体" w:eastAsia="楷体" w:cs="楷体"/>
          <w:kern w:val="2"/>
          <w:sz w:val="32"/>
          <w:szCs w:val="24"/>
          <w:lang w:val="en-US" w:eastAsia="zh-CN" w:bidi="ar-SA"/>
        </w:rPr>
        <w:t xml:space="preserve">           无极中昌会计师事务所</w:t>
      </w:r>
    </w:p>
    <w:p>
      <w:pPr>
        <w:keepNext w:val="0"/>
        <w:keepLines w:val="0"/>
        <w:pageBreakBefore w:val="0"/>
        <w:widowControl w:val="0"/>
        <w:tabs>
          <w:tab w:val="left" w:pos="5445"/>
        </w:tabs>
        <w:kinsoku/>
        <w:wordWrap/>
        <w:overflowPunct/>
        <w:topLinePunct w:val="0"/>
        <w:autoSpaceDE/>
        <w:autoSpaceDN/>
        <w:bidi w:val="0"/>
        <w:spacing w:line="440" w:lineRule="exact"/>
        <w:ind w:firstLine="1600" w:firstLineChars="500"/>
        <w:jc w:val="center"/>
        <w:textAlignment w:val="auto"/>
        <w:rPr>
          <w:rFonts w:hint="eastAsia" w:ascii="楷体" w:hAnsi="楷体" w:eastAsia="楷体" w:cs="楷体"/>
          <w:sz w:val="28"/>
          <w:szCs w:val="28"/>
          <w:lang w:val="en-US" w:eastAsia="zh-CN"/>
        </w:rPr>
      </w:pPr>
      <w:r>
        <w:rPr>
          <w:rFonts w:hint="eastAsia" w:ascii="楷体" w:hAnsi="楷体" w:eastAsia="楷体" w:cs="楷体"/>
          <w:kern w:val="2"/>
          <w:sz w:val="32"/>
          <w:szCs w:val="24"/>
          <w:lang w:val="en-US" w:eastAsia="zh-CN" w:bidi="ar-SA"/>
        </w:rPr>
        <w:t xml:space="preserve">           有限责任公司</w:t>
      </w:r>
      <w:r>
        <w:rPr>
          <w:rFonts w:hint="eastAsia" w:ascii="楷体" w:hAnsi="楷体" w:eastAsia="楷体" w:cs="楷体"/>
          <w:sz w:val="28"/>
          <w:szCs w:val="28"/>
        </w:rPr>
        <w:t xml:space="preserve">                                 </w:t>
      </w:r>
      <w:r>
        <w:rPr>
          <w:rFonts w:hint="eastAsia" w:ascii="楷体" w:hAnsi="楷体" w:eastAsia="楷体" w:cs="楷体"/>
          <w:sz w:val="28"/>
          <w:szCs w:val="28"/>
          <w:lang w:val="en-US" w:eastAsia="zh-CN"/>
        </w:rPr>
        <w:t xml:space="preserve">    </w:t>
      </w:r>
    </w:p>
    <w:p>
      <w:pPr>
        <w:keepNext w:val="0"/>
        <w:keepLines w:val="0"/>
        <w:pageBreakBefore w:val="0"/>
        <w:widowControl w:val="0"/>
        <w:tabs>
          <w:tab w:val="left" w:pos="5445"/>
        </w:tabs>
        <w:kinsoku/>
        <w:wordWrap/>
        <w:overflowPunct/>
        <w:topLinePunct w:val="0"/>
        <w:autoSpaceDE/>
        <w:autoSpaceDN/>
        <w:bidi w:val="0"/>
        <w:spacing w:line="440" w:lineRule="exact"/>
        <w:ind w:firstLine="5760" w:firstLineChars="1800"/>
        <w:textAlignment w:val="auto"/>
        <w:rPr>
          <w:rFonts w:hint="eastAsia" w:ascii="楷体" w:hAnsi="楷体" w:eastAsia="楷体" w:cs="楷体"/>
          <w:kern w:val="2"/>
          <w:sz w:val="32"/>
          <w:szCs w:val="24"/>
          <w:lang w:val="en-US" w:eastAsia="zh-CN" w:bidi="ar-SA"/>
        </w:rPr>
      </w:pPr>
    </w:p>
    <w:p>
      <w:pPr>
        <w:jc w:val="center"/>
        <w:rPr>
          <w:rFonts w:hint="eastAsia"/>
        </w:rPr>
      </w:pPr>
      <w:r>
        <w:rPr>
          <w:rFonts w:hint="eastAsia" w:ascii="楷体" w:hAnsi="楷体" w:eastAsia="楷体" w:cs="楷体"/>
          <w:kern w:val="2"/>
          <w:sz w:val="32"/>
          <w:szCs w:val="24"/>
          <w:lang w:val="en-US" w:eastAsia="zh-CN" w:bidi="ar-SA"/>
        </w:rPr>
        <w:t xml:space="preserve">                     2023年10月23日</w:t>
      </w:r>
    </w:p>
    <w:p>
      <w:pPr>
        <w:keepNext w:val="0"/>
        <w:keepLines w:val="0"/>
        <w:pageBreakBefore w:val="0"/>
        <w:widowControl w:val="0"/>
        <w:tabs>
          <w:tab w:val="left" w:pos="5445"/>
        </w:tabs>
        <w:kinsoku/>
        <w:wordWrap/>
        <w:overflowPunct/>
        <w:topLinePunct w:val="0"/>
        <w:autoSpaceDE/>
        <w:autoSpaceDN/>
        <w:bidi w:val="0"/>
        <w:spacing w:line="440" w:lineRule="exact"/>
        <w:ind w:firstLine="1600" w:firstLineChars="500"/>
        <w:jc w:val="center"/>
        <w:textAlignment w:val="auto"/>
        <w:rPr>
          <w:rFonts w:hint="eastAsia" w:ascii="楷体" w:hAnsi="楷体" w:eastAsia="楷体" w:cs="楷体"/>
          <w:sz w:val="28"/>
          <w:szCs w:val="28"/>
          <w:lang w:val="en-US" w:eastAsia="zh-CN"/>
        </w:rPr>
      </w:pPr>
      <w:r>
        <w:rPr>
          <w:rFonts w:hint="eastAsia" w:ascii="楷体" w:hAnsi="楷体" w:eastAsia="楷体" w:cs="楷体"/>
          <w:kern w:val="2"/>
          <w:sz w:val="32"/>
          <w:szCs w:val="24"/>
          <w:lang w:val="en-US" w:eastAsia="zh-CN" w:bidi="ar-SA"/>
        </w:rPr>
        <w:t xml:space="preserve">          </w:t>
      </w:r>
      <w:r>
        <w:rPr>
          <w:rFonts w:hint="eastAsia" w:ascii="楷体" w:hAnsi="楷体" w:eastAsia="楷体" w:cs="楷体"/>
          <w:sz w:val="28"/>
          <w:szCs w:val="28"/>
        </w:rPr>
        <w:t xml:space="preserve">                                 </w:t>
      </w:r>
      <w:r>
        <w:rPr>
          <w:rFonts w:hint="eastAsia" w:ascii="楷体" w:hAnsi="楷体" w:eastAsia="楷体" w:cs="楷体"/>
          <w:sz w:val="28"/>
          <w:szCs w:val="28"/>
          <w:lang w:val="en-US" w:eastAsia="zh-CN"/>
        </w:rPr>
        <w:t xml:space="preserve">    </w:t>
      </w:r>
    </w:p>
    <w:p>
      <w:pPr>
        <w:keepNext w:val="0"/>
        <w:keepLines w:val="0"/>
        <w:pageBreakBefore w:val="0"/>
        <w:widowControl w:val="0"/>
        <w:tabs>
          <w:tab w:val="left" w:pos="5445"/>
        </w:tabs>
        <w:kinsoku/>
        <w:wordWrap/>
        <w:overflowPunct/>
        <w:topLinePunct w:val="0"/>
        <w:autoSpaceDE/>
        <w:autoSpaceDN/>
        <w:bidi w:val="0"/>
        <w:spacing w:line="440" w:lineRule="exact"/>
        <w:ind w:firstLine="5760" w:firstLineChars="1800"/>
        <w:textAlignment w:val="auto"/>
        <w:rPr>
          <w:rFonts w:hint="eastAsia" w:ascii="楷体" w:hAnsi="楷体" w:eastAsia="楷体" w:cs="楷体"/>
          <w:kern w:val="2"/>
          <w:sz w:val="32"/>
          <w:szCs w:val="24"/>
          <w:lang w:val="en-US" w:eastAsia="zh-CN" w:bidi="ar-SA"/>
        </w:rPr>
      </w:pPr>
    </w:p>
    <w:p>
      <w:pPr>
        <w:jc w:val="center"/>
        <w:rPr>
          <w:rFonts w:hint="eastAsia"/>
        </w:rPr>
      </w:pPr>
      <w:r>
        <w:rPr>
          <w:rFonts w:hint="eastAsia" w:ascii="楷体" w:hAnsi="楷体" w:eastAsia="楷体" w:cs="楷体"/>
          <w:kern w:val="2"/>
          <w:sz w:val="32"/>
          <w:szCs w:val="24"/>
          <w:lang w:val="en-US" w:eastAsia="zh-CN" w:bidi="ar-SA"/>
        </w:rPr>
        <w:t xml:space="preserve">                     </w:t>
      </w:r>
    </w:p>
    <w:p>
      <w:pPr>
        <w:rPr>
          <w:rFonts w:hint="eastAsia"/>
        </w:rPr>
        <w:sectPr>
          <w:footerReference r:id="rId4" w:type="default"/>
          <w:pgSz w:w="11906" w:h="16838"/>
          <w:pgMar w:top="1440" w:right="1800" w:bottom="1440" w:left="1800" w:header="851" w:footer="992" w:gutter="0"/>
          <w:pgNumType w:fmt="decimal" w:start="1"/>
          <w:cols w:space="425" w:num="1"/>
          <w:docGrid w:type="lines" w:linePitch="312" w:charSpace="0"/>
        </w:sectPr>
      </w:pPr>
    </w:p>
    <w:p>
      <w:pPr>
        <w:spacing w:after="140" w:line="380" w:lineRule="exact"/>
        <w:ind w:firstLine="100"/>
        <w:jc w:val="both"/>
      </w:pPr>
      <w:r>
        <w:rPr>
          <w:rFonts w:hint="eastAsia" w:ascii="宋体" w:hAnsi="宋体" w:eastAsia="宋体"/>
          <w:color w:val="000000"/>
          <w:sz w:val="24"/>
        </w:rPr>
        <w:t>附件1：</w:t>
      </w:r>
    </w:p>
    <w:tbl>
      <w:tblPr>
        <w:tblStyle w:val="7"/>
        <w:tblW w:w="157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1782"/>
        <w:gridCol w:w="1337"/>
        <w:gridCol w:w="1218"/>
        <w:gridCol w:w="5785"/>
        <w:gridCol w:w="1516"/>
        <w:gridCol w:w="40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840" w:hRule="atLeast"/>
          <w:jc w:val="center"/>
        </w:trPr>
        <w:tc>
          <w:tcPr>
            <w:tcW w:w="15707" w:type="dxa"/>
            <w:gridSpan w:val="6"/>
            <w:vAlign w:val="center"/>
          </w:tcPr>
          <w:p>
            <w:pPr>
              <w:spacing w:line="270" w:lineRule="exact"/>
              <w:jc w:val="center"/>
            </w:pPr>
            <w:r>
              <w:rPr>
                <w:rFonts w:hint="eastAsia" w:ascii="宋体" w:hAnsi="宋体" w:eastAsia="宋体"/>
                <w:color w:val="000000"/>
                <w:sz w:val="18"/>
                <w:lang w:eastAsia="zh-CN"/>
              </w:rPr>
              <w:t>无极县2022年老旧小区建筑主体改造项目</w:t>
            </w:r>
            <w:r>
              <w:rPr>
                <w:rFonts w:hint="eastAsia" w:ascii="宋体" w:hAnsi="宋体" w:eastAsia="宋体"/>
                <w:color w:val="000000"/>
                <w:sz w:val="18"/>
              </w:rPr>
              <w:t>支出绩效评价指标体系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60" w:hRule="atLeast"/>
          <w:jc w:val="center"/>
        </w:trPr>
        <w:tc>
          <w:tcPr>
            <w:tcW w:w="1782" w:type="dxa"/>
            <w:vAlign w:val="top"/>
          </w:tcPr>
          <w:p>
            <w:pPr>
              <w:spacing w:before="49" w:line="221" w:lineRule="exact"/>
              <w:jc w:val="center"/>
            </w:pPr>
            <w:r>
              <w:rPr>
                <w:rFonts w:hint="eastAsia" w:ascii="宋体" w:hAnsi="宋体" w:eastAsia="宋体"/>
                <w:color w:val="000000"/>
                <w:sz w:val="18"/>
              </w:rPr>
              <w:t>一级</w:t>
            </w:r>
          </w:p>
          <w:p>
            <w:pPr>
              <w:spacing w:line="221" w:lineRule="exact"/>
              <w:jc w:val="center"/>
            </w:pPr>
            <w:r>
              <w:rPr>
                <w:rFonts w:hint="eastAsia" w:ascii="宋体" w:hAnsi="宋体" w:eastAsia="宋体"/>
                <w:color w:val="000000"/>
                <w:sz w:val="18"/>
              </w:rPr>
              <w:t>指标</w:t>
            </w:r>
          </w:p>
        </w:tc>
        <w:tc>
          <w:tcPr>
            <w:tcW w:w="1337" w:type="dxa"/>
            <w:vAlign w:val="top"/>
          </w:tcPr>
          <w:p>
            <w:pPr>
              <w:spacing w:before="49" w:line="221" w:lineRule="exact"/>
              <w:jc w:val="center"/>
            </w:pPr>
            <w:r>
              <w:rPr>
                <w:rFonts w:hint="eastAsia" w:ascii="宋体" w:hAnsi="宋体" w:eastAsia="宋体"/>
                <w:color w:val="000000"/>
                <w:sz w:val="18"/>
              </w:rPr>
              <w:t>二级指</w:t>
            </w:r>
          </w:p>
          <w:p>
            <w:pPr>
              <w:spacing w:line="239" w:lineRule="exact"/>
              <w:jc w:val="center"/>
            </w:pPr>
            <w:r>
              <w:rPr>
                <w:rFonts w:hint="eastAsia" w:ascii="宋体" w:hAnsi="宋体" w:eastAsia="宋体"/>
                <w:color w:val="000000"/>
                <w:sz w:val="18"/>
              </w:rPr>
              <w:t>标</w:t>
            </w:r>
          </w:p>
        </w:tc>
        <w:tc>
          <w:tcPr>
            <w:tcW w:w="1218" w:type="dxa"/>
            <w:vAlign w:val="top"/>
          </w:tcPr>
          <w:p>
            <w:pPr>
              <w:spacing w:before="49" w:line="221" w:lineRule="exact"/>
              <w:jc w:val="center"/>
            </w:pPr>
            <w:r>
              <w:rPr>
                <w:rFonts w:hint="eastAsia" w:ascii="宋体" w:hAnsi="宋体" w:eastAsia="宋体"/>
                <w:color w:val="000000"/>
                <w:sz w:val="18"/>
              </w:rPr>
              <w:t>三级指</w:t>
            </w:r>
          </w:p>
          <w:p>
            <w:pPr>
              <w:spacing w:line="239" w:lineRule="exact"/>
              <w:jc w:val="center"/>
            </w:pPr>
            <w:r>
              <w:rPr>
                <w:rFonts w:hint="eastAsia" w:ascii="宋体" w:hAnsi="宋体" w:eastAsia="宋体"/>
                <w:color w:val="000000"/>
                <w:sz w:val="18"/>
              </w:rPr>
              <w:t>标</w:t>
            </w:r>
          </w:p>
        </w:tc>
        <w:tc>
          <w:tcPr>
            <w:tcW w:w="5785" w:type="dxa"/>
            <w:vAlign w:val="center"/>
          </w:tcPr>
          <w:p>
            <w:pPr>
              <w:spacing w:line="270" w:lineRule="exact"/>
              <w:ind w:firstLine="0"/>
              <w:jc w:val="both"/>
            </w:pPr>
            <w:r>
              <w:rPr>
                <w:rFonts w:hint="eastAsia" w:ascii="宋体" w:hAnsi="宋体" w:eastAsia="宋体"/>
                <w:color w:val="000000"/>
                <w:sz w:val="18"/>
              </w:rPr>
              <w:t>评分标准</w:t>
            </w:r>
          </w:p>
        </w:tc>
        <w:tc>
          <w:tcPr>
            <w:tcW w:w="1516" w:type="dxa"/>
            <w:vAlign w:val="center"/>
          </w:tcPr>
          <w:p>
            <w:pPr>
              <w:spacing w:line="270" w:lineRule="exact"/>
              <w:jc w:val="center"/>
            </w:pPr>
            <w:r>
              <w:rPr>
                <w:rFonts w:hint="eastAsia" w:ascii="宋体" w:hAnsi="宋体" w:eastAsia="宋体"/>
                <w:color w:val="000000"/>
                <w:sz w:val="18"/>
              </w:rPr>
              <w:t>得分</w:t>
            </w:r>
          </w:p>
        </w:tc>
        <w:tc>
          <w:tcPr>
            <w:tcW w:w="4069" w:type="dxa"/>
            <w:vAlign w:val="center"/>
          </w:tcPr>
          <w:p>
            <w:pPr>
              <w:spacing w:line="270" w:lineRule="exact"/>
              <w:ind w:firstLine="0"/>
              <w:jc w:val="both"/>
            </w:pPr>
            <w:r>
              <w:rPr>
                <w:rFonts w:hint="eastAsia" w:ascii="宋体" w:hAnsi="宋体" w:eastAsia="宋体"/>
                <w:color w:val="000000"/>
                <w:sz w:val="18"/>
              </w:rPr>
              <w:t>扣分原因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280" w:hRule="atLeast"/>
          <w:jc w:val="center"/>
        </w:trPr>
        <w:tc>
          <w:tcPr>
            <w:tcW w:w="1782" w:type="dxa"/>
            <w:vMerge w:val="restart"/>
            <w:vAlign w:val="center"/>
          </w:tcPr>
          <w:p>
            <w:pPr>
              <w:spacing w:before="2600" w:line="300" w:lineRule="exact"/>
              <w:jc w:val="center"/>
            </w:pPr>
            <w:r>
              <w:rPr>
                <w:rFonts w:hint="eastAsia" w:ascii="宋体" w:hAnsi="宋体" w:eastAsia="宋体"/>
                <w:color w:val="000000"/>
                <w:sz w:val="20"/>
              </w:rPr>
              <w:t>项目决策（15分）</w:t>
            </w:r>
          </w:p>
        </w:tc>
        <w:tc>
          <w:tcPr>
            <w:tcW w:w="1337" w:type="dxa"/>
            <w:vMerge w:val="restart"/>
            <w:vAlign w:val="center"/>
          </w:tcPr>
          <w:p>
            <w:pPr>
              <w:spacing w:before="958" w:line="340" w:lineRule="exact"/>
              <w:jc w:val="center"/>
            </w:pPr>
            <w:r>
              <w:rPr>
                <w:rFonts w:hint="eastAsia" w:ascii="宋体" w:hAnsi="宋体" w:eastAsia="宋体"/>
                <w:color w:val="000000"/>
                <w:sz w:val="24"/>
              </w:rPr>
              <w:t>项目立项</w:t>
            </w:r>
          </w:p>
        </w:tc>
        <w:tc>
          <w:tcPr>
            <w:tcW w:w="1218" w:type="dxa"/>
            <w:vAlign w:val="top"/>
          </w:tcPr>
          <w:p>
            <w:pPr>
              <w:spacing w:before="137" w:line="300" w:lineRule="exact"/>
              <w:jc w:val="center"/>
            </w:pPr>
            <w:r>
              <w:rPr>
                <w:rFonts w:hint="eastAsia" w:ascii="宋体" w:hAnsi="宋体" w:eastAsia="宋体"/>
                <w:color w:val="000000"/>
                <w:sz w:val="20"/>
              </w:rPr>
              <w:t>立项依据充分性（2分）</w:t>
            </w:r>
          </w:p>
        </w:tc>
        <w:tc>
          <w:tcPr>
            <w:tcW w:w="5785" w:type="dxa"/>
            <w:vAlign w:val="center"/>
          </w:tcPr>
          <w:p>
            <w:pPr>
              <w:spacing w:line="320" w:lineRule="exact"/>
              <w:ind w:left="80" w:firstLine="0"/>
              <w:jc w:val="both"/>
            </w:pPr>
            <w:r>
              <w:rPr>
                <w:rFonts w:hint="eastAsia" w:ascii="宋体" w:hAnsi="宋体" w:eastAsia="宋体"/>
                <w:color w:val="000000"/>
                <w:sz w:val="18"/>
              </w:rPr>
              <w:t>①项目立项符合国家法律法规、国民经济发展规划和相关政策得1分，否则不得分；</w:t>
            </w:r>
          </w:p>
          <w:p>
            <w:pPr>
              <w:spacing w:line="280" w:lineRule="exact"/>
              <w:ind w:left="100" w:firstLine="0"/>
              <w:jc w:val="both"/>
            </w:pPr>
            <w:r>
              <w:rPr>
                <w:rFonts w:hint="eastAsia" w:ascii="宋体" w:hAnsi="宋体" w:eastAsia="宋体"/>
                <w:color w:val="000000"/>
                <w:sz w:val="20"/>
              </w:rPr>
              <w:t>②项目立项与部门职责范围相符，属于部门履职所需得1分，否则不得分。</w:t>
            </w:r>
          </w:p>
        </w:tc>
        <w:tc>
          <w:tcPr>
            <w:tcW w:w="1516" w:type="dxa"/>
            <w:vAlign w:val="center"/>
          </w:tcPr>
          <w:p>
            <w:pPr>
              <w:spacing w:before="467" w:line="330" w:lineRule="exact"/>
              <w:jc w:val="center"/>
            </w:pPr>
            <w:r>
              <w:rPr>
                <w:rFonts w:hint="eastAsia" w:ascii="Arial" w:hAnsi="Arial" w:eastAsia="Arial"/>
                <w:color w:val="000000"/>
                <w:sz w:val="18"/>
              </w:rPr>
              <w:t>2</w:t>
            </w:r>
          </w:p>
        </w:tc>
        <w:tc>
          <w:tcPr>
            <w:tcW w:w="4069" w:type="dxa"/>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25" w:hRule="atLeast"/>
          <w:jc w:val="center"/>
        </w:trPr>
        <w:tc>
          <w:tcPr>
            <w:tcW w:w="1782" w:type="dxa"/>
            <w:vMerge w:val="continue"/>
          </w:tcPr>
          <w:p/>
        </w:tc>
        <w:tc>
          <w:tcPr>
            <w:tcW w:w="1337" w:type="dxa"/>
            <w:vMerge w:val="continue"/>
          </w:tcPr>
          <w:p/>
        </w:tc>
        <w:tc>
          <w:tcPr>
            <w:tcW w:w="1218" w:type="dxa"/>
            <w:vAlign w:val="top"/>
          </w:tcPr>
          <w:p>
            <w:pPr>
              <w:spacing w:before="1" w:line="234" w:lineRule="exact"/>
              <w:jc w:val="center"/>
            </w:pPr>
            <w:r>
              <w:rPr>
                <w:rFonts w:hint="eastAsia" w:ascii="宋体" w:hAnsi="宋体" w:eastAsia="宋体"/>
                <w:color w:val="000000"/>
                <w:sz w:val="18"/>
              </w:rPr>
              <w:t>立项程序</w:t>
            </w:r>
          </w:p>
          <w:p>
            <w:pPr>
              <w:spacing w:line="207" w:lineRule="exact"/>
              <w:jc w:val="center"/>
            </w:pPr>
            <w:r>
              <w:rPr>
                <w:rFonts w:hint="eastAsia" w:ascii="宋体" w:hAnsi="宋体" w:eastAsia="宋体"/>
                <w:color w:val="000000"/>
                <w:sz w:val="18"/>
              </w:rPr>
              <w:t>规范性（2</w:t>
            </w:r>
          </w:p>
          <w:p>
            <w:pPr>
              <w:spacing w:line="259" w:lineRule="exact"/>
              <w:jc w:val="center"/>
            </w:pPr>
            <w:r>
              <w:rPr>
                <w:rFonts w:hint="eastAsia" w:ascii="宋体" w:hAnsi="宋体" w:eastAsia="宋体"/>
                <w:color w:val="000000"/>
                <w:sz w:val="18"/>
              </w:rPr>
              <w:t>分）</w:t>
            </w:r>
          </w:p>
        </w:tc>
        <w:tc>
          <w:tcPr>
            <w:tcW w:w="5785" w:type="dxa"/>
            <w:vAlign w:val="top"/>
          </w:tcPr>
          <w:p>
            <w:pPr>
              <w:spacing w:before="170" w:line="228" w:lineRule="exact"/>
              <w:jc w:val="left"/>
            </w:pPr>
            <w:r>
              <w:rPr>
                <w:rFonts w:hint="eastAsia" w:ascii="宋体" w:hAnsi="宋体" w:eastAsia="宋体"/>
                <w:color w:val="000000"/>
                <w:sz w:val="18"/>
              </w:rPr>
              <w:t>①项目按照规定的程序申请设立得1分，否则不得分：</w:t>
            </w:r>
          </w:p>
          <w:p>
            <w:pPr>
              <w:spacing w:line="283" w:lineRule="exact"/>
              <w:jc w:val="left"/>
            </w:pPr>
            <w:r>
              <w:rPr>
                <w:rFonts w:hint="eastAsia" w:ascii="宋体" w:hAnsi="宋体" w:eastAsia="宋体"/>
                <w:color w:val="000000"/>
                <w:sz w:val="18"/>
              </w:rPr>
              <w:t>②审批文件、材料符合相关要求得1分，否则不得分。</w:t>
            </w:r>
          </w:p>
        </w:tc>
        <w:tc>
          <w:tcPr>
            <w:tcW w:w="1516" w:type="dxa"/>
            <w:vAlign w:val="center"/>
          </w:tcPr>
          <w:p>
            <w:pPr>
              <w:spacing w:before="330" w:line="270" w:lineRule="exact"/>
              <w:jc w:val="center"/>
            </w:pPr>
            <w:r>
              <w:rPr>
                <w:rFonts w:hint="eastAsia" w:ascii="Arial" w:hAnsi="Arial" w:eastAsia="Arial"/>
                <w:color w:val="000000"/>
                <w:sz w:val="18"/>
              </w:rPr>
              <w:t>2</w:t>
            </w:r>
          </w:p>
        </w:tc>
        <w:tc>
          <w:tcPr>
            <w:tcW w:w="4069" w:type="dxa"/>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015" w:hRule="atLeast"/>
          <w:jc w:val="center"/>
        </w:trPr>
        <w:tc>
          <w:tcPr>
            <w:tcW w:w="1782" w:type="dxa"/>
            <w:vMerge w:val="continue"/>
          </w:tcPr>
          <w:p/>
        </w:tc>
        <w:tc>
          <w:tcPr>
            <w:tcW w:w="1337" w:type="dxa"/>
            <w:vMerge w:val="restart"/>
            <w:vAlign w:val="center"/>
          </w:tcPr>
          <w:p>
            <w:pPr>
              <w:spacing w:before="1457" w:line="354" w:lineRule="exact"/>
              <w:ind w:left="120" w:firstLine="0"/>
              <w:jc w:val="left"/>
            </w:pPr>
            <w:r>
              <w:rPr>
                <w:rFonts w:hint="eastAsia" w:ascii="宋体" w:hAnsi="宋体" w:eastAsia="宋体"/>
                <w:color w:val="000000"/>
                <w:sz w:val="24"/>
              </w:rPr>
              <w:t>绩效目标</w:t>
            </w:r>
          </w:p>
        </w:tc>
        <w:tc>
          <w:tcPr>
            <w:tcW w:w="1218" w:type="dxa"/>
            <w:vAlign w:val="top"/>
          </w:tcPr>
          <w:p>
            <w:pPr>
              <w:spacing w:before="116" w:line="320" w:lineRule="exact"/>
              <w:jc w:val="center"/>
            </w:pPr>
            <w:r>
              <w:rPr>
                <w:rFonts w:hint="eastAsia" w:ascii="宋体" w:hAnsi="宋体" w:eastAsia="宋体"/>
                <w:color w:val="000000"/>
                <w:sz w:val="20"/>
              </w:rPr>
              <w:t>绩效目标合理性（2分）</w:t>
            </w:r>
          </w:p>
        </w:tc>
        <w:tc>
          <w:tcPr>
            <w:tcW w:w="5785" w:type="dxa"/>
            <w:vAlign w:val="center"/>
          </w:tcPr>
          <w:p>
            <w:pPr>
              <w:spacing w:line="280" w:lineRule="exact"/>
              <w:ind w:left="100" w:firstLine="0"/>
              <w:jc w:val="both"/>
            </w:pPr>
            <w:r>
              <w:rPr>
                <w:rFonts w:hint="eastAsia" w:ascii="宋体" w:hAnsi="宋体" w:eastAsia="宋体"/>
                <w:color w:val="000000"/>
                <w:sz w:val="20"/>
              </w:rPr>
              <w:t>①项目绩效目标与实际工作内容具有相关性得1分，否则不得分；</w:t>
            </w:r>
          </w:p>
          <w:p>
            <w:pPr>
              <w:spacing w:line="320" w:lineRule="exact"/>
              <w:ind w:left="100" w:firstLine="0"/>
              <w:jc w:val="both"/>
            </w:pPr>
            <w:r>
              <w:rPr>
                <w:rFonts w:hint="eastAsia" w:ascii="宋体" w:hAnsi="宋体" w:eastAsia="宋体"/>
                <w:color w:val="000000"/>
                <w:sz w:val="18"/>
              </w:rPr>
              <w:t>②项目预期产出效益和效果符合正常的业绩水平得1分，否则不得分。</w:t>
            </w:r>
          </w:p>
        </w:tc>
        <w:tc>
          <w:tcPr>
            <w:tcW w:w="1516" w:type="dxa"/>
            <w:vAlign w:val="center"/>
          </w:tcPr>
          <w:p>
            <w:pPr>
              <w:spacing w:before="470" w:line="240" w:lineRule="exact"/>
              <w:jc w:val="center"/>
            </w:pPr>
            <w:r>
              <w:rPr>
                <w:rFonts w:hint="eastAsia" w:ascii="Arial" w:hAnsi="Arial" w:eastAsia="Arial"/>
                <w:color w:val="000000"/>
                <w:sz w:val="18"/>
              </w:rPr>
              <w:t>2</w:t>
            </w:r>
          </w:p>
        </w:tc>
        <w:tc>
          <w:tcPr>
            <w:tcW w:w="4069" w:type="dxa"/>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795" w:hRule="atLeast"/>
          <w:jc w:val="center"/>
        </w:trPr>
        <w:tc>
          <w:tcPr>
            <w:tcW w:w="1782" w:type="dxa"/>
            <w:vMerge w:val="continue"/>
          </w:tcPr>
          <w:p/>
        </w:tc>
        <w:tc>
          <w:tcPr>
            <w:tcW w:w="1337" w:type="dxa"/>
            <w:vMerge w:val="continue"/>
          </w:tcPr>
          <w:p/>
        </w:tc>
        <w:tc>
          <w:tcPr>
            <w:tcW w:w="1218" w:type="dxa"/>
            <w:vAlign w:val="top"/>
          </w:tcPr>
          <w:p>
            <w:pPr>
              <w:spacing w:before="457" w:line="300" w:lineRule="exact"/>
              <w:jc w:val="center"/>
            </w:pPr>
            <w:r>
              <w:rPr>
                <w:rFonts w:hint="eastAsia" w:ascii="宋体" w:hAnsi="宋体" w:eastAsia="宋体"/>
                <w:color w:val="000000"/>
                <w:sz w:val="20"/>
              </w:rPr>
              <w:t>绩效目标明确性（3分）</w:t>
            </w:r>
          </w:p>
        </w:tc>
        <w:tc>
          <w:tcPr>
            <w:tcW w:w="5785" w:type="dxa"/>
            <w:vAlign w:val="center"/>
          </w:tcPr>
          <w:p>
            <w:pPr>
              <w:spacing w:line="320" w:lineRule="exact"/>
              <w:ind w:left="100" w:firstLine="0"/>
              <w:jc w:val="both"/>
            </w:pPr>
            <w:r>
              <w:rPr>
                <w:rFonts w:hint="eastAsia" w:ascii="宋体" w:hAnsi="宋体" w:eastAsia="宋体"/>
                <w:color w:val="000000"/>
                <w:sz w:val="20"/>
              </w:rPr>
              <w:t>①将项目绩效目标细化分解为具体的绩效指标得1分，发现一处不符合扣0.5分；</w:t>
            </w:r>
          </w:p>
          <w:p>
            <w:pPr>
              <w:spacing w:line="300" w:lineRule="exact"/>
              <w:ind w:left="120" w:firstLine="0"/>
              <w:jc w:val="both"/>
            </w:pPr>
            <w:r>
              <w:rPr>
                <w:rFonts w:hint="eastAsia" w:ascii="宋体" w:hAnsi="宋体" w:eastAsia="宋体"/>
                <w:color w:val="000000"/>
                <w:sz w:val="18"/>
              </w:rPr>
              <w:t>②通过清晰、可衡量的指标值予以体现得1分，发现一处不符合扣0.5分；</w:t>
            </w:r>
          </w:p>
          <w:p>
            <w:pPr>
              <w:spacing w:line="320" w:lineRule="exact"/>
              <w:ind w:left="100" w:firstLine="0"/>
              <w:jc w:val="both"/>
            </w:pPr>
            <w:r>
              <w:rPr>
                <w:rFonts w:hint="eastAsia" w:ascii="宋体" w:hAnsi="宋体" w:eastAsia="宋体"/>
                <w:color w:val="000000"/>
                <w:sz w:val="18"/>
              </w:rPr>
              <w:t>③与项目目标任务数或计划数相对应得1分，发现一处不符合扣0.5分。</w:t>
            </w:r>
          </w:p>
        </w:tc>
        <w:tc>
          <w:tcPr>
            <w:tcW w:w="1516" w:type="dxa"/>
            <w:vAlign w:val="center"/>
          </w:tcPr>
          <w:p>
            <w:pPr>
              <w:spacing w:before="825" w:line="336" w:lineRule="exact"/>
              <w:jc w:val="center"/>
              <w:rPr>
                <w:rFonts w:hint="eastAsia" w:eastAsia="宋体"/>
                <w:lang w:eastAsia="zh-CN"/>
              </w:rPr>
            </w:pPr>
            <w:r>
              <w:rPr>
                <w:rFonts w:hint="eastAsia" w:ascii="Arial" w:hAnsi="Arial" w:eastAsia="宋体"/>
                <w:color w:val="000000"/>
                <w:sz w:val="18"/>
                <w:lang w:val="en-US" w:eastAsia="zh-CN"/>
              </w:rPr>
              <w:t>2</w:t>
            </w:r>
            <w:r>
              <w:rPr>
                <w:rFonts w:hint="eastAsia" w:ascii="Arial" w:hAnsi="Arial" w:eastAsia="Arial"/>
                <w:color w:val="000000"/>
                <w:sz w:val="18"/>
              </w:rPr>
              <w:t>.</w:t>
            </w:r>
            <w:r>
              <w:rPr>
                <w:rFonts w:hint="eastAsia" w:ascii="Arial" w:hAnsi="Arial" w:eastAsia="宋体"/>
                <w:color w:val="000000"/>
                <w:sz w:val="18"/>
                <w:lang w:val="en-US" w:eastAsia="zh-CN"/>
              </w:rPr>
              <w:t>8</w:t>
            </w:r>
          </w:p>
        </w:tc>
        <w:tc>
          <w:tcPr>
            <w:tcW w:w="4069" w:type="dxa"/>
            <w:vAlign w:val="top"/>
          </w:tcPr>
          <w:p>
            <w:pPr>
              <w:spacing w:line="320" w:lineRule="exact"/>
              <w:ind w:left="60" w:firstLine="0"/>
              <w:jc w:val="both"/>
            </w:pPr>
            <w:r>
              <w:rPr>
                <w:rFonts w:hint="eastAsia" w:ascii="宋体" w:hAnsi="宋体" w:eastAsia="宋体"/>
                <w:color w:val="000000"/>
                <w:sz w:val="18"/>
              </w:rPr>
              <w:t>绩效指标设置不够全面、细化、可衡量，扣</w:t>
            </w:r>
            <w:r>
              <w:rPr>
                <w:rFonts w:hint="eastAsia" w:ascii="宋体" w:hAnsi="宋体" w:eastAsia="宋体"/>
                <w:color w:val="000000"/>
                <w:sz w:val="18"/>
                <w:lang w:val="en-US" w:eastAsia="zh-CN"/>
              </w:rPr>
              <w:t>0.2</w:t>
            </w:r>
            <w:r>
              <w:rPr>
                <w:rFonts w:hint="eastAsia" w:ascii="宋体" w:hAnsi="宋体" w:eastAsia="宋体"/>
                <w:color w:val="000000"/>
                <w:sz w:val="18"/>
              </w:rPr>
              <w:t>分。</w:t>
            </w:r>
          </w:p>
        </w:tc>
      </w:tr>
    </w:tbl>
    <w:p>
      <w:pPr>
        <w:rPr>
          <w:rFonts w:hint="eastAsia"/>
        </w:rPr>
      </w:pPr>
    </w:p>
    <w:p>
      <w:pPr>
        <w:rPr>
          <w:rFonts w:hint="eastAsia"/>
        </w:rPr>
      </w:pPr>
    </w:p>
    <w:tbl>
      <w:tblPr>
        <w:tblStyle w:val="7"/>
        <w:tblW w:w="15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1692"/>
        <w:gridCol w:w="1337"/>
        <w:gridCol w:w="1178"/>
        <w:gridCol w:w="5624"/>
        <w:gridCol w:w="1516"/>
        <w:gridCol w:w="42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405" w:hRule="atLeast"/>
          <w:jc w:val="center"/>
        </w:trPr>
        <w:tc>
          <w:tcPr>
            <w:tcW w:w="1692" w:type="dxa"/>
            <w:vMerge w:val="restart"/>
            <w:vAlign w:val="center"/>
          </w:tcPr>
          <w:p/>
        </w:tc>
        <w:tc>
          <w:tcPr>
            <w:tcW w:w="1337" w:type="dxa"/>
            <w:vMerge w:val="restart"/>
            <w:vAlign w:val="center"/>
          </w:tcPr>
          <w:p>
            <w:pPr>
              <w:spacing w:before="1184" w:line="345" w:lineRule="exact"/>
              <w:ind w:left="120" w:firstLine="0"/>
              <w:jc w:val="left"/>
            </w:pPr>
            <w:r>
              <w:rPr>
                <w:rFonts w:hint="eastAsia" w:ascii="宋体" w:hAnsi="宋体" w:eastAsia="宋体"/>
                <w:color w:val="000000"/>
                <w:sz w:val="23"/>
              </w:rPr>
              <w:t>资金投入</w:t>
            </w:r>
          </w:p>
        </w:tc>
        <w:tc>
          <w:tcPr>
            <w:tcW w:w="1178" w:type="dxa"/>
            <w:vAlign w:val="top"/>
          </w:tcPr>
          <w:p>
            <w:pPr>
              <w:spacing w:before="304" w:line="320" w:lineRule="exact"/>
              <w:jc w:val="center"/>
            </w:pPr>
            <w:r>
              <w:rPr>
                <w:rFonts w:hint="eastAsia" w:ascii="宋体" w:hAnsi="宋体" w:eastAsia="宋体"/>
                <w:color w:val="000000"/>
                <w:sz w:val="20"/>
              </w:rPr>
              <w:t>预算编制科学性（4分）</w:t>
            </w:r>
          </w:p>
        </w:tc>
        <w:tc>
          <w:tcPr>
            <w:tcW w:w="5624" w:type="dxa"/>
            <w:vAlign w:val="center"/>
          </w:tcPr>
          <w:p>
            <w:pPr>
              <w:spacing w:line="320" w:lineRule="exact"/>
              <w:ind w:left="100" w:firstLine="0"/>
              <w:jc w:val="both"/>
            </w:pPr>
            <w:r>
              <w:rPr>
                <w:rFonts w:hint="eastAsia" w:ascii="宋体" w:hAnsi="宋体" w:eastAsia="宋体"/>
                <w:color w:val="000000"/>
                <w:sz w:val="18"/>
              </w:rPr>
              <w:t>①预算编制经过科学论证得2分，发现一处不符合扣1分；</w:t>
            </w:r>
          </w:p>
          <w:p>
            <w:pPr>
              <w:spacing w:line="320" w:lineRule="exact"/>
              <w:ind w:left="100" w:firstLine="0"/>
              <w:jc w:val="both"/>
            </w:pPr>
            <w:r>
              <w:rPr>
                <w:rFonts w:hint="eastAsia" w:ascii="宋体" w:hAnsi="宋体" w:eastAsia="宋体"/>
                <w:color w:val="000000"/>
                <w:sz w:val="18"/>
              </w:rPr>
              <w:t>②预算内容与项目内容匹配得1分，否则不得分；③预算确定的项目投资额或资金量与工作任务相匹配得1分，否则不得分。</w:t>
            </w:r>
          </w:p>
        </w:tc>
        <w:tc>
          <w:tcPr>
            <w:tcW w:w="1516" w:type="dxa"/>
            <w:vAlign w:val="center"/>
          </w:tcPr>
          <w:p>
            <w:pPr>
              <w:spacing w:before="702" w:line="270" w:lineRule="exact"/>
              <w:jc w:val="center"/>
              <w:rPr>
                <w:rFonts w:hint="default" w:eastAsiaTheme="minorEastAsia"/>
                <w:lang w:val="en-US" w:eastAsia="zh-CN"/>
              </w:rPr>
            </w:pPr>
            <w:r>
              <w:rPr>
                <w:rFonts w:hint="eastAsia" w:ascii="Arial" w:hAnsi="Arial" w:eastAsia="宋体"/>
                <w:color w:val="000000"/>
                <w:sz w:val="18"/>
                <w:lang w:val="en-US" w:eastAsia="zh-CN"/>
              </w:rPr>
              <w:t>4</w:t>
            </w:r>
          </w:p>
        </w:tc>
        <w:tc>
          <w:tcPr>
            <w:tcW w:w="4250" w:type="dxa"/>
            <w:vAlign w:val="center"/>
          </w:tcPr>
          <w:p>
            <w:pPr>
              <w:rPr>
                <w:rFonts w:hint="default" w:eastAsiaTheme="minorEastAsia"/>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0" w:hRule="atLeast"/>
          <w:jc w:val="center"/>
        </w:trPr>
        <w:tc>
          <w:tcPr>
            <w:tcW w:w="1692" w:type="dxa"/>
            <w:vMerge w:val="continue"/>
          </w:tcPr>
          <w:p/>
        </w:tc>
        <w:tc>
          <w:tcPr>
            <w:tcW w:w="1337" w:type="dxa"/>
            <w:vMerge w:val="continue"/>
          </w:tcPr>
          <w:p/>
        </w:tc>
        <w:tc>
          <w:tcPr>
            <w:tcW w:w="1178" w:type="dxa"/>
            <w:vAlign w:val="top"/>
          </w:tcPr>
          <w:p>
            <w:pPr>
              <w:spacing w:line="250" w:lineRule="exact"/>
              <w:jc w:val="center"/>
            </w:pPr>
            <w:r>
              <w:rPr>
                <w:rFonts w:hint="eastAsia" w:ascii="宋体" w:hAnsi="宋体" w:eastAsia="宋体"/>
                <w:color w:val="000000"/>
                <w:sz w:val="18"/>
              </w:rPr>
              <w:t>资金分配</w:t>
            </w:r>
          </w:p>
          <w:p>
            <w:pPr>
              <w:spacing w:line="240" w:lineRule="exact"/>
              <w:jc w:val="center"/>
            </w:pPr>
            <w:r>
              <w:rPr>
                <w:rFonts w:hint="eastAsia" w:ascii="宋体" w:hAnsi="宋体" w:eastAsia="宋体"/>
                <w:color w:val="000000"/>
                <w:sz w:val="18"/>
              </w:rPr>
              <w:t>合理性（2</w:t>
            </w:r>
          </w:p>
          <w:p>
            <w:pPr>
              <w:spacing w:line="257" w:lineRule="exact"/>
              <w:jc w:val="center"/>
            </w:pPr>
            <w:r>
              <w:rPr>
                <w:rFonts w:hint="eastAsia" w:ascii="宋体" w:hAnsi="宋体" w:eastAsia="宋体"/>
                <w:color w:val="000000"/>
                <w:sz w:val="18"/>
              </w:rPr>
              <w:t>分）</w:t>
            </w:r>
          </w:p>
        </w:tc>
        <w:tc>
          <w:tcPr>
            <w:tcW w:w="5624" w:type="dxa"/>
            <w:vAlign w:val="top"/>
          </w:tcPr>
          <w:p>
            <w:pPr>
              <w:spacing w:line="261" w:lineRule="exact"/>
              <w:ind w:left="100" w:firstLine="0"/>
              <w:jc w:val="left"/>
            </w:pPr>
            <w:r>
              <w:rPr>
                <w:rFonts w:hint="eastAsia" w:ascii="宋体" w:hAnsi="宋体" w:eastAsia="宋体"/>
                <w:color w:val="000000"/>
                <w:sz w:val="18"/>
              </w:rPr>
              <w:t>①预算资金分配依据充分得1分，否则不得分；</w:t>
            </w:r>
          </w:p>
          <w:p>
            <w:pPr>
              <w:spacing w:line="272" w:lineRule="exact"/>
              <w:ind w:firstLine="180" w:firstLineChars="100"/>
              <w:jc w:val="both"/>
            </w:pPr>
            <w:r>
              <w:rPr>
                <w:rFonts w:hint="eastAsia" w:ascii="宋体" w:hAnsi="宋体" w:eastAsia="宋体"/>
                <w:color w:val="000000"/>
                <w:sz w:val="18"/>
              </w:rPr>
              <w:t>②资金分配额度合理，与项目单位或地方实际相适应</w:t>
            </w:r>
          </w:p>
          <w:p>
            <w:pPr>
              <w:spacing w:line="288" w:lineRule="exact"/>
              <w:ind w:left="120" w:firstLine="0"/>
              <w:jc w:val="left"/>
            </w:pPr>
            <w:r>
              <w:rPr>
                <w:rFonts w:hint="eastAsia" w:ascii="宋体" w:hAnsi="宋体" w:eastAsia="宋体"/>
                <w:color w:val="000000"/>
                <w:sz w:val="18"/>
              </w:rPr>
              <w:t>得1分，否则不得分。</w:t>
            </w:r>
          </w:p>
        </w:tc>
        <w:tc>
          <w:tcPr>
            <w:tcW w:w="1516" w:type="dxa"/>
            <w:vAlign w:val="center"/>
          </w:tcPr>
          <w:p>
            <w:pPr>
              <w:spacing w:before="299" w:line="270" w:lineRule="exact"/>
              <w:jc w:val="center"/>
              <w:rPr>
                <w:rFonts w:hint="default" w:eastAsiaTheme="minorEastAsia"/>
                <w:lang w:val="en-US" w:eastAsia="zh-CN"/>
              </w:rPr>
            </w:pPr>
            <w:r>
              <w:rPr>
                <w:rFonts w:hint="eastAsia"/>
                <w:lang w:val="en-US" w:eastAsia="zh-CN"/>
              </w:rPr>
              <w:t>2</w:t>
            </w:r>
          </w:p>
        </w:tc>
        <w:tc>
          <w:tcPr>
            <w:tcW w:w="4250" w:type="dxa"/>
            <w:vAlign w:val="center"/>
          </w:tcPr>
          <w:p>
            <w:pPr>
              <w:rPr>
                <w:rFonts w:hint="default" w:eastAsiaTheme="minorEastAsia"/>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335" w:hRule="atLeast"/>
          <w:jc w:val="center"/>
        </w:trPr>
        <w:tc>
          <w:tcPr>
            <w:tcW w:w="1692" w:type="dxa"/>
            <w:vMerge w:val="restart"/>
            <w:vAlign w:val="center"/>
          </w:tcPr>
          <w:p>
            <w:pPr>
              <w:spacing w:before="2648" w:line="300" w:lineRule="exact"/>
              <w:ind w:left="100" w:firstLine="0"/>
              <w:jc w:val="both"/>
            </w:pPr>
            <w:r>
              <w:rPr>
                <w:rFonts w:hint="eastAsia" w:ascii="宋体" w:hAnsi="宋体" w:eastAsia="宋体"/>
                <w:color w:val="000000"/>
                <w:sz w:val="20"/>
              </w:rPr>
              <w:t>项目过程（15分）</w:t>
            </w:r>
          </w:p>
        </w:tc>
        <w:tc>
          <w:tcPr>
            <w:tcW w:w="1337" w:type="dxa"/>
            <w:vMerge w:val="restart"/>
            <w:vAlign w:val="center"/>
          </w:tcPr>
          <w:p>
            <w:pPr>
              <w:spacing w:before="2665" w:line="350" w:lineRule="exact"/>
              <w:ind w:left="100" w:firstLine="0"/>
              <w:jc w:val="left"/>
            </w:pPr>
            <w:r>
              <w:rPr>
                <w:rFonts w:hint="eastAsia" w:ascii="宋体" w:hAnsi="宋体" w:eastAsia="宋体"/>
                <w:color w:val="000000"/>
                <w:sz w:val="24"/>
              </w:rPr>
              <w:t>资金管理</w:t>
            </w:r>
          </w:p>
        </w:tc>
        <w:tc>
          <w:tcPr>
            <w:tcW w:w="1178" w:type="dxa"/>
            <w:vAlign w:val="top"/>
          </w:tcPr>
          <w:p>
            <w:pPr>
              <w:spacing w:before="448" w:line="300" w:lineRule="exact"/>
              <w:ind w:left="100" w:firstLine="0"/>
              <w:jc w:val="both"/>
            </w:pPr>
            <w:r>
              <w:rPr>
                <w:rFonts w:hint="eastAsia" w:ascii="宋体" w:hAnsi="宋体" w:eastAsia="宋体"/>
                <w:color w:val="000000"/>
                <w:sz w:val="20"/>
              </w:rPr>
              <w:t>资金到位率（3分）</w:t>
            </w:r>
          </w:p>
        </w:tc>
        <w:tc>
          <w:tcPr>
            <w:tcW w:w="5624" w:type="dxa"/>
            <w:vAlign w:val="top"/>
          </w:tcPr>
          <w:p>
            <w:pPr>
              <w:spacing w:line="320" w:lineRule="exact"/>
              <w:ind w:left="100" w:firstLine="0"/>
              <w:jc w:val="both"/>
            </w:pPr>
            <w:r>
              <w:rPr>
                <w:rFonts w:hint="eastAsia" w:ascii="宋体" w:hAnsi="宋体" w:eastAsia="宋体"/>
                <w:color w:val="000000"/>
                <w:sz w:val="18"/>
              </w:rPr>
              <w:t>资金到位率＝（实际到位资金／预算资金）x100％。若无法取得预算资金不得分。</w:t>
            </w:r>
          </w:p>
          <w:p>
            <w:pPr>
              <w:spacing w:line="320" w:lineRule="exact"/>
              <w:ind w:left="80" w:firstLine="0"/>
              <w:jc w:val="both"/>
            </w:pPr>
            <w:r>
              <w:rPr>
                <w:rFonts w:hint="eastAsia" w:ascii="宋体" w:hAnsi="宋体" w:eastAsia="宋体"/>
                <w:color w:val="000000"/>
                <w:sz w:val="18"/>
              </w:rPr>
              <w:t>实际到位资金：一定时期（本年度或项目期）内落实到具体项目的资金。预算资金：一定时期（本年度或项目期）内预算安排到具体项目的资金。</w:t>
            </w:r>
          </w:p>
        </w:tc>
        <w:tc>
          <w:tcPr>
            <w:tcW w:w="1516" w:type="dxa"/>
            <w:vAlign w:val="center"/>
          </w:tcPr>
          <w:p>
            <w:pPr>
              <w:spacing w:before="640" w:line="330" w:lineRule="exact"/>
              <w:jc w:val="center"/>
              <w:rPr>
                <w:rFonts w:hint="default" w:eastAsiaTheme="minorEastAsia"/>
                <w:lang w:val="en-US" w:eastAsia="zh-CN"/>
              </w:rPr>
            </w:pPr>
            <w:r>
              <w:rPr>
                <w:rFonts w:hint="eastAsia"/>
                <w:lang w:val="en-US" w:eastAsia="zh-CN"/>
              </w:rPr>
              <w:t>2.9</w:t>
            </w:r>
          </w:p>
        </w:tc>
        <w:tc>
          <w:tcPr>
            <w:tcW w:w="4250" w:type="dxa"/>
            <w:vAlign w:val="top"/>
          </w:tcPr>
          <w:p>
            <w:pPr>
              <w:spacing w:line="300" w:lineRule="exact"/>
              <w:ind w:left="100" w:firstLine="0"/>
              <w:jc w:val="both"/>
              <w:rPr>
                <w:color w:val="auto"/>
              </w:rPr>
            </w:pPr>
            <w:r>
              <w:rPr>
                <w:rFonts w:hint="eastAsia" w:ascii="宋体" w:hAnsi="宋体" w:eastAsia="宋体"/>
                <w:color w:val="auto"/>
                <w:sz w:val="22"/>
              </w:rPr>
              <w:t>实际到位资金</w:t>
            </w:r>
            <w:r>
              <w:rPr>
                <w:rFonts w:hint="eastAsia" w:ascii="宋体" w:hAnsi="宋体" w:eastAsia="宋体"/>
                <w:color w:val="auto"/>
                <w:sz w:val="22"/>
                <w:lang w:val="en-US" w:eastAsia="zh-CN"/>
              </w:rPr>
              <w:t>904</w:t>
            </w:r>
            <w:r>
              <w:rPr>
                <w:rFonts w:hint="eastAsia" w:ascii="宋体" w:hAnsi="宋体" w:eastAsia="宋体"/>
                <w:color w:val="auto"/>
                <w:sz w:val="22"/>
              </w:rPr>
              <w:t>万元，预算资金</w:t>
            </w:r>
            <w:r>
              <w:rPr>
                <w:rFonts w:hint="eastAsia" w:ascii="宋体" w:hAnsi="宋体" w:eastAsia="宋体"/>
                <w:color w:val="auto"/>
                <w:sz w:val="22"/>
                <w:lang w:val="en-US" w:eastAsia="zh-CN"/>
              </w:rPr>
              <w:t>935</w:t>
            </w:r>
            <w:r>
              <w:rPr>
                <w:rFonts w:hint="eastAsia" w:ascii="宋体" w:hAnsi="宋体" w:eastAsia="宋体"/>
                <w:color w:val="auto"/>
                <w:sz w:val="22"/>
              </w:rPr>
              <w:t>万元，资金到位率为</w:t>
            </w:r>
            <w:r>
              <w:rPr>
                <w:rFonts w:hint="eastAsia" w:ascii="宋体" w:hAnsi="宋体" w:eastAsia="宋体"/>
                <w:color w:val="auto"/>
                <w:sz w:val="22"/>
                <w:lang w:val="en-US" w:eastAsia="zh-CN"/>
              </w:rPr>
              <w:t>96.68</w:t>
            </w:r>
            <w:r>
              <w:rPr>
                <w:rFonts w:hint="eastAsia" w:ascii="宋体" w:hAnsi="宋体" w:eastAsia="宋体"/>
                <w:color w:val="auto"/>
                <w:sz w:val="22"/>
              </w:rPr>
              <w:t>％。3</w:t>
            </w:r>
            <w:r>
              <w:rPr>
                <w:rFonts w:hint="eastAsia" w:ascii="宋体" w:hAnsi="宋体" w:eastAsia="宋体"/>
                <w:color w:val="auto"/>
                <w:sz w:val="22"/>
                <w:lang w:val="en-US" w:eastAsia="zh-CN"/>
              </w:rPr>
              <w:t>*96.68</w:t>
            </w:r>
            <w:r>
              <w:rPr>
                <w:rFonts w:hint="eastAsia" w:ascii="宋体" w:hAnsi="宋体" w:eastAsia="宋体"/>
                <w:color w:val="auto"/>
                <w:sz w:val="22"/>
              </w:rPr>
              <w:t>％＝</w:t>
            </w:r>
            <w:r>
              <w:rPr>
                <w:rFonts w:hint="eastAsia" w:ascii="宋体" w:hAnsi="宋体" w:eastAsia="宋体"/>
                <w:color w:val="auto"/>
                <w:sz w:val="22"/>
                <w:lang w:val="en-US" w:eastAsia="zh-CN"/>
              </w:rPr>
              <w:t>2.9</w:t>
            </w:r>
            <w:r>
              <w:rPr>
                <w:rFonts w:hint="eastAsia" w:ascii="宋体" w:hAnsi="宋体" w:eastAsia="宋体"/>
                <w:color w:val="auto"/>
                <w:sz w:val="22"/>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320" w:hRule="atLeast"/>
          <w:jc w:val="center"/>
        </w:trPr>
        <w:tc>
          <w:tcPr>
            <w:tcW w:w="1692" w:type="dxa"/>
            <w:vMerge w:val="continue"/>
          </w:tcPr>
          <w:p/>
        </w:tc>
        <w:tc>
          <w:tcPr>
            <w:tcW w:w="1337" w:type="dxa"/>
            <w:vMerge w:val="continue"/>
          </w:tcPr>
          <w:p/>
        </w:tc>
        <w:tc>
          <w:tcPr>
            <w:tcW w:w="1178" w:type="dxa"/>
            <w:vAlign w:val="top"/>
          </w:tcPr>
          <w:p>
            <w:pPr>
              <w:spacing w:before="286" w:line="320" w:lineRule="exact"/>
              <w:ind w:left="100" w:firstLine="0"/>
              <w:jc w:val="both"/>
            </w:pPr>
            <w:r>
              <w:rPr>
                <w:rFonts w:hint="eastAsia" w:ascii="宋体" w:hAnsi="宋体" w:eastAsia="宋体"/>
                <w:color w:val="000000"/>
                <w:sz w:val="22"/>
              </w:rPr>
              <w:t>预算执行率（3分）</w:t>
            </w:r>
          </w:p>
        </w:tc>
        <w:tc>
          <w:tcPr>
            <w:tcW w:w="5624" w:type="dxa"/>
            <w:vAlign w:val="center"/>
          </w:tcPr>
          <w:p>
            <w:pPr>
              <w:spacing w:line="320" w:lineRule="exact"/>
              <w:ind w:left="100" w:firstLine="0"/>
              <w:jc w:val="both"/>
            </w:pPr>
            <w:r>
              <w:rPr>
                <w:rFonts w:hint="eastAsia" w:ascii="宋体" w:hAnsi="宋体" w:eastAsia="宋体"/>
                <w:color w:val="000000"/>
                <w:sz w:val="18"/>
              </w:rPr>
              <w:t>预算执行率＝（实际支出资金／实际到位资金）x100％。若无法取得所需资金不得分。</w:t>
            </w:r>
          </w:p>
          <w:p>
            <w:pPr>
              <w:spacing w:line="320" w:lineRule="exact"/>
              <w:ind w:left="100" w:firstLine="0"/>
              <w:jc w:val="both"/>
            </w:pPr>
            <w:r>
              <w:rPr>
                <w:rFonts w:hint="eastAsia" w:ascii="宋体" w:hAnsi="宋体" w:eastAsia="宋体"/>
                <w:color w:val="000000"/>
                <w:sz w:val="20"/>
              </w:rPr>
              <w:t>实际支出资金：一定时期（本年度或项目期）内项目实际拨付的资金。</w:t>
            </w:r>
          </w:p>
        </w:tc>
        <w:tc>
          <w:tcPr>
            <w:tcW w:w="1516" w:type="dxa"/>
            <w:vAlign w:val="center"/>
          </w:tcPr>
          <w:p>
            <w:pPr>
              <w:spacing w:before="480" w:line="240" w:lineRule="exact"/>
              <w:jc w:val="center"/>
              <w:rPr>
                <w:rFonts w:hint="eastAsia" w:eastAsiaTheme="minorEastAsia"/>
                <w:lang w:eastAsia="zh-CN"/>
              </w:rPr>
            </w:pPr>
            <w:r>
              <w:rPr>
                <w:rFonts w:hint="eastAsia" w:ascii="Arial" w:hAnsi="Arial" w:eastAsia="宋体"/>
                <w:color w:val="000000"/>
                <w:sz w:val="18"/>
                <w:lang w:val="en-US" w:eastAsia="zh-CN"/>
              </w:rPr>
              <w:t>3</w:t>
            </w:r>
          </w:p>
        </w:tc>
        <w:tc>
          <w:tcPr>
            <w:tcW w:w="4250" w:type="dxa"/>
            <w:vAlign w:val="top"/>
          </w:tcPr>
          <w:p>
            <w:pPr>
              <w:spacing w:line="300" w:lineRule="exact"/>
              <w:ind w:left="120" w:firstLine="0"/>
              <w:jc w:val="both"/>
              <w:rPr>
                <w:rFonts w:hint="default" w:eastAsiaTheme="minorEastAsia"/>
                <w:lang w:val="en-US" w:eastAsia="zh-CN"/>
              </w:rPr>
            </w:pPr>
            <w:r>
              <w:rPr>
                <w:rFonts w:hint="eastAsia"/>
                <w:lang w:eastAsia="zh-CN"/>
              </w:rPr>
              <w:t>实际支出</w:t>
            </w:r>
            <w:r>
              <w:rPr>
                <w:rFonts w:hint="eastAsia"/>
                <w:lang w:val="en-US" w:eastAsia="zh-CN"/>
              </w:rPr>
              <w:t>904万元/实际到位904万元=100%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315" w:hRule="atLeast"/>
          <w:jc w:val="center"/>
        </w:trPr>
        <w:tc>
          <w:tcPr>
            <w:tcW w:w="1692" w:type="dxa"/>
            <w:vMerge w:val="continue"/>
          </w:tcPr>
          <w:p/>
        </w:tc>
        <w:tc>
          <w:tcPr>
            <w:tcW w:w="1337" w:type="dxa"/>
            <w:vMerge w:val="continue"/>
          </w:tcPr>
          <w:p/>
        </w:tc>
        <w:tc>
          <w:tcPr>
            <w:tcW w:w="1178" w:type="dxa"/>
            <w:vAlign w:val="top"/>
          </w:tcPr>
          <w:p>
            <w:pPr>
              <w:spacing w:before="798" w:line="320" w:lineRule="exact"/>
              <w:jc w:val="center"/>
            </w:pPr>
            <w:r>
              <w:rPr>
                <w:rFonts w:hint="eastAsia" w:ascii="宋体" w:hAnsi="宋体" w:eastAsia="宋体"/>
                <w:color w:val="000000"/>
                <w:sz w:val="20"/>
              </w:rPr>
              <w:t>资金使用合规性（4分）</w:t>
            </w:r>
          </w:p>
        </w:tc>
        <w:tc>
          <w:tcPr>
            <w:tcW w:w="5624" w:type="dxa"/>
            <w:vAlign w:val="center"/>
          </w:tcPr>
          <w:p>
            <w:pPr>
              <w:spacing w:line="320" w:lineRule="exact"/>
              <w:ind w:left="120" w:firstLine="0"/>
              <w:jc w:val="both"/>
            </w:pPr>
            <w:r>
              <w:rPr>
                <w:rFonts w:hint="eastAsia" w:ascii="宋体" w:hAnsi="宋体" w:eastAsia="宋体"/>
                <w:color w:val="000000"/>
                <w:sz w:val="18"/>
              </w:rPr>
              <w:t>①符合国家财经法规和财务管理制度以及有关专项资金管理办法的规定得1分，发现一处不符合扣0.5分：②资金的拨付有完整的审批程序和手续得1分，发现一处不符合扣0.5分；</w:t>
            </w:r>
          </w:p>
          <w:p>
            <w:pPr>
              <w:spacing w:line="320" w:lineRule="exact"/>
              <w:ind w:left="100" w:firstLine="0"/>
              <w:jc w:val="both"/>
            </w:pPr>
            <w:r>
              <w:rPr>
                <w:rFonts w:hint="eastAsia" w:ascii="宋体" w:hAnsi="宋体" w:eastAsia="宋体"/>
                <w:color w:val="000000"/>
                <w:sz w:val="18"/>
              </w:rPr>
              <w:t>③符合项目预算批复或合同规定的用途得1分，发现一处不符合扣0.5分；</w:t>
            </w:r>
          </w:p>
          <w:p>
            <w:pPr>
              <w:spacing w:line="300" w:lineRule="exact"/>
              <w:ind w:left="80" w:firstLine="0"/>
              <w:jc w:val="both"/>
            </w:pPr>
            <w:r>
              <w:rPr>
                <w:rFonts w:hint="eastAsia" w:ascii="宋体" w:hAnsi="宋体" w:eastAsia="宋体"/>
                <w:color w:val="000000"/>
                <w:sz w:val="18"/>
              </w:rPr>
              <w:t>④不存在截留、挤占、挪用、虚列支出等情况得1分，发现一处不符合扣0.5分。</w:t>
            </w:r>
          </w:p>
        </w:tc>
        <w:tc>
          <w:tcPr>
            <w:tcW w:w="1516" w:type="dxa"/>
            <w:vAlign w:val="center"/>
          </w:tcPr>
          <w:p>
            <w:pPr>
              <w:spacing w:before="1142" w:line="240" w:lineRule="exact"/>
              <w:jc w:val="center"/>
            </w:pPr>
            <w:r>
              <w:rPr>
                <w:rFonts w:hint="eastAsia" w:ascii="Arial" w:hAnsi="Arial" w:eastAsia="Arial"/>
                <w:color w:val="000000"/>
                <w:sz w:val="18"/>
              </w:rPr>
              <w:t>4</w:t>
            </w:r>
          </w:p>
        </w:tc>
        <w:tc>
          <w:tcPr>
            <w:tcW w:w="4250" w:type="dxa"/>
            <w:vAlign w:val="center"/>
          </w:tcPr>
          <w:p/>
        </w:tc>
      </w:tr>
    </w:tbl>
    <w:p>
      <w:pPr>
        <w:rPr>
          <w:rFonts w:hint="eastAsia"/>
        </w:rPr>
      </w:pPr>
    </w:p>
    <w:p>
      <w:pPr>
        <w:rPr>
          <w:rFonts w:hint="eastAsia"/>
        </w:rPr>
      </w:pPr>
    </w:p>
    <w:p>
      <w:pPr>
        <w:rPr>
          <w:rFonts w:hint="eastAsia"/>
        </w:rPr>
      </w:pPr>
    </w:p>
    <w:tbl>
      <w:tblPr>
        <w:tblStyle w:val="7"/>
        <w:tblW w:w="155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1670"/>
        <w:gridCol w:w="1317"/>
        <w:gridCol w:w="1178"/>
        <w:gridCol w:w="5723"/>
        <w:gridCol w:w="1516"/>
        <w:gridCol w:w="41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465" w:hRule="atLeast"/>
          <w:jc w:val="center"/>
        </w:trPr>
        <w:tc>
          <w:tcPr>
            <w:tcW w:w="1670" w:type="dxa"/>
            <w:vMerge w:val="restart"/>
            <w:vAlign w:val="center"/>
          </w:tcPr>
          <w:p>
            <w:bookmarkStart w:id="47" w:name="_GoBack"/>
            <w:bookmarkEnd w:id="47"/>
          </w:p>
        </w:tc>
        <w:tc>
          <w:tcPr>
            <w:tcW w:w="1317" w:type="dxa"/>
            <w:vMerge w:val="restart"/>
            <w:vAlign w:val="center"/>
          </w:tcPr>
          <w:p>
            <w:pPr>
              <w:spacing w:before="1473" w:line="330" w:lineRule="exact"/>
              <w:ind w:left="80" w:firstLine="0"/>
              <w:jc w:val="left"/>
            </w:pPr>
            <w:r>
              <w:rPr>
                <w:rFonts w:hint="eastAsia" w:ascii="宋体" w:hAnsi="宋体" w:eastAsia="宋体"/>
                <w:color w:val="000000"/>
                <w:sz w:val="22"/>
              </w:rPr>
              <w:t>组织实施</w:t>
            </w:r>
          </w:p>
        </w:tc>
        <w:tc>
          <w:tcPr>
            <w:tcW w:w="1178" w:type="dxa"/>
            <w:vAlign w:val="top"/>
          </w:tcPr>
          <w:p>
            <w:pPr>
              <w:spacing w:before="123" w:line="300" w:lineRule="exact"/>
              <w:jc w:val="center"/>
            </w:pPr>
            <w:r>
              <w:rPr>
                <w:rFonts w:hint="eastAsia" w:ascii="宋体" w:hAnsi="宋体" w:eastAsia="宋体"/>
                <w:color w:val="000000"/>
                <w:sz w:val="22"/>
              </w:rPr>
              <w:t>管理制度健全性（2分）</w:t>
            </w:r>
          </w:p>
        </w:tc>
        <w:tc>
          <w:tcPr>
            <w:tcW w:w="5723" w:type="dxa"/>
            <w:vAlign w:val="center"/>
          </w:tcPr>
          <w:p>
            <w:pPr>
              <w:spacing w:line="320" w:lineRule="exact"/>
              <w:ind w:left="100" w:firstLine="0"/>
              <w:jc w:val="both"/>
            </w:pPr>
            <w:r>
              <w:rPr>
                <w:rFonts w:hint="eastAsia" w:ascii="宋体" w:hAnsi="宋体" w:eastAsia="宋体"/>
                <w:color w:val="000000"/>
                <w:sz w:val="20"/>
              </w:rPr>
              <w:t>①已制定或具有相应的财务和业务管理制度得1分，发现一处不符合扣0.5分；</w:t>
            </w:r>
          </w:p>
          <w:p>
            <w:pPr>
              <w:spacing w:line="280" w:lineRule="exact"/>
              <w:ind w:left="100" w:firstLine="0"/>
              <w:jc w:val="both"/>
            </w:pPr>
            <w:r>
              <w:rPr>
                <w:rFonts w:hint="eastAsia" w:ascii="宋体" w:hAnsi="宋体" w:eastAsia="宋体"/>
                <w:color w:val="000000"/>
                <w:sz w:val="18"/>
              </w:rPr>
              <w:t>②财务和业务管理制度是否合法、合规、完整得1分，发现一处不符合扣0.5分。</w:t>
            </w:r>
          </w:p>
        </w:tc>
        <w:tc>
          <w:tcPr>
            <w:tcW w:w="1516" w:type="dxa"/>
            <w:vAlign w:val="center"/>
          </w:tcPr>
          <w:p>
            <w:pPr>
              <w:spacing w:before="487" w:line="270" w:lineRule="exact"/>
              <w:jc w:val="center"/>
            </w:pPr>
            <w:r>
              <w:rPr>
                <w:rFonts w:hint="eastAsia" w:ascii="Arial" w:hAnsi="Arial" w:eastAsia="Arial"/>
                <w:color w:val="000000"/>
                <w:sz w:val="18"/>
              </w:rPr>
              <w:t>2</w:t>
            </w:r>
          </w:p>
        </w:tc>
        <w:tc>
          <w:tcPr>
            <w:tcW w:w="4113" w:type="dxa"/>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890" w:hRule="atLeast"/>
          <w:jc w:val="center"/>
        </w:trPr>
        <w:tc>
          <w:tcPr>
            <w:tcW w:w="1670" w:type="dxa"/>
            <w:vMerge w:val="continue"/>
          </w:tcPr>
          <w:p/>
        </w:tc>
        <w:tc>
          <w:tcPr>
            <w:tcW w:w="1317" w:type="dxa"/>
            <w:vMerge w:val="continue"/>
          </w:tcPr>
          <w:p/>
        </w:tc>
        <w:tc>
          <w:tcPr>
            <w:tcW w:w="1178" w:type="dxa"/>
            <w:vAlign w:val="top"/>
          </w:tcPr>
          <w:p>
            <w:pPr>
              <w:spacing w:before="454" w:line="300" w:lineRule="exact"/>
              <w:jc w:val="center"/>
            </w:pPr>
            <w:r>
              <w:rPr>
                <w:rFonts w:hint="eastAsia" w:ascii="宋体" w:hAnsi="宋体" w:eastAsia="宋体"/>
                <w:color w:val="000000"/>
                <w:sz w:val="20"/>
              </w:rPr>
              <w:t>制度执行有效性（3分）</w:t>
            </w:r>
          </w:p>
        </w:tc>
        <w:tc>
          <w:tcPr>
            <w:tcW w:w="5723" w:type="dxa"/>
            <w:vAlign w:val="center"/>
          </w:tcPr>
          <w:p>
            <w:pPr>
              <w:spacing w:line="300" w:lineRule="exact"/>
              <w:ind w:left="100" w:firstLine="0"/>
              <w:jc w:val="both"/>
            </w:pPr>
            <w:r>
              <w:rPr>
                <w:rFonts w:hint="eastAsia" w:ascii="宋体" w:hAnsi="宋体" w:eastAsia="宋体"/>
                <w:color w:val="000000"/>
                <w:sz w:val="18"/>
              </w:rPr>
              <w:t>①遵守相关法律法规、相关管理制度和通知规定得1分</w:t>
            </w:r>
            <w:r>
              <w:rPr>
                <w:rFonts w:hint="eastAsia" w:ascii="宋体" w:hAnsi="宋体" w:eastAsia="宋体"/>
                <w:color w:val="000000"/>
                <w:sz w:val="18"/>
                <w:lang w:eastAsia="zh-CN"/>
              </w:rPr>
              <w:t>；</w:t>
            </w:r>
            <w:r>
              <w:rPr>
                <w:rFonts w:hint="eastAsia" w:ascii="宋体" w:hAnsi="宋体" w:eastAsia="宋体"/>
                <w:color w:val="000000"/>
                <w:sz w:val="18"/>
              </w:rPr>
              <w:t>②项目调整及支出调整手续完备得1分；</w:t>
            </w:r>
          </w:p>
          <w:p>
            <w:pPr>
              <w:spacing w:line="320" w:lineRule="exact"/>
              <w:ind w:left="100" w:firstLine="0"/>
              <w:jc w:val="both"/>
            </w:pPr>
            <w:r>
              <w:rPr>
                <w:rFonts w:hint="eastAsia" w:ascii="宋体" w:hAnsi="宋体" w:eastAsia="宋体"/>
                <w:color w:val="000000"/>
                <w:sz w:val="18"/>
              </w:rPr>
              <w:t>③项目合同书、《</w:t>
            </w:r>
            <w:r>
              <w:rPr>
                <w:rFonts w:hint="eastAsia" w:ascii="宋体" w:hAnsi="宋体" w:eastAsia="宋体"/>
                <w:color w:val="000000"/>
                <w:sz w:val="18"/>
                <w:lang w:val="en-US" w:eastAsia="zh-CN"/>
              </w:rPr>
              <w:t>2022年老旧小区改造项目台账</w:t>
            </w:r>
            <w:r>
              <w:rPr>
                <w:rFonts w:hint="eastAsia" w:ascii="宋体" w:hAnsi="宋体" w:eastAsia="宋体"/>
                <w:color w:val="000000"/>
                <w:sz w:val="18"/>
              </w:rPr>
              <w:t>》等资料齐全并及时归档得1分。</w:t>
            </w:r>
          </w:p>
        </w:tc>
        <w:tc>
          <w:tcPr>
            <w:tcW w:w="1516" w:type="dxa"/>
            <w:vAlign w:val="center"/>
          </w:tcPr>
          <w:p>
            <w:pPr>
              <w:spacing w:before="792" w:line="270" w:lineRule="exact"/>
              <w:jc w:val="center"/>
              <w:rPr>
                <w:rFonts w:hint="default" w:eastAsiaTheme="minorEastAsia"/>
                <w:lang w:val="en-US" w:eastAsia="zh-CN"/>
              </w:rPr>
            </w:pPr>
            <w:r>
              <w:rPr>
                <w:rFonts w:hint="eastAsia" w:ascii="Arial" w:hAnsi="Arial" w:eastAsia="宋体"/>
                <w:color w:val="000000"/>
                <w:sz w:val="18"/>
                <w:lang w:val="en-US" w:eastAsia="zh-CN"/>
              </w:rPr>
              <w:t>2</w:t>
            </w:r>
          </w:p>
        </w:tc>
        <w:tc>
          <w:tcPr>
            <w:tcW w:w="4113" w:type="dxa"/>
            <w:vAlign w:val="center"/>
          </w:tcPr>
          <w:p>
            <w:pPr>
              <w:rPr>
                <w:rFonts w:hint="eastAsia" w:eastAsiaTheme="minorEastAsia"/>
                <w:lang w:eastAsia="zh-CN"/>
              </w:rPr>
            </w:pPr>
            <w:r>
              <w:rPr>
                <w:rFonts w:hint="eastAsia"/>
                <w:lang w:eastAsia="zh-CN"/>
              </w:rPr>
              <w:t>未做竣工结算审核报告，竣工验收报告填写不严谨。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205" w:hRule="atLeast"/>
          <w:jc w:val="center"/>
        </w:trPr>
        <w:tc>
          <w:tcPr>
            <w:tcW w:w="1670" w:type="dxa"/>
            <w:vMerge w:val="restart"/>
            <w:vAlign w:val="center"/>
          </w:tcPr>
          <w:p>
            <w:pPr>
              <w:spacing w:before="2075" w:line="270" w:lineRule="exact"/>
              <w:ind w:left="100" w:firstLine="0"/>
              <w:jc w:val="both"/>
            </w:pPr>
            <w:r>
              <w:rPr>
                <w:rFonts w:hint="eastAsia" w:ascii="宋体" w:hAnsi="宋体" w:eastAsia="宋体"/>
                <w:color w:val="000000"/>
                <w:sz w:val="18"/>
              </w:rPr>
              <w:t>项目产出（40分）</w:t>
            </w:r>
          </w:p>
        </w:tc>
        <w:tc>
          <w:tcPr>
            <w:tcW w:w="1317" w:type="dxa"/>
            <w:vAlign w:val="center"/>
          </w:tcPr>
          <w:p>
            <w:pPr>
              <w:spacing w:line="270" w:lineRule="exact"/>
              <w:ind w:firstLine="0"/>
              <w:jc w:val="left"/>
            </w:pPr>
            <w:r>
              <w:rPr>
                <w:rFonts w:hint="eastAsia" w:ascii="宋体" w:hAnsi="宋体" w:eastAsia="宋体"/>
                <w:color w:val="000000"/>
                <w:sz w:val="18"/>
              </w:rPr>
              <w:t>产出数量</w:t>
            </w:r>
          </w:p>
        </w:tc>
        <w:tc>
          <w:tcPr>
            <w:tcW w:w="1178" w:type="dxa"/>
            <w:vAlign w:val="top"/>
          </w:tcPr>
          <w:p>
            <w:pPr>
              <w:spacing w:before="13" w:line="240" w:lineRule="exact"/>
              <w:jc w:val="center"/>
            </w:pPr>
            <w:r>
              <w:rPr>
                <w:rFonts w:hint="eastAsia" w:ascii="宋体" w:hAnsi="宋体" w:eastAsia="宋体"/>
                <w:color w:val="000000"/>
                <w:sz w:val="18"/>
              </w:rPr>
              <w:t>实际完成</w:t>
            </w:r>
          </w:p>
          <w:p>
            <w:pPr>
              <w:spacing w:line="277" w:lineRule="exact"/>
              <w:jc w:val="center"/>
            </w:pPr>
            <w:r>
              <w:rPr>
                <w:rFonts w:hint="eastAsia" w:ascii="宋体" w:hAnsi="宋体" w:eastAsia="宋体"/>
                <w:color w:val="000000"/>
                <w:sz w:val="18"/>
              </w:rPr>
              <w:t>率（10</w:t>
            </w:r>
          </w:p>
          <w:p>
            <w:pPr>
              <w:spacing w:line="257" w:lineRule="exact"/>
              <w:jc w:val="center"/>
            </w:pPr>
            <w:r>
              <w:rPr>
                <w:rFonts w:hint="eastAsia" w:ascii="宋体" w:hAnsi="宋体" w:eastAsia="宋体"/>
                <w:color w:val="000000"/>
                <w:sz w:val="18"/>
              </w:rPr>
              <w:t>分）</w:t>
            </w:r>
          </w:p>
        </w:tc>
        <w:tc>
          <w:tcPr>
            <w:tcW w:w="5723" w:type="dxa"/>
            <w:vAlign w:val="top"/>
          </w:tcPr>
          <w:p>
            <w:pPr>
              <w:spacing w:line="261" w:lineRule="exact"/>
              <w:jc w:val="left"/>
            </w:pPr>
            <w:r>
              <w:rPr>
                <w:rFonts w:hint="eastAsia" w:ascii="宋体" w:hAnsi="宋体" w:eastAsia="宋体"/>
                <w:color w:val="000000"/>
                <w:sz w:val="18"/>
              </w:rPr>
              <w:t>实际完成率＝（实际</w:t>
            </w:r>
            <w:r>
              <w:rPr>
                <w:rFonts w:hint="eastAsia" w:ascii="宋体" w:hAnsi="宋体" w:eastAsia="宋体"/>
                <w:color w:val="000000"/>
                <w:sz w:val="18"/>
                <w:lang w:eastAsia="zh-CN"/>
              </w:rPr>
              <w:t>改造小区个数</w:t>
            </w:r>
            <w:r>
              <w:rPr>
                <w:rFonts w:hint="eastAsia" w:ascii="宋体" w:hAnsi="宋体" w:eastAsia="宋体"/>
                <w:color w:val="000000"/>
                <w:sz w:val="18"/>
              </w:rPr>
              <w:t>／</w:t>
            </w:r>
            <w:r>
              <w:rPr>
                <w:rFonts w:hint="eastAsia" w:ascii="宋体" w:hAnsi="宋体" w:eastAsia="宋体"/>
                <w:color w:val="000000"/>
                <w:sz w:val="18"/>
                <w:lang w:eastAsia="zh-CN"/>
              </w:rPr>
              <w:t>计划改造小区个</w:t>
            </w:r>
            <w:r>
              <w:rPr>
                <w:rFonts w:hint="eastAsia" w:ascii="宋体" w:hAnsi="宋体" w:eastAsia="宋体"/>
                <w:color w:val="000000"/>
                <w:sz w:val="18"/>
              </w:rPr>
              <w:t>数）x</w:t>
            </w:r>
          </w:p>
          <w:p>
            <w:pPr>
              <w:spacing w:line="261" w:lineRule="exact"/>
              <w:jc w:val="left"/>
            </w:pPr>
            <w:r>
              <w:rPr>
                <w:rFonts w:hint="eastAsia" w:ascii="宋体" w:hAnsi="宋体" w:eastAsia="宋体"/>
                <w:color w:val="000000"/>
                <w:sz w:val="18"/>
              </w:rPr>
              <w:t>100％。（实际完成率达到100％，得10分，每低于1</w:t>
            </w:r>
          </w:p>
          <w:p>
            <w:pPr>
              <w:spacing w:line="225" w:lineRule="exact"/>
              <w:jc w:val="left"/>
            </w:pPr>
            <w:r>
              <w:rPr>
                <w:rFonts w:hint="eastAsia" w:ascii="宋体" w:hAnsi="宋体" w:eastAsia="宋体"/>
                <w:color w:val="000000"/>
                <w:sz w:val="18"/>
              </w:rPr>
              <w:t>个百分点扣1分，扣完为止）根据分值，按比例得分</w:t>
            </w:r>
          </w:p>
        </w:tc>
        <w:tc>
          <w:tcPr>
            <w:tcW w:w="1516" w:type="dxa"/>
            <w:vAlign w:val="center"/>
          </w:tcPr>
          <w:p>
            <w:pPr>
              <w:spacing w:line="270" w:lineRule="exact"/>
              <w:jc w:val="center"/>
              <w:rPr>
                <w:rFonts w:hint="default" w:eastAsiaTheme="minorEastAsia"/>
                <w:lang w:val="en-US" w:eastAsia="zh-CN"/>
              </w:rPr>
            </w:pPr>
            <w:r>
              <w:rPr>
                <w:rFonts w:hint="eastAsia" w:ascii="Arial" w:hAnsi="Arial" w:eastAsia="宋体"/>
                <w:color w:val="000000"/>
                <w:sz w:val="18"/>
                <w:lang w:val="en-US" w:eastAsia="zh-CN"/>
              </w:rPr>
              <w:t>10</w:t>
            </w:r>
          </w:p>
        </w:tc>
        <w:tc>
          <w:tcPr>
            <w:tcW w:w="4113" w:type="dxa"/>
            <w:vAlign w:val="top"/>
          </w:tcPr>
          <w:p>
            <w:pPr>
              <w:rPr>
                <w:rFonts w:hint="eastAsia"/>
                <w:lang w:val="en-US" w:eastAsia="zh-CN"/>
              </w:rPr>
            </w:pPr>
            <w:r>
              <w:rPr>
                <w:rFonts w:hint="eastAsia"/>
                <w:lang w:val="en-US" w:eastAsia="zh-CN"/>
              </w:rPr>
              <w:t>计划27个小区，实际完成27个小区。</w:t>
            </w:r>
          </w:p>
          <w:p>
            <w:pPr>
              <w:rPr>
                <w:rFonts w:hint="default"/>
                <w:lang w:val="en-US" w:eastAsia="zh-CN"/>
              </w:rPr>
            </w:pPr>
            <w:r>
              <w:rPr>
                <w:rFonts w:hint="eastAsia"/>
                <w:lang w:val="en-US" w:eastAsia="zh-CN"/>
              </w:rPr>
              <w:t>27/27*100%=100%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595" w:hRule="atLeast"/>
          <w:jc w:val="center"/>
        </w:trPr>
        <w:tc>
          <w:tcPr>
            <w:tcW w:w="1670" w:type="dxa"/>
            <w:vMerge w:val="continue"/>
          </w:tcPr>
          <w:p/>
        </w:tc>
        <w:tc>
          <w:tcPr>
            <w:tcW w:w="1317" w:type="dxa"/>
            <w:vAlign w:val="center"/>
          </w:tcPr>
          <w:p>
            <w:pPr>
              <w:spacing w:before="953" w:line="340" w:lineRule="exact"/>
              <w:ind w:left="80" w:firstLine="0"/>
              <w:jc w:val="left"/>
            </w:pPr>
            <w:r>
              <w:rPr>
                <w:rFonts w:hint="eastAsia" w:ascii="宋体" w:hAnsi="宋体" w:eastAsia="宋体"/>
                <w:color w:val="000000"/>
                <w:sz w:val="24"/>
              </w:rPr>
              <w:t>产出质量</w:t>
            </w:r>
          </w:p>
        </w:tc>
        <w:tc>
          <w:tcPr>
            <w:tcW w:w="1178" w:type="dxa"/>
            <w:vAlign w:val="top"/>
          </w:tcPr>
          <w:p>
            <w:pPr>
              <w:spacing w:before="435" w:line="320" w:lineRule="exact"/>
              <w:jc w:val="center"/>
            </w:pPr>
            <w:r>
              <w:rPr>
                <w:rFonts w:hint="eastAsia" w:ascii="宋体" w:hAnsi="宋体" w:eastAsia="宋体"/>
                <w:color w:val="000000"/>
                <w:sz w:val="20"/>
              </w:rPr>
              <w:t>质量保证程度（10分）</w:t>
            </w:r>
          </w:p>
        </w:tc>
        <w:tc>
          <w:tcPr>
            <w:tcW w:w="5723" w:type="dxa"/>
            <w:vAlign w:val="top"/>
          </w:tcPr>
          <w:p>
            <w:pPr>
              <w:spacing w:before="281" w:line="320" w:lineRule="exact"/>
              <w:ind w:left="100" w:firstLine="0"/>
              <w:jc w:val="both"/>
            </w:pPr>
            <w:r>
              <w:rPr>
                <w:rFonts w:hint="eastAsia" w:ascii="宋体" w:hAnsi="宋体" w:eastAsia="宋体"/>
                <w:color w:val="000000"/>
                <w:sz w:val="20"/>
                <w:lang w:val="en-US" w:eastAsia="zh-CN"/>
              </w:rPr>
              <w:t>项目质量均达到招标文件要求，验收结论为：“合格”得10分。符合以上每项符合得满分，不符合按比例得分。</w:t>
            </w:r>
          </w:p>
        </w:tc>
        <w:tc>
          <w:tcPr>
            <w:tcW w:w="1516" w:type="dxa"/>
            <w:vAlign w:val="center"/>
          </w:tcPr>
          <w:p>
            <w:pPr>
              <w:spacing w:before="958" w:line="240" w:lineRule="exact"/>
              <w:jc w:val="center"/>
              <w:rPr>
                <w:rFonts w:hint="default" w:eastAsiaTheme="minorEastAsia"/>
                <w:lang w:val="en-US" w:eastAsia="zh-CN"/>
              </w:rPr>
            </w:pPr>
            <w:r>
              <w:rPr>
                <w:rFonts w:hint="eastAsia" w:ascii="Arial" w:hAnsi="Arial" w:eastAsia="宋体"/>
                <w:color w:val="000000"/>
                <w:sz w:val="18"/>
                <w:lang w:val="en-US" w:eastAsia="zh-CN"/>
              </w:rPr>
              <w:t>10</w:t>
            </w:r>
          </w:p>
        </w:tc>
        <w:tc>
          <w:tcPr>
            <w:tcW w:w="4113" w:type="dxa"/>
            <w:vAlign w:val="top"/>
          </w:tcPr>
          <w:p>
            <w:pPr>
              <w:spacing w:line="300" w:lineRule="exact"/>
              <w:ind w:left="100" w:firstLine="0"/>
              <w:jc w:val="both"/>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550" w:hRule="atLeast"/>
          <w:jc w:val="center"/>
        </w:trPr>
        <w:tc>
          <w:tcPr>
            <w:tcW w:w="1670" w:type="dxa"/>
            <w:vMerge w:val="continue"/>
          </w:tcPr>
          <w:p/>
        </w:tc>
        <w:tc>
          <w:tcPr>
            <w:tcW w:w="1317" w:type="dxa"/>
            <w:vAlign w:val="center"/>
          </w:tcPr>
          <w:p>
            <w:pPr>
              <w:spacing w:before="450" w:line="345" w:lineRule="exact"/>
              <w:ind w:left="100" w:firstLine="0"/>
              <w:jc w:val="left"/>
            </w:pPr>
            <w:r>
              <w:rPr>
                <w:rFonts w:hint="eastAsia" w:ascii="宋体" w:hAnsi="宋体" w:eastAsia="宋体"/>
                <w:color w:val="000000"/>
                <w:sz w:val="23"/>
              </w:rPr>
              <w:t>产出时效</w:t>
            </w:r>
          </w:p>
        </w:tc>
        <w:tc>
          <w:tcPr>
            <w:tcW w:w="1178" w:type="dxa"/>
            <w:vAlign w:val="top"/>
          </w:tcPr>
          <w:p>
            <w:pPr>
              <w:spacing w:before="290" w:line="320" w:lineRule="exact"/>
              <w:ind w:left="100" w:firstLine="0"/>
              <w:jc w:val="both"/>
            </w:pPr>
            <w:r>
              <w:rPr>
                <w:rFonts w:hint="eastAsia" w:ascii="宋体" w:hAnsi="宋体" w:eastAsia="宋体"/>
                <w:color w:val="000000"/>
                <w:sz w:val="18"/>
                <w:lang w:eastAsia="zh-CN"/>
              </w:rPr>
              <w:t>开工</w:t>
            </w:r>
            <w:r>
              <w:rPr>
                <w:rFonts w:hint="eastAsia" w:ascii="宋体" w:hAnsi="宋体" w:eastAsia="宋体"/>
                <w:color w:val="000000"/>
                <w:sz w:val="18"/>
              </w:rPr>
              <w:t>及时性（5分）</w:t>
            </w:r>
          </w:p>
        </w:tc>
        <w:tc>
          <w:tcPr>
            <w:tcW w:w="5723" w:type="dxa"/>
            <w:vAlign w:val="top"/>
          </w:tcPr>
          <w:p>
            <w:pPr>
              <w:spacing w:before="123" w:line="300" w:lineRule="exact"/>
              <w:ind w:left="120" w:firstLine="0"/>
              <w:jc w:val="both"/>
            </w:pPr>
            <w:r>
              <w:rPr>
                <w:rFonts w:hint="eastAsia" w:ascii="宋体" w:hAnsi="宋体" w:eastAsia="宋体"/>
                <w:color w:val="000000"/>
                <w:sz w:val="18"/>
              </w:rPr>
              <w:t>在合同限定期限内完成</w:t>
            </w:r>
            <w:r>
              <w:rPr>
                <w:rFonts w:hint="eastAsia" w:ascii="宋体" w:hAnsi="宋体" w:eastAsia="宋体"/>
                <w:color w:val="000000"/>
                <w:sz w:val="18"/>
                <w:lang w:eastAsia="zh-CN"/>
              </w:rPr>
              <w:t>改造</w:t>
            </w:r>
            <w:r>
              <w:rPr>
                <w:rFonts w:hint="eastAsia" w:ascii="宋体" w:hAnsi="宋体" w:eastAsia="宋体"/>
                <w:color w:val="000000"/>
                <w:sz w:val="18"/>
                <w:lang w:val="en-US" w:eastAsia="zh-CN"/>
              </w:rPr>
              <w:t>27个小区</w:t>
            </w:r>
            <w:r>
              <w:rPr>
                <w:rFonts w:hint="eastAsia" w:ascii="宋体" w:hAnsi="宋体" w:eastAsia="宋体"/>
                <w:color w:val="000000"/>
                <w:sz w:val="18"/>
              </w:rPr>
              <w:t>任务。符合以上每项符合得满分，不符合按比例得分。</w:t>
            </w:r>
          </w:p>
        </w:tc>
        <w:tc>
          <w:tcPr>
            <w:tcW w:w="1516" w:type="dxa"/>
            <w:vAlign w:val="center"/>
          </w:tcPr>
          <w:p>
            <w:pPr>
              <w:spacing w:before="440" w:line="270" w:lineRule="exact"/>
              <w:jc w:val="center"/>
            </w:pPr>
            <w:r>
              <w:rPr>
                <w:rFonts w:hint="eastAsia" w:ascii="Arial" w:hAnsi="Arial" w:eastAsia="Arial"/>
                <w:color w:val="000000"/>
                <w:sz w:val="18"/>
              </w:rPr>
              <w:t>5</w:t>
            </w:r>
          </w:p>
        </w:tc>
        <w:tc>
          <w:tcPr>
            <w:tcW w:w="4113" w:type="dxa"/>
            <w:vAlign w:val="center"/>
          </w:tcPr>
          <w:p/>
        </w:tc>
      </w:tr>
    </w:tbl>
    <w:p>
      <w:pPr>
        <w:rPr>
          <w:rFonts w:hint="eastAsia"/>
        </w:rPr>
      </w:pPr>
    </w:p>
    <w:tbl>
      <w:tblPr>
        <w:tblStyle w:val="7"/>
        <w:tblW w:w="157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1975"/>
        <w:gridCol w:w="1222"/>
        <w:gridCol w:w="1161"/>
        <w:gridCol w:w="5627"/>
        <w:gridCol w:w="1542"/>
        <w:gridCol w:w="42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240" w:hRule="atLeast"/>
          <w:jc w:val="center"/>
        </w:trPr>
        <w:tc>
          <w:tcPr>
            <w:tcW w:w="1975" w:type="dxa"/>
            <w:vMerge w:val="restart"/>
            <w:vAlign w:val="center"/>
          </w:tcPr>
          <w:p/>
        </w:tc>
        <w:tc>
          <w:tcPr>
            <w:tcW w:w="1222" w:type="dxa"/>
            <w:vAlign w:val="center"/>
          </w:tcPr>
          <w:p/>
        </w:tc>
        <w:tc>
          <w:tcPr>
            <w:tcW w:w="1161" w:type="dxa"/>
            <w:vAlign w:val="top"/>
          </w:tcPr>
          <w:p>
            <w:pPr>
              <w:spacing w:before="743" w:line="320" w:lineRule="exact"/>
              <w:ind w:left="100" w:firstLine="0"/>
              <w:jc w:val="both"/>
            </w:pPr>
            <w:r>
              <w:rPr>
                <w:rFonts w:hint="eastAsia" w:ascii="宋体" w:hAnsi="宋体" w:eastAsia="宋体"/>
                <w:color w:val="000000"/>
                <w:sz w:val="22"/>
                <w:lang w:eastAsia="zh-CN"/>
              </w:rPr>
              <w:t>结算</w:t>
            </w:r>
            <w:r>
              <w:rPr>
                <w:rFonts w:hint="eastAsia" w:ascii="宋体" w:hAnsi="宋体" w:eastAsia="宋体"/>
                <w:color w:val="000000"/>
                <w:sz w:val="22"/>
              </w:rPr>
              <w:t>及时性（5分）</w:t>
            </w:r>
          </w:p>
        </w:tc>
        <w:tc>
          <w:tcPr>
            <w:tcW w:w="5627" w:type="dxa"/>
            <w:vAlign w:val="top"/>
          </w:tcPr>
          <w:p>
            <w:pPr>
              <w:spacing w:before="580" w:line="320" w:lineRule="exact"/>
              <w:ind w:left="120" w:firstLine="0"/>
              <w:jc w:val="both"/>
            </w:pPr>
            <w:r>
              <w:rPr>
                <w:rFonts w:hint="eastAsia" w:ascii="宋体" w:hAnsi="宋体" w:eastAsia="宋体"/>
                <w:color w:val="000000"/>
                <w:sz w:val="18"/>
              </w:rPr>
              <w:t>在合同限定期限内与</w:t>
            </w:r>
            <w:r>
              <w:rPr>
                <w:rFonts w:hint="eastAsia" w:ascii="宋体" w:hAnsi="宋体" w:eastAsia="宋体"/>
                <w:color w:val="000000"/>
                <w:sz w:val="18"/>
                <w:lang w:eastAsia="zh-CN"/>
              </w:rPr>
              <w:t>河北中昌建筑工程有限公司</w:t>
            </w:r>
            <w:r>
              <w:rPr>
                <w:rFonts w:hint="eastAsia" w:ascii="宋体" w:hAnsi="宋体" w:eastAsia="宋体"/>
                <w:color w:val="000000"/>
                <w:sz w:val="18"/>
              </w:rPr>
              <w:t>据实结算资金。符合以上每项符合得满分，不符合按比例得分。</w:t>
            </w:r>
          </w:p>
        </w:tc>
        <w:tc>
          <w:tcPr>
            <w:tcW w:w="1542" w:type="dxa"/>
            <w:vAlign w:val="center"/>
          </w:tcPr>
          <w:p>
            <w:pPr>
              <w:spacing w:before="929" w:line="360" w:lineRule="exact"/>
              <w:jc w:val="center"/>
              <w:rPr>
                <w:rFonts w:hint="default" w:eastAsiaTheme="minorEastAsia"/>
                <w:lang w:val="en-US" w:eastAsia="zh-CN"/>
              </w:rPr>
            </w:pPr>
            <w:r>
              <w:rPr>
                <w:rFonts w:hint="eastAsia" w:ascii="Arial" w:hAnsi="Arial" w:eastAsia="宋体"/>
                <w:color w:val="000000"/>
                <w:sz w:val="18"/>
                <w:lang w:val="en-US" w:eastAsia="zh-CN"/>
              </w:rPr>
              <w:t>2.1</w:t>
            </w:r>
          </w:p>
        </w:tc>
        <w:tc>
          <w:tcPr>
            <w:tcW w:w="4205" w:type="dxa"/>
            <w:vAlign w:val="top"/>
          </w:tcPr>
          <w:p>
            <w:pPr>
              <w:spacing w:before="188" w:line="320" w:lineRule="exact"/>
              <w:ind w:left="80" w:firstLine="0"/>
              <w:jc w:val="both"/>
              <w:rPr>
                <w:rFonts w:hint="default" w:ascii="宋体" w:hAnsi="宋体" w:eastAsia="宋体"/>
                <w:color w:val="000000"/>
                <w:sz w:val="18"/>
                <w:lang w:val="en-US" w:eastAsia="zh-CN"/>
              </w:rPr>
            </w:pPr>
            <w:r>
              <w:rPr>
                <w:rFonts w:hint="eastAsia" w:ascii="宋体" w:hAnsi="宋体" w:eastAsia="宋体"/>
                <w:color w:val="000000"/>
                <w:sz w:val="18"/>
                <w:lang w:val="en-US" w:eastAsia="zh-CN"/>
              </w:rPr>
              <w:t>2022年6月已支付河北中昌建筑工程有限公司工程款904万元，无法确认剩余未支付资金</w:t>
            </w:r>
            <w:r>
              <w:rPr>
                <w:rFonts w:hint="eastAsia" w:ascii="宋体" w:hAnsi="宋体" w:eastAsia="宋体"/>
                <w:color w:val="000000"/>
                <w:sz w:val="18"/>
              </w:rPr>
              <w:t>。</w:t>
            </w:r>
            <w:r>
              <w:rPr>
                <w:rFonts w:hint="eastAsia" w:ascii="宋体" w:hAnsi="宋体" w:eastAsia="宋体"/>
                <w:color w:val="000000"/>
                <w:sz w:val="18"/>
                <w:lang w:eastAsia="zh-CN"/>
              </w:rPr>
              <w:t>合同金额</w:t>
            </w:r>
            <w:r>
              <w:rPr>
                <w:rFonts w:hint="eastAsia" w:ascii="宋体" w:hAnsi="宋体" w:eastAsia="宋体"/>
                <w:color w:val="000000"/>
                <w:sz w:val="18"/>
                <w:lang w:val="en-US" w:eastAsia="zh-CN"/>
              </w:rPr>
              <w:t>2174.7121万元。结算及时率=904万元/2174.7121万元*100%=41.57% ，5*41.57%=2.1</w:t>
            </w:r>
          </w:p>
          <w:p>
            <w:pPr>
              <w:spacing w:before="188" w:line="320" w:lineRule="exact"/>
              <w:ind w:left="80" w:firstLine="0"/>
              <w:jc w:val="both"/>
              <w:rPr>
                <w:rFonts w:hint="default" w:ascii="宋体" w:hAnsi="宋体" w:eastAsia="宋体"/>
                <w:color w:val="000000"/>
                <w:sz w:val="18"/>
                <w:lang w:val="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60" w:hRule="atLeast"/>
          <w:jc w:val="center"/>
        </w:trPr>
        <w:tc>
          <w:tcPr>
            <w:tcW w:w="1975" w:type="dxa"/>
            <w:vMerge w:val="continue"/>
          </w:tcPr>
          <w:p/>
        </w:tc>
        <w:tc>
          <w:tcPr>
            <w:tcW w:w="1222" w:type="dxa"/>
            <w:vAlign w:val="center"/>
          </w:tcPr>
          <w:p>
            <w:pPr>
              <w:spacing w:line="270" w:lineRule="exact"/>
              <w:ind w:firstLine="0"/>
              <w:jc w:val="left"/>
            </w:pPr>
            <w:r>
              <w:rPr>
                <w:rFonts w:hint="eastAsia" w:ascii="宋体" w:hAnsi="宋体" w:eastAsia="宋体"/>
                <w:color w:val="000000"/>
                <w:sz w:val="18"/>
              </w:rPr>
              <w:t>产出成本</w:t>
            </w:r>
          </w:p>
        </w:tc>
        <w:tc>
          <w:tcPr>
            <w:tcW w:w="1161" w:type="dxa"/>
            <w:vAlign w:val="top"/>
          </w:tcPr>
          <w:p>
            <w:pPr>
              <w:spacing w:line="250" w:lineRule="exact"/>
              <w:jc w:val="center"/>
              <w:rPr>
                <w:rFonts w:hint="eastAsia" w:eastAsiaTheme="minorEastAsia"/>
                <w:lang w:eastAsia="zh-CN"/>
              </w:rPr>
            </w:pPr>
            <w:r>
              <w:rPr>
                <w:rFonts w:hint="eastAsia" w:ascii="宋体" w:hAnsi="宋体" w:eastAsia="宋体"/>
                <w:color w:val="000000"/>
                <w:sz w:val="18"/>
                <w:lang w:eastAsia="zh-CN"/>
              </w:rPr>
              <w:t>配套资金落实</w:t>
            </w:r>
          </w:p>
          <w:p>
            <w:pPr>
              <w:spacing w:line="261" w:lineRule="exact"/>
              <w:jc w:val="center"/>
            </w:pPr>
            <w:r>
              <w:rPr>
                <w:rFonts w:hint="eastAsia" w:ascii="Arial" w:hAnsi="Arial" w:eastAsia="Arial"/>
                <w:color w:val="000000"/>
                <w:sz w:val="18"/>
              </w:rPr>
              <w:t>（10分）</w:t>
            </w:r>
          </w:p>
        </w:tc>
        <w:tc>
          <w:tcPr>
            <w:tcW w:w="5627" w:type="dxa"/>
            <w:vAlign w:val="center"/>
          </w:tcPr>
          <w:p>
            <w:pPr>
              <w:spacing w:line="270" w:lineRule="exact"/>
              <w:ind w:firstLine="0"/>
              <w:jc w:val="both"/>
            </w:pPr>
            <w:r>
              <w:rPr>
                <w:rFonts w:hint="eastAsia" w:ascii="宋体" w:hAnsi="宋体" w:eastAsia="宋体"/>
                <w:color w:val="000000"/>
                <w:sz w:val="18"/>
                <w:lang w:eastAsia="zh-CN"/>
              </w:rPr>
              <w:t>积极落实配套资金</w:t>
            </w:r>
            <w:r>
              <w:rPr>
                <w:rFonts w:hint="eastAsia" w:ascii="宋体" w:hAnsi="宋体" w:eastAsia="宋体"/>
                <w:color w:val="000000"/>
                <w:sz w:val="18"/>
              </w:rPr>
              <w:t>。</w:t>
            </w:r>
          </w:p>
        </w:tc>
        <w:tc>
          <w:tcPr>
            <w:tcW w:w="1542" w:type="dxa"/>
            <w:vAlign w:val="center"/>
          </w:tcPr>
          <w:p>
            <w:pPr>
              <w:spacing w:line="270" w:lineRule="exact"/>
              <w:jc w:val="center"/>
              <w:rPr>
                <w:rFonts w:hint="default" w:eastAsiaTheme="minorEastAsia"/>
                <w:lang w:val="en-US" w:eastAsia="zh-CN"/>
              </w:rPr>
            </w:pPr>
            <w:r>
              <w:rPr>
                <w:rFonts w:hint="eastAsia" w:ascii="Arial" w:hAnsi="Arial" w:eastAsia="宋体"/>
                <w:color w:val="000000"/>
                <w:sz w:val="18"/>
                <w:lang w:val="en-US" w:eastAsia="zh-CN"/>
              </w:rPr>
              <w:t>7</w:t>
            </w:r>
          </w:p>
        </w:tc>
        <w:tc>
          <w:tcPr>
            <w:tcW w:w="4205" w:type="dxa"/>
            <w:vAlign w:val="center"/>
          </w:tcPr>
          <w:p>
            <w:pPr>
              <w:rPr>
                <w:rFonts w:hint="default" w:eastAsiaTheme="minorEastAsia"/>
                <w:lang w:val="en-US" w:eastAsia="zh-CN"/>
              </w:rPr>
            </w:pPr>
            <w:r>
              <w:rPr>
                <w:rFonts w:hint="eastAsia" w:ascii="宋体" w:hAnsi="宋体" w:eastAsia="宋体"/>
                <w:color w:val="000000"/>
                <w:sz w:val="18"/>
                <w:lang w:val="en-US" w:eastAsia="zh-CN"/>
              </w:rPr>
              <w:t>合同价为2174.7121万元，实际支付资金904万元，未及时支付全部资金。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980" w:hRule="atLeast"/>
          <w:jc w:val="center"/>
        </w:trPr>
        <w:tc>
          <w:tcPr>
            <w:tcW w:w="1975" w:type="dxa"/>
            <w:vMerge w:val="restart"/>
            <w:vAlign w:val="center"/>
          </w:tcPr>
          <w:p>
            <w:pPr>
              <w:spacing w:before="1686" w:line="300" w:lineRule="exact"/>
              <w:ind w:left="100" w:firstLine="0"/>
              <w:jc w:val="both"/>
            </w:pPr>
            <w:r>
              <w:rPr>
                <w:rFonts w:hint="eastAsia" w:ascii="宋体" w:hAnsi="宋体" w:eastAsia="宋体"/>
                <w:color w:val="000000"/>
                <w:sz w:val="20"/>
              </w:rPr>
              <w:t>项目效益（30分）</w:t>
            </w:r>
          </w:p>
        </w:tc>
        <w:tc>
          <w:tcPr>
            <w:tcW w:w="1222" w:type="dxa"/>
            <w:vMerge w:val="restart"/>
            <w:vAlign w:val="center"/>
          </w:tcPr>
          <w:p>
            <w:pPr>
              <w:spacing w:before="1711" w:line="330" w:lineRule="exact"/>
              <w:ind w:left="100" w:firstLine="0"/>
              <w:jc w:val="left"/>
            </w:pPr>
            <w:r>
              <w:rPr>
                <w:rFonts w:hint="eastAsia" w:ascii="宋体" w:hAnsi="宋体" w:eastAsia="宋体"/>
                <w:color w:val="000000"/>
                <w:sz w:val="22"/>
              </w:rPr>
              <w:t>项目效益</w:t>
            </w:r>
          </w:p>
        </w:tc>
        <w:tc>
          <w:tcPr>
            <w:tcW w:w="1161" w:type="dxa"/>
            <w:vAlign w:val="top"/>
          </w:tcPr>
          <w:p>
            <w:pPr>
              <w:spacing w:before="145" w:line="261" w:lineRule="exact"/>
              <w:jc w:val="center"/>
            </w:pPr>
            <w:r>
              <w:rPr>
                <w:rFonts w:hint="eastAsia" w:ascii="宋体" w:hAnsi="宋体" w:eastAsia="宋体"/>
                <w:color w:val="000000"/>
                <w:sz w:val="18"/>
              </w:rPr>
              <w:t>社会效益</w:t>
            </w:r>
          </w:p>
          <w:p>
            <w:pPr>
              <w:spacing w:line="240" w:lineRule="exact"/>
              <w:jc w:val="center"/>
            </w:pPr>
            <w:r>
              <w:rPr>
                <w:rFonts w:hint="eastAsia" w:ascii="Arial" w:hAnsi="Arial" w:eastAsia="Arial"/>
                <w:color w:val="000000"/>
                <w:sz w:val="18"/>
              </w:rPr>
              <w:t>（10分）</w:t>
            </w:r>
          </w:p>
        </w:tc>
        <w:tc>
          <w:tcPr>
            <w:tcW w:w="5627" w:type="dxa"/>
            <w:vAlign w:val="top"/>
          </w:tcPr>
          <w:p>
            <w:pPr>
              <w:spacing w:line="236" w:lineRule="exact"/>
              <w:ind w:left="120" w:firstLine="0"/>
              <w:jc w:val="left"/>
            </w:pPr>
            <w:r>
              <w:rPr>
                <w:rFonts w:hint="eastAsia" w:ascii="宋体" w:hAnsi="宋体" w:eastAsia="宋体"/>
                <w:color w:val="000000"/>
                <w:sz w:val="18"/>
                <w:lang w:eastAsia="zh-CN"/>
              </w:rPr>
              <w:t>切实改善居民住房条件和居住环境</w:t>
            </w:r>
            <w:r>
              <w:rPr>
                <w:rFonts w:hint="eastAsia" w:ascii="宋体" w:hAnsi="宋体" w:eastAsia="宋体"/>
                <w:color w:val="000000"/>
                <w:sz w:val="18"/>
              </w:rPr>
              <w:t>，视情况扣分。</w:t>
            </w:r>
          </w:p>
        </w:tc>
        <w:tc>
          <w:tcPr>
            <w:tcW w:w="1542" w:type="dxa"/>
            <w:vAlign w:val="center"/>
          </w:tcPr>
          <w:p>
            <w:pPr>
              <w:spacing w:line="270" w:lineRule="exact"/>
              <w:jc w:val="center"/>
            </w:pPr>
            <w:r>
              <w:rPr>
                <w:rFonts w:hint="eastAsia" w:ascii="Arial" w:hAnsi="Arial" w:eastAsia="Arial"/>
                <w:color w:val="000000"/>
                <w:sz w:val="18"/>
              </w:rPr>
              <w:t>10</w:t>
            </w:r>
          </w:p>
        </w:tc>
        <w:tc>
          <w:tcPr>
            <w:tcW w:w="4205" w:type="dxa"/>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460" w:hRule="atLeast"/>
          <w:jc w:val="center"/>
        </w:trPr>
        <w:tc>
          <w:tcPr>
            <w:tcW w:w="1975" w:type="dxa"/>
            <w:vMerge w:val="continue"/>
          </w:tcPr>
          <w:p/>
        </w:tc>
        <w:tc>
          <w:tcPr>
            <w:tcW w:w="1222" w:type="dxa"/>
            <w:vMerge w:val="continue"/>
          </w:tcPr>
          <w:p/>
        </w:tc>
        <w:tc>
          <w:tcPr>
            <w:tcW w:w="1161" w:type="dxa"/>
            <w:vAlign w:val="top"/>
          </w:tcPr>
          <w:p>
            <w:pPr>
              <w:spacing w:before="197" w:line="320" w:lineRule="exact"/>
              <w:jc w:val="center"/>
            </w:pPr>
            <w:r>
              <w:rPr>
                <w:rFonts w:hint="eastAsia" w:ascii="宋体" w:hAnsi="宋体" w:eastAsia="宋体"/>
                <w:color w:val="000000"/>
                <w:sz w:val="20"/>
              </w:rPr>
              <w:t>可持续影响效益（10分）</w:t>
            </w:r>
          </w:p>
        </w:tc>
        <w:tc>
          <w:tcPr>
            <w:tcW w:w="5627" w:type="dxa"/>
            <w:vAlign w:val="top"/>
          </w:tcPr>
          <w:p>
            <w:pPr>
              <w:spacing w:line="320" w:lineRule="exact"/>
              <w:ind w:left="100" w:firstLine="0"/>
              <w:jc w:val="both"/>
            </w:pPr>
            <w:r>
              <w:rPr>
                <w:rFonts w:hint="eastAsia" w:ascii="宋体" w:hAnsi="宋体" w:eastAsia="宋体"/>
                <w:color w:val="000000"/>
                <w:sz w:val="18"/>
                <w:lang w:eastAsia="zh-CN"/>
              </w:rPr>
              <w:t>全面提升</w:t>
            </w:r>
            <w:r>
              <w:rPr>
                <w:rFonts w:hint="eastAsia" w:ascii="宋体" w:hAnsi="宋体" w:eastAsia="宋体"/>
                <w:color w:val="000000"/>
                <w:sz w:val="18"/>
                <w:lang w:val="en-US" w:eastAsia="zh-CN"/>
              </w:rPr>
              <w:t>27个</w:t>
            </w:r>
            <w:r>
              <w:rPr>
                <w:rFonts w:hint="eastAsia" w:ascii="宋体" w:hAnsi="宋体" w:eastAsia="宋体"/>
                <w:color w:val="000000"/>
                <w:sz w:val="18"/>
                <w:lang w:eastAsia="zh-CN"/>
              </w:rPr>
              <w:t>老旧小区居住品质</w:t>
            </w:r>
            <w:r>
              <w:rPr>
                <w:rFonts w:hint="eastAsia" w:ascii="宋体" w:hAnsi="宋体" w:eastAsia="宋体"/>
                <w:color w:val="000000"/>
                <w:sz w:val="18"/>
              </w:rPr>
              <w:t>，若项目实施未达部分目标视情况扣分。</w:t>
            </w:r>
          </w:p>
        </w:tc>
        <w:tc>
          <w:tcPr>
            <w:tcW w:w="1542" w:type="dxa"/>
            <w:vAlign w:val="center"/>
          </w:tcPr>
          <w:p>
            <w:pPr>
              <w:spacing w:before="517" w:line="340" w:lineRule="exact"/>
              <w:jc w:val="center"/>
            </w:pPr>
            <w:r>
              <w:rPr>
                <w:rFonts w:hint="eastAsia" w:ascii="Arial" w:hAnsi="Arial" w:eastAsia="Arial"/>
                <w:color w:val="000000"/>
                <w:sz w:val="18"/>
              </w:rPr>
              <w:t>10</w:t>
            </w:r>
          </w:p>
        </w:tc>
        <w:tc>
          <w:tcPr>
            <w:tcW w:w="4205" w:type="dxa"/>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300" w:hRule="atLeast"/>
          <w:jc w:val="center"/>
        </w:trPr>
        <w:tc>
          <w:tcPr>
            <w:tcW w:w="1975" w:type="dxa"/>
            <w:vMerge w:val="continue"/>
          </w:tcPr>
          <w:p/>
        </w:tc>
        <w:tc>
          <w:tcPr>
            <w:tcW w:w="1222" w:type="dxa"/>
            <w:vMerge w:val="continue"/>
          </w:tcPr>
          <w:p/>
        </w:tc>
        <w:tc>
          <w:tcPr>
            <w:tcW w:w="1161" w:type="dxa"/>
            <w:vAlign w:val="top"/>
          </w:tcPr>
          <w:p>
            <w:pPr>
              <w:spacing w:line="300" w:lineRule="exact"/>
              <w:jc w:val="center"/>
            </w:pPr>
            <w:r>
              <w:rPr>
                <w:rFonts w:hint="eastAsia" w:ascii="宋体" w:hAnsi="宋体" w:eastAsia="宋体"/>
                <w:color w:val="000000"/>
                <w:sz w:val="20"/>
                <w:lang w:eastAsia="zh-CN"/>
              </w:rPr>
              <w:t>公众</w:t>
            </w:r>
            <w:r>
              <w:rPr>
                <w:rFonts w:hint="eastAsia" w:ascii="宋体" w:hAnsi="宋体" w:eastAsia="宋体"/>
                <w:color w:val="000000"/>
                <w:sz w:val="20"/>
              </w:rPr>
              <w:t>满意度（10分）</w:t>
            </w:r>
          </w:p>
        </w:tc>
        <w:tc>
          <w:tcPr>
            <w:tcW w:w="5627" w:type="dxa"/>
            <w:vAlign w:val="top"/>
          </w:tcPr>
          <w:p>
            <w:pPr>
              <w:spacing w:before="277" w:line="300" w:lineRule="exact"/>
              <w:ind w:left="100" w:firstLine="0"/>
              <w:jc w:val="both"/>
            </w:pPr>
            <w:r>
              <w:rPr>
                <w:rFonts w:hint="eastAsia" w:ascii="宋体" w:hAnsi="宋体" w:eastAsia="宋体"/>
                <w:color w:val="000000"/>
                <w:sz w:val="18"/>
              </w:rPr>
              <w:t>通过问卷调查，</w:t>
            </w:r>
            <w:r>
              <w:rPr>
                <w:rFonts w:hint="eastAsia" w:ascii="宋体" w:hAnsi="宋体" w:eastAsia="宋体"/>
                <w:color w:val="000000"/>
                <w:sz w:val="18"/>
                <w:lang w:eastAsia="zh-CN"/>
              </w:rPr>
              <w:t>居民</w:t>
            </w:r>
            <w:r>
              <w:rPr>
                <w:rFonts w:hint="eastAsia" w:ascii="宋体" w:hAnsi="宋体" w:eastAsia="宋体"/>
                <w:color w:val="000000"/>
                <w:sz w:val="18"/>
              </w:rPr>
              <w:t>对项目实施效果的满意度。</w:t>
            </w:r>
          </w:p>
        </w:tc>
        <w:tc>
          <w:tcPr>
            <w:tcW w:w="1542" w:type="dxa"/>
            <w:vAlign w:val="center"/>
          </w:tcPr>
          <w:p>
            <w:pPr>
              <w:spacing w:before="468" w:line="330" w:lineRule="exact"/>
              <w:jc w:val="center"/>
              <w:rPr>
                <w:rFonts w:hint="default" w:eastAsiaTheme="minorEastAsia"/>
                <w:lang w:val="en-US" w:eastAsia="zh-CN"/>
              </w:rPr>
            </w:pPr>
            <w:r>
              <w:rPr>
                <w:rFonts w:hint="eastAsia" w:ascii="Arial" w:hAnsi="Arial" w:eastAsia="宋体"/>
                <w:color w:val="000000"/>
                <w:sz w:val="18"/>
                <w:lang w:val="en-US" w:eastAsia="zh-CN"/>
              </w:rPr>
              <w:t>9.8</w:t>
            </w:r>
          </w:p>
        </w:tc>
        <w:tc>
          <w:tcPr>
            <w:tcW w:w="4205" w:type="dxa"/>
            <w:vAlign w:val="center"/>
          </w:tcPr>
          <w:p>
            <w:pPr>
              <w:spacing w:before="272" w:line="320" w:lineRule="exact"/>
              <w:ind w:left="60" w:firstLine="0"/>
              <w:jc w:val="both"/>
              <w:rPr>
                <w:rFonts w:hint="default" w:eastAsia="宋体"/>
                <w:lang w:val="en-US" w:eastAsia="zh-CN"/>
              </w:rPr>
            </w:pPr>
            <w:r>
              <w:rPr>
                <w:rFonts w:hint="eastAsia" w:ascii="宋体" w:hAnsi="宋体" w:eastAsia="宋体"/>
                <w:color w:val="000000"/>
                <w:sz w:val="18"/>
                <w:lang w:val="en-US" w:eastAsia="zh-CN"/>
              </w:rPr>
              <w:t>27个小区共1012户参与调查</w:t>
            </w:r>
            <w:r>
              <w:rPr>
                <w:rFonts w:hint="eastAsia" w:ascii="宋体" w:hAnsi="宋体" w:eastAsia="宋体"/>
                <w:color w:val="000000"/>
                <w:sz w:val="18"/>
              </w:rPr>
              <w:t>，</w:t>
            </w:r>
            <w:r>
              <w:rPr>
                <w:rFonts w:hint="eastAsia" w:ascii="宋体" w:hAnsi="宋体" w:eastAsia="宋体"/>
                <w:color w:val="000000"/>
                <w:sz w:val="18"/>
                <w:lang w:eastAsia="zh-CN"/>
              </w:rPr>
              <w:t>其中</w:t>
            </w:r>
            <w:r>
              <w:rPr>
                <w:rFonts w:hint="eastAsia" w:ascii="宋体" w:hAnsi="宋体" w:eastAsia="宋体"/>
                <w:color w:val="000000"/>
                <w:sz w:val="18"/>
                <w:lang w:val="en-US" w:eastAsia="zh-CN"/>
              </w:rPr>
              <w:t>为</w:t>
            </w:r>
            <w:r>
              <w:rPr>
                <w:rFonts w:hint="eastAsia" w:ascii="宋体" w:hAnsi="宋体" w:eastAsia="宋体"/>
                <w:color w:val="000000"/>
                <w:sz w:val="18"/>
              </w:rPr>
              <w:t>满意度</w:t>
            </w:r>
            <w:r>
              <w:rPr>
                <w:rFonts w:hint="eastAsia" w:ascii="宋体" w:hAnsi="宋体" w:eastAsia="宋体"/>
                <w:color w:val="000000"/>
                <w:sz w:val="18"/>
                <w:lang w:eastAsia="zh-CN"/>
              </w:rPr>
              <w:t>较满意，占比</w:t>
            </w:r>
            <w:r>
              <w:rPr>
                <w:rFonts w:hint="eastAsia" w:ascii="宋体" w:hAnsi="宋体" w:eastAsia="宋体"/>
                <w:color w:val="000000"/>
                <w:sz w:val="18"/>
                <w:lang w:val="en-US" w:eastAsia="zh-CN"/>
              </w:rPr>
              <w:t>98</w:t>
            </w:r>
            <w:r>
              <w:rPr>
                <w:rFonts w:hint="eastAsia" w:ascii="宋体" w:hAnsi="宋体" w:eastAsia="宋体"/>
                <w:color w:val="000000"/>
                <w:sz w:val="18"/>
              </w:rPr>
              <w:t>％。</w:t>
            </w:r>
            <w:r>
              <w:rPr>
                <w:rFonts w:hint="eastAsia" w:ascii="宋体" w:hAnsi="宋体" w:eastAsia="宋体"/>
                <w:color w:val="000000"/>
                <w:sz w:val="18"/>
                <w:lang w:val="en-US" w:eastAsia="zh-CN"/>
              </w:rPr>
              <w:t>一般满意占比2%。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40" w:hRule="atLeast"/>
          <w:jc w:val="center"/>
        </w:trPr>
        <w:tc>
          <w:tcPr>
            <w:tcW w:w="9985" w:type="dxa"/>
            <w:gridSpan w:val="4"/>
            <w:vAlign w:val="center"/>
          </w:tcPr>
          <w:p>
            <w:pPr>
              <w:spacing w:line="270" w:lineRule="exact"/>
              <w:jc w:val="center"/>
            </w:pPr>
            <w:r>
              <w:rPr>
                <w:rFonts w:hint="eastAsia" w:ascii="宋体" w:hAnsi="宋体" w:eastAsia="宋体"/>
                <w:color w:val="000000"/>
                <w:sz w:val="18"/>
              </w:rPr>
              <w:t>合计</w:t>
            </w:r>
          </w:p>
        </w:tc>
        <w:tc>
          <w:tcPr>
            <w:tcW w:w="1542" w:type="dxa"/>
            <w:vAlign w:val="center"/>
          </w:tcPr>
          <w:p>
            <w:pPr>
              <w:spacing w:line="237" w:lineRule="exact"/>
              <w:jc w:val="center"/>
              <w:rPr>
                <w:rFonts w:hint="default" w:eastAsiaTheme="minorEastAsia"/>
                <w:lang w:val="en-US" w:eastAsia="zh-CN"/>
              </w:rPr>
            </w:pPr>
            <w:r>
              <w:rPr>
                <w:rFonts w:hint="eastAsia"/>
                <w:lang w:val="en-US" w:eastAsia="zh-CN"/>
              </w:rPr>
              <w:t>92.6</w:t>
            </w:r>
          </w:p>
        </w:tc>
        <w:tc>
          <w:tcPr>
            <w:tcW w:w="4205" w:type="dxa"/>
            <w:vAlign w:val="center"/>
          </w:tcPr>
          <w:p/>
        </w:tc>
      </w:tr>
    </w:tbl>
    <w:p>
      <w:pPr>
        <w:rPr>
          <w:rFonts w:hint="eastAsia"/>
        </w:rPr>
      </w:pPr>
    </w:p>
    <w:sectPr>
      <w:pgSz w:w="16838" w:h="11906" w:orient="landscape"/>
      <w:pgMar w:top="1800" w:right="1440" w:bottom="1800" w:left="144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
    <w:pPr>
      <w:spacing w:line="100" w:lineRule="exact"/>
      <w:ind w:firstLine="0"/>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hint="eastAsia"/>
        <w:lang w:val="en-US" w:eastAsia="zh-CN"/>
      </w:rPr>
    </w:pPr>
    <w:r>
      <w:rPr>
        <w:sz w:val="18"/>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t xml:space="preserve">第 </w:t>
                          </w:r>
                          <w:r>
                            <w:fldChar w:fldCharType="begin"/>
                          </w:r>
                          <w:r>
                            <w:instrText xml:space="preserve"> PAGE  \* MERGEFORMAT </w:instrText>
                          </w:r>
                          <w:r>
                            <w:fldChar w:fldCharType="separate"/>
                          </w:r>
                          <w:r>
                            <w:t>1</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3"/>
                    </w:pPr>
                    <w:r>
                      <w:t xml:space="preserve">第 </w:t>
                    </w:r>
                    <w:r>
                      <w:fldChar w:fldCharType="begin"/>
                    </w:r>
                    <w:r>
                      <w:instrText xml:space="preserve"> PAGE  \* MERGEFORMAT </w:instrText>
                    </w:r>
                    <w:r>
                      <w:fldChar w:fldCharType="separate"/>
                    </w:r>
                    <w:r>
                      <w:t>1</w:t>
                    </w:r>
                    <w:r>
                      <w:fldChar w:fldCharType="end"/>
                    </w:r>
                    <w:r>
                      <w:t xml:space="preserve"> 页</w:t>
                    </w:r>
                  </w:p>
                </w:txbxContent>
              </v:textbox>
            </v:shape>
          </w:pict>
        </mc:Fallback>
      </mc:AlternateContent>
    </w:r>
    <w:r>
      <w:rPr>
        <w:sz w:val="18"/>
      </w:rPr>
      <mc:AlternateContent>
        <mc:Choice Requires="wps">
          <w:drawing>
            <wp:anchor distT="0" distB="0" distL="114300" distR="114300" simplePos="0" relativeHeight="251660288" behindDoc="0" locked="0" layoutInCell="1" allowOverlap="1">
              <wp:simplePos x="0" y="0"/>
              <wp:positionH relativeFrom="margin">
                <wp:align>left</wp:align>
              </wp:positionH>
              <wp:positionV relativeFrom="bottomMargin">
                <wp:align>top</wp:align>
              </wp:positionV>
              <wp:extent cx="2687320" cy="298450"/>
              <wp:effectExtent l="0" t="0" r="0" b="0"/>
              <wp:wrapNone/>
              <wp:docPr id="2" name="文本框 2"/>
              <wp:cNvGraphicFramePr/>
              <a:graphic xmlns:a="http://schemas.openxmlformats.org/drawingml/2006/main">
                <a:graphicData uri="http://schemas.microsoft.com/office/word/2010/wordprocessingShape">
                  <wps:wsp>
                    <wps:cNvSpPr txBox="1"/>
                    <wps:spPr>
                      <a:xfrm>
                        <a:off x="1168400" y="9895840"/>
                        <a:ext cx="2687320" cy="2984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2pt;margin-top:505.3pt;height:23.5pt;width:211.6pt;mso-position-horizontal-relative:page;mso-position-vertical-relative:page;z-index:251660288;mso-width-relative:page;mso-height-relative:page;" filled="f" stroked="f" coordsize="21600,21600" o:gfxdata="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OSrvN9YAAAAEAQAADwAAAAAAAAABACAAAAAi&#10;AAAAZHJzL2Rvd25yZXYueG1sUEsBAhQAFAAAAAgAh07iQLRtyoNFAgAAcgQAAA4AAAAAAAAAAQAg&#10;AAAAJQEAAGRycy9lMm9Eb2MueG1sUEsFBgAAAAAGAAYAWQEAANwFAAAAAA==&#10;">
              <v:fill on="f" focussize="0,0"/>
              <v:stroke on="f" weight="0.5pt"/>
              <v:imagedata o:title=""/>
              <o:lock v:ext="edit" aspectratio="f"/>
              <v:textbox>
                <w:txbxContent>
                  <w:p>
                    <w:pPr>
                      <w:rPr>
                        <w:rFonts w:hint="eastAsia"/>
                        <w:lang w:val="en-US" w:eastAsia="zh-CN"/>
                      </w:rPr>
                    </w:pPr>
                  </w:p>
                </w:txbxContent>
              </v:textbox>
            </v:shape>
          </w:pict>
        </mc:Fallback>
      </mc:AlternateContent>
    </w: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bottomMargin">
                <wp:align>top</wp:align>
              </wp:positionV>
              <wp:extent cx="5313045" cy="0"/>
              <wp:effectExtent l="0" t="6350" r="0" b="6350"/>
              <wp:wrapNone/>
              <wp:docPr id="1" name="直接连接符 1"/>
              <wp:cNvGraphicFramePr/>
              <a:graphic xmlns:a="http://schemas.openxmlformats.org/drawingml/2006/main">
                <a:graphicData uri="http://schemas.microsoft.com/office/word/2010/wordprocessingShape">
                  <wps:wsp>
                    <wps:cNvCnPr/>
                    <wps:spPr>
                      <a:xfrm>
                        <a:off x="1139190" y="9765665"/>
                        <a:ext cx="5313045"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100000</wp14:pctWidth>
              </wp14:sizeRelH>
              <wp14:sizeRelV relativeFrom="page">
                <wp14:pctHeight>0</wp14:pctHeight>
              </wp14:sizeRelV>
            </wp:anchor>
          </w:drawing>
        </mc:Choice>
        <mc:Fallback>
          <w:pict>
            <v:line id="_x0000_s1026" o:spid="_x0000_s1026" o:spt="20" style="position:absolute;left:0pt;margin-left:72pt;margin-top:505.8pt;height:0pt;width:418.35pt;mso-position-horizontal-relative:page;mso-position-vertical-relative:page;z-index:251659264;mso-width-relative:margin;mso-height-relative:page;mso-width-percent:1000;" filled="f" stroked="t" coordsize="21600,21600" o:gfxdata="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7jyGc&#10;zwAAAAIBAAAPAAAAAAAAAAEAIAAAACIAAABkcnMvZG93bnJldi54bWxQSwECFAAUAAAACACHTuJA&#10;F49pAfEBAAC+AwAADgAAAAAAAAABACAAAAAeAQAAZHJzL2Uyb0RvYy54bWxQSwUGAAAAAAYABgBZ&#10;AQAAgQUAAAAA&#10;">
              <v:fill on="f" focussize="0,0"/>
              <v:stroke weight="1pt" color="#000000 [3213]" miterlimit="8" joinstyle="miter"/>
              <v:imagedata o:title=""/>
              <o:lock v:ext="edit" aspectratio="f"/>
            </v:lin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F7A0BC"/>
    <w:multiLevelType w:val="singleLevel"/>
    <w:tmpl w:val="FFF7A0BC"/>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JhMTc3YTkwOTE2NTg4NmU2NjNkY2U2YmI3YzBlNjkifQ=="/>
  </w:docVars>
  <w:rsids>
    <w:rsidRoot w:val="00000000"/>
    <w:rsid w:val="005E0AA6"/>
    <w:rsid w:val="00B00BD6"/>
    <w:rsid w:val="02300221"/>
    <w:rsid w:val="031A67DB"/>
    <w:rsid w:val="04E90B5B"/>
    <w:rsid w:val="05922FA0"/>
    <w:rsid w:val="063F4ED6"/>
    <w:rsid w:val="076F3599"/>
    <w:rsid w:val="07D362FD"/>
    <w:rsid w:val="089112ED"/>
    <w:rsid w:val="09150170"/>
    <w:rsid w:val="092C57A5"/>
    <w:rsid w:val="09A6701A"/>
    <w:rsid w:val="0B8415DD"/>
    <w:rsid w:val="0D2F4780"/>
    <w:rsid w:val="0E3966AF"/>
    <w:rsid w:val="0EB126E9"/>
    <w:rsid w:val="0F64775C"/>
    <w:rsid w:val="0F6657C6"/>
    <w:rsid w:val="0F8C6CB2"/>
    <w:rsid w:val="0FEE5277"/>
    <w:rsid w:val="10EE19D3"/>
    <w:rsid w:val="11065743"/>
    <w:rsid w:val="115F13FC"/>
    <w:rsid w:val="13255454"/>
    <w:rsid w:val="13A04ADA"/>
    <w:rsid w:val="13CD293C"/>
    <w:rsid w:val="13E33C23"/>
    <w:rsid w:val="16DA0303"/>
    <w:rsid w:val="18706C17"/>
    <w:rsid w:val="199D11AD"/>
    <w:rsid w:val="1B6B6A0B"/>
    <w:rsid w:val="1B7A482E"/>
    <w:rsid w:val="1BA62EAA"/>
    <w:rsid w:val="1CB735C0"/>
    <w:rsid w:val="1D631052"/>
    <w:rsid w:val="1F204D21"/>
    <w:rsid w:val="20245884"/>
    <w:rsid w:val="20631369"/>
    <w:rsid w:val="229B1069"/>
    <w:rsid w:val="23A93537"/>
    <w:rsid w:val="23B34D5E"/>
    <w:rsid w:val="24157E62"/>
    <w:rsid w:val="25C24D84"/>
    <w:rsid w:val="26C863CA"/>
    <w:rsid w:val="27280C17"/>
    <w:rsid w:val="27D112AE"/>
    <w:rsid w:val="28E8714D"/>
    <w:rsid w:val="294D2BB7"/>
    <w:rsid w:val="2967011C"/>
    <w:rsid w:val="2AD6555A"/>
    <w:rsid w:val="2BD304F6"/>
    <w:rsid w:val="2BE315B0"/>
    <w:rsid w:val="2CF92BCF"/>
    <w:rsid w:val="2D5E35E4"/>
    <w:rsid w:val="2F212B1B"/>
    <w:rsid w:val="2F925537"/>
    <w:rsid w:val="2F9E23BE"/>
    <w:rsid w:val="2FA71273"/>
    <w:rsid w:val="2FD8767E"/>
    <w:rsid w:val="300F6E18"/>
    <w:rsid w:val="316B3072"/>
    <w:rsid w:val="322F37A1"/>
    <w:rsid w:val="33C1667B"/>
    <w:rsid w:val="34380C74"/>
    <w:rsid w:val="34D50630"/>
    <w:rsid w:val="34E645EB"/>
    <w:rsid w:val="35415AD1"/>
    <w:rsid w:val="356224F3"/>
    <w:rsid w:val="35AE625C"/>
    <w:rsid w:val="35F20D6E"/>
    <w:rsid w:val="36F01751"/>
    <w:rsid w:val="38CF35E8"/>
    <w:rsid w:val="393A4F06"/>
    <w:rsid w:val="3AC54CA3"/>
    <w:rsid w:val="3B8B1A48"/>
    <w:rsid w:val="3D8250CD"/>
    <w:rsid w:val="3DC41242"/>
    <w:rsid w:val="3DD551FD"/>
    <w:rsid w:val="3E1A5306"/>
    <w:rsid w:val="3EB5502E"/>
    <w:rsid w:val="3F4343E8"/>
    <w:rsid w:val="404E49ED"/>
    <w:rsid w:val="40A84E4B"/>
    <w:rsid w:val="42440BA3"/>
    <w:rsid w:val="44FA7C3F"/>
    <w:rsid w:val="45605CF4"/>
    <w:rsid w:val="46C40504"/>
    <w:rsid w:val="46F04E55"/>
    <w:rsid w:val="47E7429E"/>
    <w:rsid w:val="4A273284"/>
    <w:rsid w:val="4B906C07"/>
    <w:rsid w:val="4B983D0E"/>
    <w:rsid w:val="4CA30BBC"/>
    <w:rsid w:val="4D844549"/>
    <w:rsid w:val="4E06297D"/>
    <w:rsid w:val="4F42646A"/>
    <w:rsid w:val="511107EA"/>
    <w:rsid w:val="52287B99"/>
    <w:rsid w:val="522D3402"/>
    <w:rsid w:val="532C190B"/>
    <w:rsid w:val="55F801CE"/>
    <w:rsid w:val="561641AD"/>
    <w:rsid w:val="56F6626A"/>
    <w:rsid w:val="573D2982"/>
    <w:rsid w:val="57633422"/>
    <w:rsid w:val="585767BE"/>
    <w:rsid w:val="5AD7215D"/>
    <w:rsid w:val="5B5163B3"/>
    <w:rsid w:val="5CA00C74"/>
    <w:rsid w:val="5CF76AE6"/>
    <w:rsid w:val="5CFB13B5"/>
    <w:rsid w:val="5DA83EAF"/>
    <w:rsid w:val="5FAB005C"/>
    <w:rsid w:val="5FD650D9"/>
    <w:rsid w:val="626B3A14"/>
    <w:rsid w:val="6310051A"/>
    <w:rsid w:val="64EF2799"/>
    <w:rsid w:val="651D58B5"/>
    <w:rsid w:val="65FF07B9"/>
    <w:rsid w:val="67023EDB"/>
    <w:rsid w:val="67D3259B"/>
    <w:rsid w:val="683F57E5"/>
    <w:rsid w:val="685F7C35"/>
    <w:rsid w:val="693C3AD3"/>
    <w:rsid w:val="69584DB0"/>
    <w:rsid w:val="69961435"/>
    <w:rsid w:val="6B217424"/>
    <w:rsid w:val="6B96571C"/>
    <w:rsid w:val="6C6C46CF"/>
    <w:rsid w:val="6CD209D6"/>
    <w:rsid w:val="6CE77D17"/>
    <w:rsid w:val="6CF7043C"/>
    <w:rsid w:val="6D427A67"/>
    <w:rsid w:val="6E0948CB"/>
    <w:rsid w:val="6E49116B"/>
    <w:rsid w:val="6ED8429D"/>
    <w:rsid w:val="6FC50CC6"/>
    <w:rsid w:val="70853FB1"/>
    <w:rsid w:val="720E10FD"/>
    <w:rsid w:val="72987FCC"/>
    <w:rsid w:val="72D336FA"/>
    <w:rsid w:val="744C5512"/>
    <w:rsid w:val="74836A59"/>
    <w:rsid w:val="753E491A"/>
    <w:rsid w:val="76530DD9"/>
    <w:rsid w:val="772E0EFE"/>
    <w:rsid w:val="78AA1BCA"/>
    <w:rsid w:val="7A2111EE"/>
    <w:rsid w:val="7AB91427"/>
    <w:rsid w:val="7B3867F0"/>
    <w:rsid w:val="7B825CBD"/>
    <w:rsid w:val="7CC16371"/>
    <w:rsid w:val="7D1312C2"/>
    <w:rsid w:val="7E2117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sz w:val="21"/>
      <w:szCs w:val="22"/>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99"/>
    <w:pPr>
      <w:ind w:firstLine="420" w:firstLineChars="20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style>
  <w:style w:type="paragraph" w:styleId="6">
    <w:name w:val="toc 2"/>
    <w:basedOn w:val="1"/>
    <w:next w:val="1"/>
    <w:qFormat/>
    <w:uiPriority w:val="0"/>
    <w:pPr>
      <w:ind w:left="420" w:leftChars="200"/>
    </w:p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WPSOffice手动目录 1"/>
    <w:qFormat/>
    <w:uiPriority w:val="0"/>
    <w:pPr>
      <w:ind w:leftChars="0"/>
    </w:pPr>
    <w:rPr>
      <w:rFonts w:asciiTheme="minorHAnsi" w:hAnsiTheme="minorHAnsi" w:eastAsiaTheme="minorEastAsia" w:cstheme="minorBidi"/>
      <w:sz w:val="20"/>
      <w:szCs w:val="20"/>
    </w:rPr>
  </w:style>
  <w:style w:type="paragraph" w:customStyle="1" w:styleId="11">
    <w:name w:val="WPSOffice手动目录 2"/>
    <w:qFormat/>
    <w:uiPriority w:val="0"/>
    <w:pPr>
      <w:ind w:leftChars="200"/>
    </w:pPr>
    <w:rPr>
      <w:rFonts w:asciiTheme="minorHAnsi" w:hAnsiTheme="minorHAnsi" w:eastAsiaTheme="minorEastAsia" w:cstheme="minorBidi"/>
      <w:sz w:val="20"/>
      <w:szCs w:val="20"/>
    </w:rPr>
  </w:style>
  <w:style w:type="paragraph" w:customStyle="1" w:styleId="12">
    <w:name w:val="正文缩进1"/>
    <w:basedOn w:val="1"/>
    <w:qFormat/>
    <w:uiPriority w:val="0"/>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1</Lines>
  <Paragraphs>1</Paragraphs>
  <TotalTime>0</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2023-09-19T07:21:00Z</dcterms:created>
  <dc:creator>Administrator</dc:creator>
  <cp:lastModifiedBy>lcxlzl</cp:lastModifiedBy>
  <cp:lastPrinted>2023-10-24T07:49:00Z</cp:lastPrinted>
  <dcterms:modified xsi:type="dcterms:W3CDTF">2023-12-21T02:19:00Z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A41EF46807144254894339914118F8AD_13</vt:lpwstr>
  </property>
</Properties>
</file>