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both"/>
        <w:rPr>
          <w:rFonts w:hint="eastAsia" w:ascii="宋体" w:hAnsi="宋体" w:cs="宋体"/>
          <w:b/>
          <w:bCs/>
          <w:sz w:val="44"/>
          <w:szCs w:val="44"/>
          <w:lang w:eastAsia="zh-CN"/>
        </w:rPr>
      </w:pPr>
    </w:p>
    <w:p>
      <w:pPr>
        <w:spacing w:line="360" w:lineRule="auto"/>
        <w:jc w:val="center"/>
        <w:rPr>
          <w:rFonts w:hint="eastAsia" w:ascii="宋体" w:hAnsi="宋体" w:cs="宋体"/>
          <w:b/>
          <w:bCs/>
          <w:sz w:val="44"/>
          <w:szCs w:val="44"/>
          <w:lang w:eastAsia="zh-CN"/>
        </w:rPr>
      </w:pPr>
    </w:p>
    <w:p>
      <w:pPr>
        <w:spacing w:line="360" w:lineRule="auto"/>
        <w:jc w:val="center"/>
        <w:rPr>
          <w:rFonts w:hint="eastAsia" w:ascii="宋体" w:hAnsi="宋体" w:eastAsia="宋体" w:cs="宋体"/>
          <w:b/>
          <w:bCs/>
          <w:sz w:val="44"/>
          <w:szCs w:val="44"/>
          <w:lang w:eastAsia="zh-CN"/>
        </w:rPr>
      </w:pPr>
    </w:p>
    <w:p>
      <w:pPr>
        <w:spacing w:line="360" w:lineRule="auto"/>
        <w:jc w:val="center"/>
        <w:outlineLvl w:val="0"/>
        <w:rPr>
          <w:rFonts w:hint="eastAsia" w:ascii="楷体" w:hAnsi="楷体" w:eastAsia="楷体" w:cs="楷体"/>
          <w:b/>
          <w:bCs/>
          <w:sz w:val="44"/>
          <w:szCs w:val="44"/>
          <w:lang w:eastAsia="zh-CN"/>
        </w:rPr>
      </w:pPr>
      <w:r>
        <w:rPr>
          <w:rFonts w:hint="eastAsia" w:ascii="楷体" w:hAnsi="楷体" w:eastAsia="楷体" w:cs="楷体"/>
          <w:b/>
          <w:bCs/>
          <w:sz w:val="44"/>
          <w:szCs w:val="44"/>
          <w:lang w:eastAsia="zh-CN"/>
        </w:rPr>
        <w:t>滹沱河河道内村庄防洪整治工程项目</w:t>
      </w: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r>
        <w:rPr>
          <w:rFonts w:hint="eastAsia" w:ascii="楷体" w:hAnsi="楷体" w:eastAsia="楷体" w:cs="楷体"/>
          <w:b/>
          <w:bCs/>
          <w:sz w:val="44"/>
          <w:szCs w:val="44"/>
        </w:rPr>
        <w:t>绩效评价报告</w:t>
      </w: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both"/>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keepNext w:val="0"/>
        <w:keepLines w:val="0"/>
        <w:pageBreakBefore w:val="0"/>
        <w:widowControl w:val="0"/>
        <w:kinsoku/>
        <w:wordWrap/>
        <w:overflowPunct/>
        <w:topLinePunct w:val="0"/>
        <w:autoSpaceDE/>
        <w:autoSpaceDN/>
        <w:bidi w:val="0"/>
        <w:adjustRightInd/>
        <w:snapToGrid/>
        <w:spacing w:line="720" w:lineRule="auto"/>
        <w:ind w:firstLine="1280" w:firstLineChars="4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委托单位：无极县财政局</w:t>
      </w:r>
    </w:p>
    <w:p>
      <w:pPr>
        <w:pStyle w:val="3"/>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项目单位：无极县水利局</w:t>
      </w:r>
    </w:p>
    <w:p>
      <w:pPr>
        <w:pStyle w:val="3"/>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楷体" w:hAnsi="楷体" w:eastAsia="楷体" w:cs="楷体"/>
          <w:b w:val="0"/>
          <w:bCs w:val="0"/>
          <w:sz w:val="32"/>
          <w:szCs w:val="32"/>
          <w:lang w:eastAsia="zh-CN"/>
        </w:rPr>
      </w:pPr>
      <w:r>
        <w:rPr>
          <w:rFonts w:hint="eastAsia" w:ascii="楷体" w:hAnsi="楷体" w:eastAsia="楷体" w:cs="楷体"/>
          <w:b w:val="0"/>
          <w:bCs w:val="0"/>
          <w:sz w:val="32"/>
          <w:szCs w:val="32"/>
          <w:lang w:eastAsia="zh-CN"/>
        </w:rPr>
        <w:t>评价机构：无极中昌会计师事务所有限责任公司</w:t>
      </w:r>
    </w:p>
    <w:p>
      <w:pPr>
        <w:pStyle w:val="3"/>
        <w:keepNext w:val="0"/>
        <w:keepLines w:val="0"/>
        <w:pageBreakBefore w:val="0"/>
        <w:widowControl w:val="0"/>
        <w:kinsoku/>
        <w:wordWrap/>
        <w:overflowPunct/>
        <w:topLinePunct w:val="0"/>
        <w:autoSpaceDE/>
        <w:autoSpaceDN/>
        <w:bidi w:val="0"/>
        <w:adjustRightInd/>
        <w:snapToGrid/>
        <w:spacing w:line="720" w:lineRule="auto"/>
        <w:ind w:left="0" w:leftChars="0" w:firstLine="3200" w:firstLineChars="1000"/>
        <w:jc w:val="left"/>
        <w:textAlignment w:val="auto"/>
        <w:rPr>
          <w:rFonts w:hint="eastAsia" w:ascii="楷体" w:hAnsi="楷体" w:eastAsia="楷体" w:cs="楷体"/>
          <w:b w:val="0"/>
          <w:bCs w:val="0"/>
          <w:sz w:val="32"/>
          <w:szCs w:val="32"/>
          <w:highlight w:val="none"/>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ascii="楷体" w:hAnsi="楷体" w:eastAsia="楷体" w:cs="楷体"/>
          <w:b w:val="0"/>
          <w:bCs w:val="0"/>
          <w:sz w:val="32"/>
          <w:szCs w:val="32"/>
          <w:highlight w:val="none"/>
          <w:lang w:val="en-US" w:eastAsia="zh-CN"/>
        </w:rPr>
        <w:t>2023年12月</w:t>
      </w:r>
    </w:p>
    <w:p>
      <w:pPr>
        <w:jc w:val="center"/>
        <w:rPr>
          <w:rFonts w:hint="eastAsia" w:ascii="楷体_GB2312" w:eastAsia="楷体_GB2312"/>
          <w:color w:val="FF0000"/>
          <w:sz w:val="44"/>
          <w:szCs w:val="44"/>
        </w:rPr>
      </w:pPr>
      <w:bookmarkStart w:id="0" w:name="_Toc20068"/>
      <w:bookmarkStart w:id="1" w:name="_Toc25646"/>
      <w:r>
        <w:rPr>
          <w:rFonts w:hint="eastAsia" w:ascii="楷体_GB2312" w:eastAsia="楷体_GB2312"/>
          <w:color w:val="FF0000"/>
          <w:sz w:val="44"/>
          <w:szCs w:val="44"/>
        </w:rPr>
        <w:t>无极中昌会计师事务所有限责任公司</w:t>
      </w:r>
    </w:p>
    <w:p>
      <w:pPr>
        <w:jc w:val="center"/>
        <w:rPr>
          <w:rFonts w:hint="eastAsia" w:ascii="楷体_GB2312" w:eastAsia="楷体_GB2312"/>
          <w:color w:val="FF0000"/>
          <w:sz w:val="28"/>
          <w:szCs w:val="28"/>
        </w:rPr>
      </w:pPr>
      <w:r>
        <w:rPr>
          <w:rFonts w:hint="eastAsia" w:ascii="楷体_GB2312" w:eastAsia="楷体_GB2312"/>
          <w:color w:val="FF0000"/>
          <w:sz w:val="28"/>
          <w:szCs w:val="28"/>
        </w:rPr>
        <w:t>WUJI ZHONG CHANG CERIGIED PUBLIC ACCOUNTANT CO.,LTD</w:t>
      </w:r>
    </w:p>
    <w:p>
      <w:pPr>
        <w:keepNext w:val="0"/>
        <w:keepLines w:val="0"/>
        <w:pageBreakBefore w:val="0"/>
        <w:widowControl w:val="0"/>
        <w:kinsoku/>
        <w:wordWrap/>
        <w:overflowPunct/>
        <w:topLinePunct w:val="0"/>
        <w:autoSpaceDE/>
        <w:autoSpaceDN/>
        <w:bidi w:val="0"/>
        <w:spacing w:line="460" w:lineRule="exact"/>
        <w:jc w:val="center"/>
        <w:textAlignment w:val="auto"/>
        <w:outlineLvl w:val="0"/>
        <w:rPr>
          <w:rFonts w:hint="eastAsia" w:ascii="楷体" w:hAnsi="楷体" w:eastAsia="楷体" w:cs="楷体"/>
          <w:b/>
          <w:bCs/>
          <w:sz w:val="44"/>
          <w:szCs w:val="44"/>
          <w:lang w:eastAsia="zh-CN"/>
        </w:rPr>
      </w:pPr>
      <w:r>
        <w:rPr>
          <w:rFonts w:hint="eastAsia" w:ascii="楷体_GB2312" w:eastAsia="楷体_GB2312"/>
          <w:color w:val="FF0000"/>
          <w:sz w:val="16"/>
          <w:szCs w:val="16"/>
        </w:rPr>
        <w:t>※※※※※※※※※※※※※※※※※※※※※※※</w:t>
      </w:r>
      <w:r>
        <w:rPr>
          <w:rFonts w:hint="eastAsia" w:ascii="楷体_GB2312" w:eastAsia="楷体_GB2312"/>
          <w:color w:val="FF0000"/>
          <w:sz w:val="44"/>
          <w:szCs w:val="44"/>
        </w:rPr>
        <w:t>☆</w:t>
      </w:r>
      <w:r>
        <w:rPr>
          <w:rFonts w:hint="eastAsia" w:ascii="楷体_GB2312" w:eastAsia="楷体_GB2312"/>
          <w:color w:val="FF0000"/>
          <w:sz w:val="16"/>
          <w:szCs w:val="16"/>
        </w:rPr>
        <w:t>※※※※※※※※※※※※※※※※※※※※※※※※※※</w:t>
      </w:r>
      <w:r>
        <w:rPr>
          <w:rFonts w:hint="eastAsia" w:ascii="楷体" w:hAnsi="楷体" w:eastAsia="楷体" w:cs="楷体"/>
          <w:b/>
          <w:bCs/>
          <w:sz w:val="44"/>
          <w:szCs w:val="44"/>
          <w:lang w:eastAsia="zh-CN"/>
        </w:rPr>
        <w:t>无极县财政局</w:t>
      </w:r>
      <w:bookmarkEnd w:id="0"/>
      <w:bookmarkEnd w:id="1"/>
    </w:p>
    <w:p>
      <w:pPr>
        <w:keepNext w:val="0"/>
        <w:keepLines w:val="0"/>
        <w:pageBreakBefore w:val="0"/>
        <w:widowControl w:val="0"/>
        <w:kinsoku/>
        <w:wordWrap/>
        <w:overflowPunct/>
        <w:topLinePunct w:val="0"/>
        <w:autoSpaceDE/>
        <w:autoSpaceDN/>
        <w:bidi w:val="0"/>
        <w:spacing w:line="460" w:lineRule="exact"/>
        <w:jc w:val="center"/>
        <w:textAlignment w:val="auto"/>
        <w:outlineLvl w:val="0"/>
        <w:rPr>
          <w:rFonts w:hint="eastAsia" w:ascii="楷体" w:hAnsi="楷体" w:eastAsia="楷体" w:cs="楷体"/>
          <w:b/>
          <w:bCs/>
          <w:sz w:val="44"/>
          <w:szCs w:val="44"/>
          <w:lang w:eastAsia="zh-CN"/>
        </w:rPr>
      </w:pPr>
      <w:bookmarkStart w:id="2" w:name="_Toc16251"/>
      <w:bookmarkStart w:id="3" w:name="_Toc2183"/>
      <w:r>
        <w:rPr>
          <w:rFonts w:hint="eastAsia" w:ascii="楷体" w:hAnsi="楷体" w:eastAsia="楷体" w:cs="楷体"/>
          <w:b/>
          <w:bCs/>
          <w:sz w:val="44"/>
          <w:szCs w:val="44"/>
        </w:rPr>
        <w:t>关于</w:t>
      </w:r>
      <w:bookmarkEnd w:id="2"/>
      <w:bookmarkEnd w:id="3"/>
      <w:r>
        <w:rPr>
          <w:rFonts w:hint="eastAsia" w:ascii="楷体" w:hAnsi="楷体" w:eastAsia="楷体" w:cs="楷体"/>
          <w:b/>
          <w:bCs/>
          <w:sz w:val="44"/>
          <w:szCs w:val="44"/>
          <w:lang w:eastAsia="zh-CN"/>
        </w:rPr>
        <w:t>滹沱河河道内村庄防洪整治工程项目</w:t>
      </w:r>
    </w:p>
    <w:p>
      <w:pPr>
        <w:keepNext w:val="0"/>
        <w:keepLines w:val="0"/>
        <w:pageBreakBefore w:val="0"/>
        <w:widowControl w:val="0"/>
        <w:kinsoku/>
        <w:wordWrap/>
        <w:overflowPunct/>
        <w:topLinePunct w:val="0"/>
        <w:autoSpaceDE/>
        <w:autoSpaceDN/>
        <w:bidi w:val="0"/>
        <w:spacing w:line="460" w:lineRule="exact"/>
        <w:jc w:val="center"/>
        <w:textAlignment w:val="auto"/>
        <w:outlineLvl w:val="0"/>
        <w:rPr>
          <w:rFonts w:hint="eastAsia" w:ascii="楷体" w:hAnsi="楷体" w:eastAsia="楷体" w:cs="楷体"/>
          <w:sz w:val="32"/>
          <w:szCs w:val="32"/>
          <w:lang w:val="en-US" w:eastAsia="zh-CN"/>
        </w:rPr>
      </w:pPr>
      <w:bookmarkStart w:id="4" w:name="_Toc5395"/>
      <w:bookmarkStart w:id="5" w:name="_Toc7026"/>
      <w:r>
        <w:rPr>
          <w:rFonts w:hint="eastAsia" w:ascii="楷体" w:hAnsi="楷体" w:eastAsia="楷体" w:cs="楷体"/>
          <w:b/>
          <w:bCs/>
          <w:sz w:val="44"/>
          <w:szCs w:val="44"/>
        </w:rPr>
        <w:t>绩效评价报告</w:t>
      </w:r>
      <w:bookmarkEnd w:id="4"/>
      <w:bookmarkEnd w:id="5"/>
      <w:bookmarkStart w:id="6" w:name="_Toc51253436"/>
      <w:bookmarkStart w:id="7" w:name="_Toc51231052"/>
      <w:bookmarkStart w:id="8" w:name="_Toc51234292"/>
      <w:bookmarkStart w:id="9" w:name="_Toc13628"/>
    </w:p>
    <w:p>
      <w:pPr>
        <w:keepNext w:val="0"/>
        <w:keepLines w:val="0"/>
        <w:pageBreakBefore w:val="0"/>
        <w:widowControl w:val="0"/>
        <w:kinsoku/>
        <w:wordWrap/>
        <w:overflowPunct/>
        <w:topLinePunct w:val="0"/>
        <w:autoSpaceDE/>
        <w:autoSpaceDN/>
        <w:bidi w:val="0"/>
        <w:adjustRightInd w:val="0"/>
        <w:snapToGrid w:val="0"/>
        <w:spacing w:line="460" w:lineRule="exact"/>
        <w:ind w:firstLine="4560" w:firstLineChars="1900"/>
        <w:textAlignment w:val="auto"/>
        <w:rPr>
          <w:rFonts w:hint="eastAsia" w:ascii="楷体" w:hAnsi="楷体" w:eastAsia="楷体" w:cs="楷体"/>
          <w:sz w:val="24"/>
          <w:szCs w:val="24"/>
        </w:rPr>
      </w:pPr>
    </w:p>
    <w:p>
      <w:pPr>
        <w:keepNext w:val="0"/>
        <w:keepLines w:val="0"/>
        <w:pageBreakBefore w:val="0"/>
        <w:widowControl w:val="0"/>
        <w:kinsoku/>
        <w:wordWrap/>
        <w:overflowPunct/>
        <w:topLinePunct w:val="0"/>
        <w:autoSpaceDE/>
        <w:autoSpaceDN/>
        <w:bidi w:val="0"/>
        <w:adjustRightInd w:val="0"/>
        <w:snapToGrid w:val="0"/>
        <w:spacing w:line="460" w:lineRule="exact"/>
        <w:ind w:firstLine="4560" w:firstLineChars="1900"/>
        <w:textAlignment w:val="auto"/>
        <w:rPr>
          <w:rFonts w:hint="eastAsia" w:ascii="楷体" w:hAnsi="楷体" w:eastAsia="楷体" w:cs="楷体"/>
          <w:sz w:val="32"/>
          <w:szCs w:val="32"/>
        </w:rPr>
      </w:pPr>
      <w:r>
        <w:rPr>
          <w:rFonts w:hint="eastAsia" w:ascii="楷体" w:hAnsi="楷体" w:eastAsia="楷体" w:cs="楷体"/>
          <w:sz w:val="24"/>
          <w:szCs w:val="24"/>
        </w:rPr>
        <w:t>无中昌专审字【2023】第0</w:t>
      </w:r>
      <w:r>
        <w:rPr>
          <w:rFonts w:hint="eastAsia" w:ascii="楷体" w:hAnsi="楷体" w:eastAsia="楷体" w:cs="楷体"/>
          <w:sz w:val="24"/>
          <w:szCs w:val="24"/>
          <w:lang w:val="en-US" w:eastAsia="zh-CN"/>
        </w:rPr>
        <w:t>11</w:t>
      </w:r>
      <w:r>
        <w:rPr>
          <w:rFonts w:hint="eastAsia" w:ascii="楷体" w:hAnsi="楷体" w:eastAsia="楷体" w:cs="楷体"/>
          <w:sz w:val="24"/>
          <w:szCs w:val="24"/>
        </w:rPr>
        <w:t>号</w:t>
      </w:r>
    </w:p>
    <w:p>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楷体" w:hAnsi="楷体" w:eastAsia="楷体" w:cs="楷体"/>
          <w:sz w:val="32"/>
          <w:szCs w:val="32"/>
        </w:rPr>
      </w:pP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为全面检验财政资金使用绩效，考核资金预期绩效目标的实现程度、支出效率和综合效果，进一步提高财政支出的管理水平，</w:t>
      </w:r>
      <w:r>
        <w:rPr>
          <w:rFonts w:hint="eastAsia" w:ascii="楷体" w:hAnsi="楷体" w:eastAsia="楷体" w:cs="楷体"/>
          <w:sz w:val="32"/>
          <w:szCs w:val="32"/>
          <w:highlight w:val="none"/>
        </w:rPr>
        <w:t>无极县财政局根据《中华人民共和国预算法》、《中共中央国务院关于全面实施预算绩效管理的意见》（中发〔2018〕34号）、《石家庄市支出绩效评价办法》（石财绩〔2013〕2号）等有关规定，委托</w:t>
      </w:r>
      <w:r>
        <w:rPr>
          <w:rFonts w:hint="eastAsia" w:ascii="楷体" w:hAnsi="楷体" w:eastAsia="楷体" w:cs="楷体"/>
          <w:sz w:val="32"/>
          <w:szCs w:val="32"/>
          <w:highlight w:val="none"/>
          <w:lang w:eastAsia="zh-CN"/>
        </w:rPr>
        <w:t>无</w:t>
      </w:r>
      <w:r>
        <w:rPr>
          <w:rFonts w:hint="eastAsia" w:ascii="楷体" w:hAnsi="楷体" w:eastAsia="楷体" w:cs="楷体"/>
          <w:sz w:val="32"/>
          <w:szCs w:val="32"/>
          <w:lang w:eastAsia="zh-CN"/>
        </w:rPr>
        <w:t>极中昌会计师事务所有限责任公司</w:t>
      </w:r>
      <w:r>
        <w:rPr>
          <w:rFonts w:hint="eastAsia" w:ascii="楷体" w:hAnsi="楷体" w:eastAsia="楷体" w:cs="楷体"/>
          <w:sz w:val="32"/>
          <w:szCs w:val="32"/>
        </w:rPr>
        <w:t>组成评价组</w:t>
      </w:r>
      <w:r>
        <w:rPr>
          <w:rFonts w:hint="eastAsia" w:ascii="楷体" w:hAnsi="楷体" w:eastAsia="楷体" w:cs="楷体"/>
          <w:sz w:val="32"/>
          <w:szCs w:val="32"/>
          <w:lang w:eastAsia="zh-CN"/>
        </w:rPr>
        <w:t>，</w:t>
      </w:r>
      <w:bookmarkEnd w:id="6"/>
      <w:bookmarkEnd w:id="7"/>
      <w:bookmarkEnd w:id="8"/>
      <w:r>
        <w:rPr>
          <w:rFonts w:hint="eastAsia" w:ascii="楷体" w:hAnsi="楷体" w:eastAsia="楷体" w:cs="楷体"/>
          <w:sz w:val="32"/>
          <w:szCs w:val="32"/>
        </w:rPr>
        <w:t>于</w:t>
      </w:r>
      <w:r>
        <w:rPr>
          <w:rFonts w:hint="eastAsia" w:ascii="楷体" w:hAnsi="楷体" w:eastAsia="楷体" w:cs="楷体"/>
          <w:color w:val="auto"/>
          <w:sz w:val="32"/>
          <w:szCs w:val="32"/>
          <w:highlight w:val="none"/>
          <w:lang w:eastAsia="zh-CN"/>
        </w:rPr>
        <w:t>202</w:t>
      </w:r>
      <w:r>
        <w:rPr>
          <w:rFonts w:hint="eastAsia" w:ascii="楷体" w:hAnsi="楷体" w:eastAsia="楷体" w:cs="楷体"/>
          <w:color w:val="auto"/>
          <w:sz w:val="32"/>
          <w:szCs w:val="32"/>
          <w:highlight w:val="none"/>
          <w:lang w:val="en-US" w:eastAsia="zh-CN"/>
        </w:rPr>
        <w:t>3</w:t>
      </w:r>
      <w:r>
        <w:rPr>
          <w:rFonts w:hint="eastAsia" w:ascii="楷体" w:hAnsi="楷体" w:eastAsia="楷体" w:cs="楷体"/>
          <w:color w:val="auto"/>
          <w:sz w:val="32"/>
          <w:szCs w:val="32"/>
          <w:highlight w:val="none"/>
          <w:lang w:eastAsia="zh-CN"/>
        </w:rPr>
        <w:t>年</w:t>
      </w:r>
      <w:r>
        <w:rPr>
          <w:rFonts w:hint="eastAsia" w:ascii="楷体" w:hAnsi="楷体" w:eastAsia="楷体" w:cs="楷体"/>
          <w:color w:val="auto"/>
          <w:sz w:val="32"/>
          <w:szCs w:val="32"/>
          <w:highlight w:val="none"/>
          <w:lang w:val="en-US" w:eastAsia="zh-CN"/>
        </w:rPr>
        <w:t>12</w:t>
      </w:r>
      <w:r>
        <w:rPr>
          <w:rFonts w:hint="eastAsia" w:ascii="楷体" w:hAnsi="楷体" w:eastAsia="楷体" w:cs="楷体"/>
          <w:color w:val="auto"/>
          <w:sz w:val="32"/>
          <w:szCs w:val="32"/>
          <w:highlight w:val="none"/>
          <w:lang w:eastAsia="zh-CN"/>
        </w:rPr>
        <w:t>月</w:t>
      </w:r>
      <w:r>
        <w:rPr>
          <w:rFonts w:hint="eastAsia" w:ascii="楷体" w:hAnsi="楷体" w:eastAsia="楷体" w:cs="楷体"/>
          <w:color w:val="auto"/>
          <w:sz w:val="32"/>
          <w:szCs w:val="32"/>
          <w:highlight w:val="none"/>
          <w:lang w:val="en-US" w:eastAsia="zh-CN"/>
        </w:rPr>
        <w:t>5</w:t>
      </w:r>
      <w:r>
        <w:rPr>
          <w:rFonts w:hint="eastAsia" w:ascii="楷体" w:hAnsi="楷体" w:eastAsia="楷体" w:cs="楷体"/>
          <w:color w:val="auto"/>
          <w:sz w:val="32"/>
          <w:szCs w:val="32"/>
          <w:highlight w:val="none"/>
          <w:lang w:eastAsia="zh-CN"/>
        </w:rPr>
        <w:t>日至1</w:t>
      </w:r>
      <w:r>
        <w:rPr>
          <w:rFonts w:hint="eastAsia" w:ascii="楷体" w:hAnsi="楷体" w:eastAsia="楷体" w:cs="楷体"/>
          <w:color w:val="auto"/>
          <w:sz w:val="32"/>
          <w:szCs w:val="32"/>
          <w:highlight w:val="none"/>
          <w:lang w:val="en-US" w:eastAsia="zh-CN"/>
        </w:rPr>
        <w:t>2</w:t>
      </w:r>
      <w:r>
        <w:rPr>
          <w:rFonts w:hint="eastAsia" w:ascii="楷体" w:hAnsi="楷体" w:eastAsia="楷体" w:cs="楷体"/>
          <w:color w:val="auto"/>
          <w:sz w:val="32"/>
          <w:szCs w:val="32"/>
          <w:highlight w:val="none"/>
          <w:lang w:eastAsia="zh-CN"/>
        </w:rPr>
        <w:t>月</w:t>
      </w:r>
      <w:r>
        <w:rPr>
          <w:rFonts w:hint="eastAsia" w:ascii="楷体" w:hAnsi="楷体" w:eastAsia="楷体" w:cs="楷体"/>
          <w:color w:val="auto"/>
          <w:sz w:val="32"/>
          <w:szCs w:val="32"/>
          <w:highlight w:val="none"/>
          <w:lang w:val="en-US" w:eastAsia="zh-CN"/>
        </w:rPr>
        <w:t>12</w:t>
      </w:r>
      <w:r>
        <w:rPr>
          <w:rFonts w:hint="eastAsia" w:ascii="楷体" w:hAnsi="楷体" w:eastAsia="楷体" w:cs="楷体"/>
          <w:color w:val="auto"/>
          <w:sz w:val="32"/>
          <w:szCs w:val="32"/>
          <w:lang w:eastAsia="zh-CN"/>
        </w:rPr>
        <w:t>日</w:t>
      </w:r>
      <w:r>
        <w:rPr>
          <w:rFonts w:hint="eastAsia" w:ascii="楷体" w:hAnsi="楷体" w:eastAsia="楷体" w:cs="楷体"/>
          <w:color w:val="auto"/>
          <w:sz w:val="32"/>
          <w:szCs w:val="32"/>
        </w:rPr>
        <w:t>对</w:t>
      </w:r>
      <w:r>
        <w:rPr>
          <w:rFonts w:hint="eastAsia" w:ascii="楷体" w:hAnsi="楷体" w:eastAsia="楷体" w:cs="楷体"/>
          <w:color w:val="auto"/>
          <w:sz w:val="32"/>
          <w:szCs w:val="32"/>
          <w:lang w:eastAsia="zh-CN"/>
        </w:rPr>
        <w:t>滹沱河河道内村庄防洪整治工程项目</w:t>
      </w:r>
      <w:r>
        <w:rPr>
          <w:rFonts w:hint="eastAsia" w:ascii="楷体" w:hAnsi="楷体" w:eastAsia="楷体" w:cs="楷体"/>
          <w:sz w:val="32"/>
          <w:szCs w:val="32"/>
        </w:rPr>
        <w:t>进行绩效</w:t>
      </w:r>
      <w:r>
        <w:rPr>
          <w:rFonts w:hint="eastAsia" w:ascii="楷体" w:hAnsi="楷体" w:eastAsia="楷体" w:cs="楷体"/>
          <w:sz w:val="32"/>
          <w:szCs w:val="32"/>
          <w:lang w:eastAsia="zh-CN"/>
        </w:rPr>
        <w:t>评价，具体情况如下：</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0"/>
        <w:rPr>
          <w:rFonts w:hint="eastAsia" w:ascii="楷体" w:hAnsi="楷体" w:eastAsia="楷体" w:cs="楷体"/>
          <w:sz w:val="32"/>
          <w:szCs w:val="36"/>
        </w:rPr>
      </w:pPr>
      <w:bookmarkStart w:id="10" w:name="_Toc27042"/>
      <w:bookmarkStart w:id="11" w:name="_Toc14395"/>
      <w:bookmarkStart w:id="12" w:name="_Toc29224"/>
      <w:r>
        <w:rPr>
          <w:rFonts w:hint="eastAsia" w:ascii="楷体" w:hAnsi="楷体" w:eastAsia="楷体" w:cs="楷体"/>
          <w:sz w:val="32"/>
          <w:szCs w:val="36"/>
          <w:lang w:eastAsia="zh-CN"/>
        </w:rPr>
        <w:t>一、</w:t>
      </w:r>
      <w:r>
        <w:rPr>
          <w:rFonts w:hint="eastAsia" w:ascii="楷体" w:hAnsi="楷体" w:eastAsia="楷体" w:cs="楷体"/>
          <w:sz w:val="32"/>
          <w:szCs w:val="36"/>
        </w:rPr>
        <w:t>基本情况</w:t>
      </w:r>
      <w:bookmarkEnd w:id="9"/>
      <w:bookmarkEnd w:id="10"/>
      <w:bookmarkEnd w:id="11"/>
      <w:bookmarkEnd w:id="12"/>
    </w:p>
    <w:p>
      <w:pPr>
        <w:keepNext w:val="0"/>
        <w:keepLines w:val="0"/>
        <w:pageBreakBefore w:val="0"/>
        <w:widowControl w:val="0"/>
        <w:kinsoku/>
        <w:wordWrap/>
        <w:overflowPunct/>
        <w:topLinePunct w:val="0"/>
        <w:autoSpaceDE/>
        <w:autoSpaceDN/>
        <w:bidi w:val="0"/>
        <w:adjustRightInd/>
        <w:snapToGrid w:val="0"/>
        <w:spacing w:line="360" w:lineRule="auto"/>
        <w:ind w:left="641"/>
        <w:textAlignment w:val="auto"/>
        <w:outlineLvl w:val="1"/>
        <w:rPr>
          <w:rFonts w:hint="eastAsia" w:ascii="楷体" w:hAnsi="楷体" w:eastAsia="楷体" w:cs="楷体"/>
        </w:rPr>
      </w:pPr>
      <w:bookmarkStart w:id="13" w:name="_Toc11392"/>
      <w:r>
        <w:rPr>
          <w:rFonts w:hint="eastAsia" w:ascii="楷体" w:hAnsi="楷体" w:eastAsia="楷体" w:cs="楷体"/>
          <w:b/>
          <w:sz w:val="32"/>
          <w:szCs w:val="32"/>
          <w:highlight w:val="none"/>
        </w:rPr>
        <w:t>1.项目内容</w:t>
      </w:r>
      <w:bookmarkEnd w:id="13"/>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楷体" w:hAnsi="楷体" w:eastAsia="楷体" w:cs="楷体"/>
          <w:color w:val="auto"/>
          <w:sz w:val="32"/>
          <w:szCs w:val="32"/>
          <w:highlight w:val="none"/>
          <w:shd w:val="clear" w:color="FFFFFF" w:fill="D9D9D9"/>
          <w:lang w:val="en-US" w:eastAsia="zh-CN"/>
        </w:rPr>
      </w:pPr>
      <w:bookmarkStart w:id="14" w:name="_Toc51234294"/>
      <w:bookmarkStart w:id="15" w:name="_Toc51253438"/>
      <w:bookmarkStart w:id="16" w:name="_Toc32651"/>
      <w:bookmarkStart w:id="17" w:name="_Toc51231054"/>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滹沱河河道内村庄防洪整治工程项目</w:t>
      </w:r>
      <w:r>
        <w:rPr>
          <w:rFonts w:hint="eastAsia" w:ascii="楷体" w:hAnsi="楷体" w:eastAsia="楷体" w:cs="楷体"/>
          <w:sz w:val="32"/>
          <w:szCs w:val="32"/>
          <w:lang w:eastAsia="zh-CN"/>
        </w:rPr>
        <w:t>”是根据</w:t>
      </w:r>
      <w:r>
        <w:rPr>
          <w:rFonts w:hint="eastAsia" w:ascii="楷体" w:hAnsi="楷体" w:eastAsia="楷体" w:cs="楷体"/>
          <w:sz w:val="32"/>
          <w:szCs w:val="32"/>
          <w:highlight w:val="none"/>
          <w:lang w:val="en-US" w:eastAsia="zh-CN"/>
        </w:rPr>
        <w:t>《河北省河道内村庄防洪整治实施方案》，按照《滹沱河防洪整治工程规划（机场路至献县枢纽段）》</w:t>
      </w:r>
      <w:r>
        <w:rPr>
          <w:rFonts w:hint="eastAsia" w:ascii="楷体" w:hAnsi="楷体" w:eastAsia="楷体" w:cs="楷体"/>
          <w:sz w:val="32"/>
          <w:szCs w:val="32"/>
          <w:highlight w:val="none"/>
          <w:lang w:eastAsia="zh-CN"/>
        </w:rPr>
        <w:t>、无极县行政审批局《关于滹沱河河道内村庄防洪整治工程可行性研究报告的批复》（无行审审字</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2020</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28号）、《关于滹沱河河道内村庄防洪整治工程土料场设计变更的批复》</w:t>
      </w:r>
      <w:r>
        <w:rPr>
          <w:rFonts w:hint="eastAsia" w:ascii="楷体" w:hAnsi="楷体" w:eastAsia="楷体" w:cs="楷体"/>
          <w:sz w:val="32"/>
          <w:szCs w:val="32"/>
          <w:highlight w:val="none"/>
          <w:lang w:eastAsia="zh-CN"/>
        </w:rPr>
        <w:t>文件</w:t>
      </w:r>
      <w:r>
        <w:rPr>
          <w:rFonts w:hint="eastAsia" w:ascii="楷体" w:hAnsi="楷体" w:eastAsia="楷体" w:cs="楷体"/>
          <w:sz w:val="32"/>
          <w:szCs w:val="32"/>
          <w:lang w:eastAsia="zh-CN"/>
        </w:rPr>
        <w:t>的规定，主要建设内容及规模：堤防长度</w:t>
      </w:r>
      <w:r>
        <w:rPr>
          <w:rFonts w:hint="eastAsia" w:ascii="楷体" w:hAnsi="楷体" w:eastAsia="楷体" w:cs="楷体"/>
          <w:sz w:val="32"/>
          <w:szCs w:val="32"/>
          <w:lang w:val="en-US" w:eastAsia="zh-CN"/>
        </w:rPr>
        <w:t>13.221km，其中新建堤防10.571km,加高培厚堤防2.65km；跨堤乡村道路改建40处；堤顶路面硬化13.221km；堤防防护工程26.442km（临水侧堤坡防护13.221km，背水侧堤坡脚反滤防护13.221km）。项目建设地址：滹沱河左岸无极县定魏线至西汉村。项目概算总投资46472.36万元。2022年度财政</w:t>
      </w:r>
      <w:r>
        <w:rPr>
          <w:rFonts w:hint="eastAsia" w:ascii="楷体" w:hAnsi="楷体" w:eastAsia="楷体" w:cs="楷体"/>
          <w:sz w:val="32"/>
          <w:szCs w:val="32"/>
          <w:highlight w:val="none"/>
          <w:lang w:val="en-US" w:eastAsia="zh-CN"/>
        </w:rPr>
        <w:t>下拨资金共计46775474.9元，</w:t>
      </w:r>
      <w:r>
        <w:rPr>
          <w:rFonts w:hint="eastAsia" w:ascii="楷体" w:hAnsi="楷体" w:eastAsia="楷体" w:cs="楷体"/>
          <w:color w:val="auto"/>
          <w:sz w:val="32"/>
          <w:szCs w:val="32"/>
          <w:highlight w:val="none"/>
          <w:lang w:val="en-US" w:eastAsia="zh-CN"/>
        </w:rPr>
        <w:t>2022年度实际支出资金42800525.1元。</w:t>
      </w:r>
    </w:p>
    <w:p>
      <w:pPr>
        <w:keepNext w:val="0"/>
        <w:keepLines w:val="0"/>
        <w:pageBreakBefore w:val="0"/>
        <w:widowControl w:val="0"/>
        <w:kinsoku/>
        <w:wordWrap/>
        <w:overflowPunct/>
        <w:topLinePunct w:val="0"/>
        <w:autoSpaceDE/>
        <w:autoSpaceDN/>
        <w:bidi w:val="0"/>
        <w:adjustRightInd/>
        <w:snapToGrid w:val="0"/>
        <w:spacing w:line="360" w:lineRule="auto"/>
        <w:ind w:left="641"/>
        <w:textAlignment w:val="auto"/>
        <w:outlineLvl w:val="1"/>
        <w:rPr>
          <w:rFonts w:hint="eastAsia" w:ascii="楷体" w:hAnsi="楷体" w:eastAsia="楷体" w:cs="楷体"/>
          <w:lang w:val="en-US" w:eastAsia="zh-CN"/>
        </w:rPr>
      </w:pPr>
      <w:bookmarkStart w:id="18" w:name="_Toc12537"/>
      <w:r>
        <w:rPr>
          <w:rFonts w:hint="eastAsia" w:ascii="楷体" w:hAnsi="楷体" w:eastAsia="楷体" w:cs="楷体"/>
          <w:b/>
          <w:sz w:val="32"/>
          <w:szCs w:val="32"/>
          <w:highlight w:val="none"/>
        </w:rPr>
        <w:t>2.项目建设情况</w:t>
      </w:r>
      <w:bookmarkEnd w:id="18"/>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工程于2020年7月开工建设。堤防总长度13.2千米，目前已完成堤身土方填筑工程约12.2千米，其中今年已完成约0.9千米，剩0.9千米。已完成堤防防护工程(铺设石笼)22 千米，今年完成铺设3.2千米，剩4.4千米。排水沟砌筑共330道，今年已完成215道，混凝土排水口共计330道，今年已完成170道。今年已完成级配碎石底基层8.9公里，水稳上、下基层8.9公里。水稳保护层覆土共计8.9公里，今年已完成3公里。路缘石施工今年累计完成7.2公里，路缘石靠背 7.2公里。</w:t>
      </w:r>
    </w:p>
    <w:p>
      <w:pPr>
        <w:pStyle w:val="3"/>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43" w:firstLineChars="200"/>
        <w:textAlignment w:val="auto"/>
        <w:outlineLvl w:val="1"/>
        <w:rPr>
          <w:rFonts w:hint="eastAsia" w:ascii="楷体" w:hAnsi="楷体" w:eastAsia="楷体" w:cs="楷体"/>
          <w:b/>
          <w:kern w:val="2"/>
          <w:sz w:val="32"/>
          <w:szCs w:val="32"/>
          <w:highlight w:val="none"/>
          <w:lang w:val="en-US" w:eastAsia="zh-CN" w:bidi="ar-SA"/>
        </w:rPr>
      </w:pPr>
      <w:bookmarkStart w:id="19" w:name="_Toc22532"/>
      <w:r>
        <w:rPr>
          <w:rFonts w:hint="eastAsia" w:ascii="楷体" w:hAnsi="楷体" w:eastAsia="楷体" w:cs="楷体"/>
          <w:b/>
          <w:kern w:val="2"/>
          <w:sz w:val="32"/>
          <w:szCs w:val="32"/>
          <w:highlight w:val="none"/>
          <w:lang w:val="en-US" w:eastAsia="zh-CN" w:bidi="ar-SA"/>
        </w:rPr>
        <w:t>3.资金使用情况</w:t>
      </w:r>
      <w:bookmarkEnd w:id="19"/>
    </w:p>
    <w:p>
      <w:pPr>
        <w:pStyle w:val="3"/>
        <w:keepNext w:val="0"/>
        <w:keepLines w:val="0"/>
        <w:pageBreakBefore w:val="0"/>
        <w:widowControl w:val="0"/>
        <w:numPr>
          <w:ilvl w:val="0"/>
          <w:numId w:val="0"/>
        </w:numPr>
        <w:kinsoku/>
        <w:wordWrap/>
        <w:overflowPunct/>
        <w:topLinePunct w:val="0"/>
        <w:autoSpaceDE/>
        <w:autoSpaceDN/>
        <w:bidi w:val="0"/>
        <w:snapToGrid w:val="0"/>
        <w:spacing w:line="360" w:lineRule="auto"/>
        <w:ind w:firstLine="640" w:firstLineChars="200"/>
        <w:textAlignment w:val="auto"/>
        <w:rPr>
          <w:rFonts w:hint="eastAsia" w:ascii="楷体" w:hAnsi="楷体" w:eastAsia="楷体" w:cs="楷体"/>
          <w:kern w:val="2"/>
          <w:sz w:val="32"/>
          <w:szCs w:val="32"/>
          <w:highlight w:val="none"/>
          <w:lang w:val="en-US" w:eastAsia="zh-CN" w:bidi="ar-SA"/>
        </w:rPr>
      </w:pPr>
      <w:r>
        <w:rPr>
          <w:rFonts w:hint="eastAsia" w:ascii="楷体" w:hAnsi="楷体" w:eastAsia="楷体" w:cs="楷体"/>
          <w:kern w:val="2"/>
          <w:sz w:val="32"/>
          <w:szCs w:val="32"/>
          <w:lang w:val="en-US" w:eastAsia="zh-CN" w:bidi="ar-SA"/>
        </w:rPr>
        <w:t>滹沱河河道内村庄防洪整治工程项目截止到</w:t>
      </w:r>
      <w:r>
        <w:rPr>
          <w:rFonts w:hint="eastAsia" w:ascii="楷体" w:hAnsi="楷体" w:eastAsia="楷体" w:cs="楷体"/>
          <w:color w:val="auto"/>
          <w:kern w:val="2"/>
          <w:sz w:val="32"/>
          <w:szCs w:val="32"/>
          <w:highlight w:val="none"/>
          <w:lang w:val="en-US" w:eastAsia="zh-CN" w:bidi="ar-SA"/>
        </w:rPr>
        <w:t>评价日2023年12月12日，共</w:t>
      </w:r>
      <w:r>
        <w:rPr>
          <w:rFonts w:hint="eastAsia" w:ascii="楷体" w:hAnsi="楷体" w:eastAsia="楷体" w:cs="楷体"/>
          <w:kern w:val="2"/>
          <w:sz w:val="32"/>
          <w:szCs w:val="32"/>
          <w:highlight w:val="none"/>
          <w:lang w:val="en-US" w:eastAsia="zh-CN" w:bidi="ar-SA"/>
        </w:rPr>
        <w:t>支出金额42800525.1元。具体明细见下表：</w:t>
      </w:r>
    </w:p>
    <w:tbl>
      <w:tblPr>
        <w:tblStyle w:val="11"/>
        <w:tblW w:w="8308" w:type="dxa"/>
        <w:tblInd w:w="0" w:type="dxa"/>
        <w:shd w:val="clear" w:color="auto" w:fill="auto"/>
        <w:tblLayout w:type="fixed"/>
        <w:tblCellMar>
          <w:top w:w="0" w:type="dxa"/>
          <w:left w:w="0" w:type="dxa"/>
          <w:bottom w:w="0" w:type="dxa"/>
          <w:right w:w="0" w:type="dxa"/>
        </w:tblCellMar>
      </w:tblPr>
      <w:tblGrid>
        <w:gridCol w:w="714"/>
        <w:gridCol w:w="2254"/>
        <w:gridCol w:w="2464"/>
        <w:gridCol w:w="1661"/>
        <w:gridCol w:w="1215"/>
      </w:tblGrid>
      <w:tr>
        <w:tblPrEx>
          <w:shd w:val="clear" w:color="auto" w:fill="auto"/>
          <w:tblCellMar>
            <w:top w:w="0" w:type="dxa"/>
            <w:left w:w="0" w:type="dxa"/>
            <w:bottom w:w="0" w:type="dxa"/>
            <w:right w:w="0" w:type="dxa"/>
          </w:tblCellMar>
        </w:tblPrEx>
        <w:trPr>
          <w:trHeight w:val="707"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bookmarkStart w:id="20" w:name="OLE_LINK3"/>
            <w:r>
              <w:rPr>
                <w:rFonts w:hint="eastAsia" w:ascii="楷体" w:hAnsi="楷体" w:eastAsia="楷体" w:cs="楷体"/>
                <w:i w:val="0"/>
                <w:color w:val="000000"/>
                <w:kern w:val="0"/>
                <w:sz w:val="20"/>
                <w:szCs w:val="20"/>
                <w:u w:val="none"/>
                <w:lang w:val="en-US" w:eastAsia="zh-CN" w:bidi="ar"/>
              </w:rPr>
              <w:t>序号</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20"/>
                <w:szCs w:val="20"/>
                <w:u w:val="none"/>
                <w:lang w:eastAsia="zh-CN"/>
              </w:rPr>
              <w:t>名称</w:t>
            </w:r>
          </w:p>
        </w:tc>
        <w:tc>
          <w:tcPr>
            <w:tcW w:w="2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20"/>
                <w:szCs w:val="20"/>
                <w:u w:val="none"/>
                <w:lang w:eastAsia="zh-CN"/>
              </w:rPr>
              <w:t>摘要</w:t>
            </w:r>
          </w:p>
        </w:tc>
        <w:tc>
          <w:tcPr>
            <w:tcW w:w="16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20"/>
                <w:szCs w:val="20"/>
                <w:u w:val="none"/>
                <w:lang w:eastAsia="zh-CN"/>
              </w:rPr>
              <w:t>支付金额</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备注</w:t>
            </w: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u w:val="none"/>
              </w:rPr>
            </w:pPr>
            <w:bookmarkStart w:id="21" w:name="OLE_LINK1" w:colFirst="2" w:colLast="4"/>
            <w:r>
              <w:rPr>
                <w:rFonts w:hint="eastAsia" w:ascii="楷体" w:hAnsi="楷体" w:eastAsia="楷体" w:cs="楷体"/>
                <w:i w:val="0"/>
                <w:color w:val="000000"/>
                <w:kern w:val="0"/>
                <w:sz w:val="18"/>
                <w:szCs w:val="18"/>
                <w:u w:val="none"/>
                <w:lang w:val="en-US" w:eastAsia="zh-CN" w:bidi="ar"/>
              </w:rPr>
              <w:t>1</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u w:val="none"/>
                <w:lang w:eastAsia="zh-CN"/>
              </w:rPr>
            </w:pPr>
            <w:r>
              <w:rPr>
                <w:rStyle w:val="18"/>
                <w:lang w:val="en-US" w:eastAsia="zh-CN" w:bidi="ar"/>
              </w:rPr>
              <w:t>占地补偿款</w:t>
            </w:r>
          </w:p>
        </w:tc>
        <w:tc>
          <w:tcPr>
            <w:tcW w:w="2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highlight w:val="none"/>
                <w:u w:val="none"/>
                <w:lang w:val="en-US" w:eastAsia="zh-CN" w:bidi="ar"/>
              </w:rPr>
            </w:pPr>
            <w:r>
              <w:rPr>
                <w:rStyle w:val="18"/>
                <w:lang w:val="en-US" w:eastAsia="zh-CN" w:bidi="ar"/>
              </w:rPr>
              <w:t>20年21年占地补偿款</w:t>
            </w:r>
          </w:p>
        </w:tc>
        <w:tc>
          <w:tcPr>
            <w:tcW w:w="16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4247948.1</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highlight w:val="none"/>
                <w:u w:val="none"/>
                <w:lang w:eastAsia="zh-CN"/>
              </w:rPr>
            </w:pP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kern w:val="0"/>
                <w:sz w:val="18"/>
                <w:szCs w:val="18"/>
                <w:u w:val="none"/>
                <w:lang w:val="en-US" w:eastAsia="zh-CN" w:bidi="ar"/>
              </w:rPr>
              <w:t>2</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u w:val="none"/>
                <w:lang w:eastAsia="zh-CN"/>
              </w:rPr>
            </w:pPr>
            <w:r>
              <w:rPr>
                <w:rStyle w:val="18"/>
                <w:lang w:val="en-US" w:eastAsia="zh-CN" w:bidi="ar"/>
              </w:rPr>
              <w:t>工程款</w:t>
            </w:r>
          </w:p>
        </w:tc>
        <w:tc>
          <w:tcPr>
            <w:tcW w:w="2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Style w:val="18"/>
                <w:lang w:val="en-US" w:eastAsia="zh-CN" w:bidi="ar"/>
              </w:rPr>
              <w:t>河道防护工程</w:t>
            </w:r>
          </w:p>
        </w:tc>
        <w:tc>
          <w:tcPr>
            <w:tcW w:w="16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38550000</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highlight w:val="none"/>
                <w:u w:val="none"/>
              </w:rPr>
            </w:pPr>
          </w:p>
        </w:tc>
      </w:tr>
      <w:tr>
        <w:tblPrEx>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3</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u w:val="none"/>
                <w:lang w:eastAsia="zh-CN"/>
              </w:rPr>
            </w:pPr>
            <w:r>
              <w:rPr>
                <w:rStyle w:val="18"/>
                <w:lang w:val="en-US" w:eastAsia="zh-CN" w:bidi="ar"/>
              </w:rPr>
              <w:t>青苗补偿款</w:t>
            </w:r>
          </w:p>
        </w:tc>
        <w:tc>
          <w:tcPr>
            <w:tcW w:w="2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Style w:val="18"/>
                <w:lang w:val="en-US" w:eastAsia="zh-CN" w:bidi="ar"/>
              </w:rPr>
              <w:t>张段固镇防洪大堤青苗补偿款</w:t>
            </w:r>
          </w:p>
        </w:tc>
        <w:tc>
          <w:tcPr>
            <w:tcW w:w="16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2577</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highlight w:val="none"/>
                <w:u w:val="none"/>
              </w:rPr>
            </w:pPr>
          </w:p>
        </w:tc>
      </w:tr>
      <w:tr>
        <w:tblPrEx>
          <w:tblCellMar>
            <w:top w:w="0" w:type="dxa"/>
            <w:left w:w="0" w:type="dxa"/>
            <w:bottom w:w="0" w:type="dxa"/>
            <w:right w:w="0" w:type="dxa"/>
          </w:tblCellMar>
        </w:tblPrEx>
        <w:trPr>
          <w:trHeight w:val="438"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2"/>
                <w:szCs w:val="22"/>
                <w:u w:val="none"/>
              </w:rPr>
            </w:pPr>
            <w:r>
              <w:rPr>
                <w:rFonts w:hint="eastAsia" w:ascii="楷体" w:hAnsi="楷体" w:eastAsia="楷体" w:cs="楷体"/>
                <w:i w:val="0"/>
                <w:color w:val="000000"/>
                <w:kern w:val="0"/>
                <w:sz w:val="18"/>
                <w:szCs w:val="18"/>
                <w:u w:val="none"/>
                <w:lang w:val="en-US" w:eastAsia="zh-CN" w:bidi="ar"/>
              </w:rPr>
              <w:t>合计</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u w:val="none"/>
              </w:rPr>
            </w:pPr>
          </w:p>
        </w:tc>
        <w:tc>
          <w:tcPr>
            <w:tcW w:w="2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p>
        </w:tc>
        <w:tc>
          <w:tcPr>
            <w:tcW w:w="16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42800525.1</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highlight w:val="yellow"/>
                <w:u w:val="none"/>
              </w:rPr>
            </w:pPr>
          </w:p>
        </w:tc>
      </w:tr>
      <w:bookmarkEnd w:id="20"/>
      <w:bookmarkEnd w:id="21"/>
    </w:tbl>
    <w:p>
      <w:pPr>
        <w:pStyle w:val="3"/>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40" w:firstLineChars="200"/>
        <w:textAlignment w:val="auto"/>
        <w:rPr>
          <w:rFonts w:hint="eastAsia" w:ascii="楷体" w:hAnsi="楷体" w:eastAsia="楷体" w:cs="楷体"/>
          <w:color w:val="auto"/>
          <w:sz w:val="32"/>
          <w:szCs w:val="32"/>
          <w:highlight w:val="none"/>
          <w:lang w:val="en-US" w:eastAsia="zh-CN"/>
        </w:rPr>
      </w:pPr>
    </w:p>
    <w:p>
      <w:pPr>
        <w:pStyle w:val="3"/>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40" w:firstLineChars="200"/>
        <w:textAlignment w:val="auto"/>
        <w:rPr>
          <w:rFonts w:hint="eastAsia" w:ascii="楷体" w:hAnsi="楷体" w:eastAsia="楷体" w:cs="楷体"/>
          <w:color w:val="auto"/>
          <w:sz w:val="32"/>
          <w:szCs w:val="32"/>
          <w:highlight w:val="none"/>
          <w:lang w:val="en-US" w:eastAsia="zh-CN"/>
        </w:rPr>
      </w:pPr>
      <w:r>
        <w:rPr>
          <w:rFonts w:hint="eastAsia" w:ascii="楷体" w:hAnsi="楷体" w:eastAsia="楷体" w:cs="楷体"/>
          <w:color w:val="auto"/>
          <w:sz w:val="32"/>
          <w:szCs w:val="32"/>
          <w:highlight w:val="none"/>
          <w:lang w:val="en-US" w:eastAsia="zh-CN"/>
        </w:rPr>
        <w:t>本次评价</w:t>
      </w:r>
      <w:r>
        <w:rPr>
          <w:rFonts w:hint="eastAsia" w:ascii="楷体" w:hAnsi="楷体" w:eastAsia="楷体" w:cs="楷体"/>
          <w:kern w:val="2"/>
          <w:sz w:val="32"/>
          <w:szCs w:val="32"/>
          <w:lang w:val="en-US" w:eastAsia="zh-CN" w:bidi="ar-SA"/>
        </w:rPr>
        <w:t>滹沱河河道内村庄防洪整治工程项目</w:t>
      </w:r>
      <w:r>
        <w:rPr>
          <w:rFonts w:hint="eastAsia" w:ascii="楷体" w:hAnsi="楷体" w:eastAsia="楷体" w:cs="楷体"/>
          <w:color w:val="auto"/>
          <w:sz w:val="32"/>
          <w:szCs w:val="32"/>
          <w:highlight w:val="none"/>
          <w:lang w:val="en-US" w:eastAsia="zh-CN"/>
        </w:rPr>
        <w:t>，财政资金投资金额为46775474.9元，占财政总投资金额的100.00%，支出金额为</w:t>
      </w:r>
      <w:r>
        <w:rPr>
          <w:rFonts w:hint="eastAsia" w:ascii="楷体" w:hAnsi="楷体" w:eastAsia="楷体" w:cs="楷体"/>
          <w:kern w:val="2"/>
          <w:sz w:val="32"/>
          <w:szCs w:val="32"/>
          <w:highlight w:val="none"/>
          <w:lang w:val="en-US" w:eastAsia="zh-CN" w:bidi="ar-SA"/>
        </w:rPr>
        <w:t>42800525.1</w:t>
      </w:r>
      <w:r>
        <w:rPr>
          <w:rFonts w:hint="eastAsia" w:ascii="楷体" w:hAnsi="楷体" w:eastAsia="楷体" w:cs="楷体"/>
          <w:color w:val="auto"/>
          <w:sz w:val="32"/>
          <w:szCs w:val="32"/>
          <w:highlight w:val="none"/>
          <w:lang w:val="en-US" w:eastAsia="zh-CN"/>
        </w:rPr>
        <w:t>元，占总支出金额的91.5%。</w:t>
      </w:r>
    </w:p>
    <w:tbl>
      <w:tblPr>
        <w:tblStyle w:val="11"/>
        <w:tblpPr w:leftFromText="180" w:rightFromText="180" w:vertAnchor="text" w:horzAnchor="page" w:tblpX="1481" w:tblpY="496"/>
        <w:tblOverlap w:val="never"/>
        <w:tblW w:w="8847" w:type="dxa"/>
        <w:tblInd w:w="0" w:type="dxa"/>
        <w:shd w:val="clear" w:color="auto" w:fill="auto"/>
        <w:tblLayout w:type="fixed"/>
        <w:tblCellMar>
          <w:top w:w="0" w:type="dxa"/>
          <w:left w:w="0" w:type="dxa"/>
          <w:bottom w:w="0" w:type="dxa"/>
          <w:right w:w="0" w:type="dxa"/>
        </w:tblCellMar>
      </w:tblPr>
      <w:tblGrid>
        <w:gridCol w:w="514"/>
        <w:gridCol w:w="1928"/>
        <w:gridCol w:w="1821"/>
        <w:gridCol w:w="2529"/>
        <w:gridCol w:w="2055"/>
      </w:tblGrid>
      <w:tr>
        <w:tblPrEx>
          <w:shd w:val="clear" w:color="auto" w:fill="auto"/>
          <w:tblCellMar>
            <w:top w:w="0" w:type="dxa"/>
            <w:left w:w="0" w:type="dxa"/>
            <w:bottom w:w="0" w:type="dxa"/>
            <w:right w:w="0" w:type="dxa"/>
          </w:tblCellMar>
        </w:tblPrEx>
        <w:trPr>
          <w:trHeight w:val="479" w:hRule="atLeast"/>
        </w:trPr>
        <w:tc>
          <w:tcPr>
            <w:tcW w:w="884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b/>
                <w:i w:val="0"/>
                <w:color w:val="000000"/>
                <w:kern w:val="0"/>
                <w:sz w:val="32"/>
                <w:szCs w:val="32"/>
                <w:u w:val="none"/>
                <w:lang w:val="en-US" w:eastAsia="zh-CN" w:bidi="ar"/>
              </w:rPr>
            </w:pPr>
            <w:r>
              <w:rPr>
                <w:rFonts w:hint="eastAsia" w:ascii="楷体" w:hAnsi="楷体" w:eastAsia="楷体" w:cs="楷体"/>
                <w:b/>
                <w:i w:val="0"/>
                <w:color w:val="000000"/>
                <w:kern w:val="0"/>
                <w:sz w:val="32"/>
                <w:szCs w:val="32"/>
                <w:u w:val="none"/>
                <w:lang w:val="en-US" w:eastAsia="zh-CN" w:bidi="ar"/>
              </w:rPr>
              <w:t>滹沱河河道内村庄防洪整治工程项目</w:t>
            </w:r>
          </w:p>
        </w:tc>
      </w:tr>
      <w:tr>
        <w:tblPrEx>
          <w:tblCellMar>
            <w:top w:w="0" w:type="dxa"/>
            <w:left w:w="0" w:type="dxa"/>
            <w:bottom w:w="0" w:type="dxa"/>
            <w:right w:w="0" w:type="dxa"/>
          </w:tblCellMar>
        </w:tblPrEx>
        <w:trPr>
          <w:trHeight w:val="452"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序号</w:t>
            </w:r>
          </w:p>
        </w:tc>
        <w:tc>
          <w:tcPr>
            <w:tcW w:w="1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实施单位</w:t>
            </w:r>
          </w:p>
        </w:tc>
        <w:tc>
          <w:tcPr>
            <w:tcW w:w="18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2022年拨付资金额</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2022年支付资金额</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占总支出金额的比例</w:t>
            </w:r>
          </w:p>
        </w:tc>
      </w:tr>
      <w:tr>
        <w:tblPrEx>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1</w:t>
            </w:r>
          </w:p>
        </w:tc>
        <w:tc>
          <w:tcPr>
            <w:tcW w:w="1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sz w:val="18"/>
                <w:szCs w:val="18"/>
                <w:u w:val="none"/>
                <w:lang w:val="en-US" w:eastAsia="zh-CN"/>
              </w:rPr>
              <w:t>滹沱河河道内村庄防洪整治工程项目</w:t>
            </w:r>
          </w:p>
        </w:tc>
        <w:tc>
          <w:tcPr>
            <w:tcW w:w="18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sz w:val="18"/>
                <w:szCs w:val="18"/>
                <w:u w:val="none"/>
                <w:lang w:val="en-US" w:eastAsia="zh-CN"/>
              </w:rPr>
              <w:t>46775474.9</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color w:val="000000"/>
                <w:sz w:val="18"/>
                <w:szCs w:val="18"/>
                <w:u w:val="none"/>
                <w:lang w:val="en-US" w:eastAsia="zh-CN"/>
              </w:rPr>
              <w:t>42800525.1</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91.5%</w:t>
            </w:r>
          </w:p>
        </w:tc>
      </w:tr>
      <w:tr>
        <w:tblPrEx>
          <w:tblCellMar>
            <w:top w:w="0" w:type="dxa"/>
            <w:left w:w="0" w:type="dxa"/>
            <w:bottom w:w="0" w:type="dxa"/>
            <w:right w:w="0" w:type="dxa"/>
          </w:tblCellMar>
        </w:tblPrEx>
        <w:trPr>
          <w:trHeight w:val="702"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合计</w:t>
            </w:r>
          </w:p>
        </w:tc>
        <w:tc>
          <w:tcPr>
            <w:tcW w:w="1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u w:val="none"/>
                <w:lang w:val="en-US" w:eastAsia="zh-CN" w:bidi="ar"/>
              </w:rPr>
            </w:pPr>
          </w:p>
        </w:tc>
        <w:tc>
          <w:tcPr>
            <w:tcW w:w="18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sz w:val="18"/>
                <w:szCs w:val="18"/>
                <w:u w:val="none"/>
                <w:lang w:val="en-US" w:eastAsia="zh-CN"/>
              </w:rPr>
              <w:t>46775474.9</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sz w:val="18"/>
                <w:szCs w:val="18"/>
                <w:u w:val="none"/>
                <w:lang w:val="en-US" w:eastAsia="zh-CN"/>
              </w:rPr>
              <w:t>42800525.1</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91.5%</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320" w:firstLineChars="100"/>
        <w:textAlignment w:val="auto"/>
        <w:outlineLvl w:val="0"/>
        <w:rPr>
          <w:rFonts w:hint="eastAsia" w:ascii="楷体" w:hAnsi="楷体" w:eastAsia="楷体" w:cs="楷体"/>
          <w:sz w:val="32"/>
          <w:szCs w:val="32"/>
          <w:highlight w:val="none"/>
        </w:rPr>
      </w:pPr>
      <w:bookmarkStart w:id="22" w:name="_Toc30718"/>
      <w:bookmarkStart w:id="23" w:name="_Toc8428"/>
      <w:bookmarkStart w:id="24" w:name="_Toc12913"/>
      <w:r>
        <w:rPr>
          <w:rFonts w:hint="eastAsia" w:ascii="楷体" w:hAnsi="楷体" w:eastAsia="楷体" w:cs="楷体"/>
          <w:sz w:val="32"/>
          <w:szCs w:val="32"/>
          <w:highlight w:val="none"/>
          <w:lang w:eastAsia="zh-CN"/>
        </w:rPr>
        <w:t>二、</w:t>
      </w:r>
      <w:r>
        <w:rPr>
          <w:rFonts w:hint="eastAsia" w:ascii="楷体" w:hAnsi="楷体" w:eastAsia="楷体" w:cs="楷体"/>
          <w:sz w:val="32"/>
          <w:szCs w:val="32"/>
          <w:highlight w:val="none"/>
        </w:rPr>
        <w:t>绩效工作组织实施</w:t>
      </w:r>
      <w:bookmarkEnd w:id="22"/>
      <w:bookmarkEnd w:id="23"/>
      <w:bookmarkEnd w:id="24"/>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highlight w:val="none"/>
        </w:rPr>
      </w:pPr>
      <w:bookmarkStart w:id="25" w:name="_Toc11700"/>
      <w:r>
        <w:rPr>
          <w:rFonts w:hint="eastAsia" w:ascii="楷体" w:hAnsi="楷体" w:eastAsia="楷体" w:cs="楷体"/>
          <w:sz w:val="32"/>
          <w:szCs w:val="32"/>
          <w:highlight w:val="none"/>
        </w:rPr>
        <w:t>（一）评价目的</w:t>
      </w:r>
      <w:bookmarkEnd w:id="25"/>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一是加强预算绩效管理，强化支出责任，提高财政资金使用效益；二是进一步总结和分析财政资金支出效果，了解、分析、检验资金使用是否达到预期目标，资金管理是否规范，资金使用是否有效，考核财政支出效率和综合效果；三是通过绩效评价，促进项目单位发现问题、总结经验、改进工作，进一步加强项目管理，提高预算绩效质量水平；四是为今后财政部门相关项目的资金拨付提供参考依据。</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highlight w:val="none"/>
        </w:rPr>
      </w:pPr>
      <w:bookmarkStart w:id="26" w:name="_Toc28859"/>
      <w:r>
        <w:rPr>
          <w:rFonts w:hint="eastAsia" w:ascii="楷体" w:hAnsi="楷体" w:eastAsia="楷体" w:cs="楷体"/>
          <w:sz w:val="32"/>
          <w:szCs w:val="32"/>
          <w:highlight w:val="none"/>
        </w:rPr>
        <w:t>（二）组织工作</w:t>
      </w:r>
      <w:bookmarkEnd w:id="26"/>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eastAsia="zh-CN"/>
        </w:rPr>
        <w:t>无极县财政局</w:t>
      </w:r>
      <w:r>
        <w:rPr>
          <w:rFonts w:hint="eastAsia" w:ascii="楷体" w:hAnsi="楷体" w:eastAsia="楷体" w:cs="楷体"/>
          <w:sz w:val="32"/>
          <w:szCs w:val="32"/>
          <w:highlight w:val="none"/>
        </w:rPr>
        <w:t>高度重视此次绩效评价工作，严格按照绩效评价工作流程，组织实施本项工作。此次绩效评价按照相关通知要求，成立绩效评价组。评价组事先制定了评价方案，明确了评价内容、评价程序及时间安排，并召开专题会议，要求被评价单位提前准备相关资料，积极配合做好绩效评价工作。</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highlight w:val="none"/>
        </w:rPr>
      </w:pPr>
      <w:bookmarkStart w:id="27" w:name="_Toc19427"/>
      <w:r>
        <w:rPr>
          <w:rFonts w:hint="eastAsia" w:ascii="楷体" w:hAnsi="楷体" w:eastAsia="楷体" w:cs="楷体"/>
          <w:sz w:val="32"/>
          <w:szCs w:val="32"/>
          <w:highlight w:val="none"/>
        </w:rPr>
        <w:t>（三）评价方法和过程</w:t>
      </w:r>
      <w:bookmarkEnd w:id="27"/>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本次绩效评价采用因素分析法、数据采集法、逻辑分析法</w:t>
      </w:r>
      <w:r>
        <w:rPr>
          <w:rFonts w:hint="eastAsia" w:ascii="楷体" w:hAnsi="楷体" w:eastAsia="楷体" w:cs="楷体"/>
          <w:sz w:val="32"/>
          <w:szCs w:val="32"/>
          <w:highlight w:val="none"/>
          <w:lang w:eastAsia="zh-CN"/>
        </w:rPr>
        <w:t>、公众评判法</w:t>
      </w:r>
      <w:r>
        <w:rPr>
          <w:rFonts w:hint="eastAsia" w:ascii="楷体" w:hAnsi="楷体" w:eastAsia="楷体" w:cs="楷体"/>
          <w:sz w:val="32"/>
          <w:szCs w:val="32"/>
          <w:highlight w:val="none"/>
        </w:rPr>
        <w:t>，对预期目标进行定性和定量分析，并对支出效益和效果进行考核。具体过程如下：一是深入</w:t>
      </w:r>
      <w:r>
        <w:rPr>
          <w:rFonts w:hint="eastAsia" w:ascii="楷体" w:hAnsi="楷体" w:eastAsia="楷体" w:cs="楷体"/>
          <w:sz w:val="32"/>
          <w:szCs w:val="32"/>
          <w:highlight w:val="none"/>
          <w:lang w:eastAsia="zh-CN"/>
        </w:rPr>
        <w:t>项目主管单位</w:t>
      </w:r>
      <w:r>
        <w:rPr>
          <w:rFonts w:hint="eastAsia" w:ascii="楷体" w:hAnsi="楷体" w:eastAsia="楷体" w:cs="楷体"/>
          <w:sz w:val="32"/>
          <w:szCs w:val="32"/>
          <w:highlight w:val="none"/>
        </w:rPr>
        <w:t>了解</w:t>
      </w:r>
      <w:r>
        <w:rPr>
          <w:rFonts w:hint="eastAsia" w:ascii="楷体" w:hAnsi="楷体" w:eastAsia="楷体" w:cs="楷体"/>
          <w:sz w:val="32"/>
          <w:szCs w:val="32"/>
          <w:highlight w:val="none"/>
          <w:lang w:eastAsia="zh-CN"/>
        </w:rPr>
        <w:t>各</w:t>
      </w:r>
      <w:r>
        <w:rPr>
          <w:rFonts w:hint="eastAsia" w:ascii="楷体" w:hAnsi="楷体" w:eastAsia="楷体" w:cs="楷体"/>
          <w:sz w:val="32"/>
          <w:szCs w:val="32"/>
          <w:highlight w:val="none"/>
        </w:rPr>
        <w:t>项目概况等信息，梳理出绩效评价指标，制定具体评价方案；二是整理项目相关政策文件、项目资料、财务资料，按照工作计划翻阅资料，深入现场，核查资金收支情况，了解项目实施的效果；</w:t>
      </w:r>
      <w:r>
        <w:rPr>
          <w:rFonts w:hint="eastAsia" w:ascii="楷体" w:hAnsi="楷体" w:eastAsia="楷体" w:cs="楷体"/>
          <w:sz w:val="32"/>
          <w:szCs w:val="32"/>
          <w:highlight w:val="none"/>
          <w:lang w:eastAsia="zh-CN"/>
        </w:rPr>
        <w:t>三是对项目受益群体进行现场询问，了解项目建设实施的受益群众满意度；四</w:t>
      </w:r>
      <w:r>
        <w:rPr>
          <w:rFonts w:hint="eastAsia" w:ascii="楷体" w:hAnsi="楷体" w:eastAsia="楷体" w:cs="楷体"/>
          <w:sz w:val="32"/>
          <w:szCs w:val="32"/>
          <w:highlight w:val="none"/>
        </w:rPr>
        <w:t>是根据绩效指标评分表逐项进行打分，撰写评价报告，与</w:t>
      </w:r>
      <w:r>
        <w:rPr>
          <w:rFonts w:hint="eastAsia" w:ascii="楷体" w:hAnsi="楷体" w:eastAsia="楷体" w:cs="楷体"/>
          <w:sz w:val="32"/>
          <w:szCs w:val="32"/>
          <w:highlight w:val="none"/>
          <w:lang w:val="en-US" w:eastAsia="zh-CN"/>
        </w:rPr>
        <w:t>项目主管单位</w:t>
      </w:r>
      <w:r>
        <w:rPr>
          <w:rFonts w:hint="eastAsia" w:ascii="楷体" w:hAnsi="楷体" w:eastAsia="楷体" w:cs="楷体"/>
          <w:sz w:val="32"/>
          <w:szCs w:val="32"/>
          <w:highlight w:val="none"/>
        </w:rPr>
        <w:t>交换意见后，形成绩效评价报告。</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highlight w:val="none"/>
        </w:rPr>
      </w:pPr>
      <w:bookmarkStart w:id="28" w:name="_Toc17827"/>
      <w:r>
        <w:rPr>
          <w:rFonts w:hint="eastAsia" w:ascii="楷体" w:hAnsi="楷体" w:eastAsia="楷体" w:cs="楷体"/>
          <w:sz w:val="32"/>
          <w:szCs w:val="32"/>
          <w:highlight w:val="none"/>
        </w:rPr>
        <w:t>（四）评价依据</w:t>
      </w:r>
      <w:bookmarkEnd w:id="28"/>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1、《中华人民共和国预算法》；</w:t>
      </w:r>
    </w:p>
    <w:p>
      <w:pPr>
        <w:pStyle w:val="3"/>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val="en-US" w:eastAsia="zh-CN"/>
        </w:rPr>
        <w:t>2、《河北省河道内村庄防洪整治实施方案》</w:t>
      </w:r>
    </w:p>
    <w:p>
      <w:pPr>
        <w:pStyle w:val="3"/>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楷体" w:hAnsi="楷体" w:eastAsia="楷体" w:cs="楷体"/>
          <w:highlight w:val="none"/>
        </w:rPr>
      </w:pPr>
      <w:r>
        <w:rPr>
          <w:rFonts w:hint="eastAsia" w:ascii="楷体" w:hAnsi="楷体" w:eastAsia="楷体" w:cs="楷体"/>
          <w:sz w:val="32"/>
          <w:szCs w:val="32"/>
          <w:highlight w:val="none"/>
          <w:lang w:val="en-US" w:eastAsia="zh-CN"/>
        </w:rPr>
        <w:t>3、</w:t>
      </w:r>
      <w:r>
        <w:rPr>
          <w:rFonts w:hint="eastAsia" w:ascii="楷体" w:hAnsi="楷体" w:eastAsia="楷体" w:cs="楷体"/>
          <w:sz w:val="32"/>
          <w:szCs w:val="32"/>
          <w:highlight w:val="none"/>
          <w:lang w:eastAsia="zh-CN"/>
        </w:rPr>
        <w:t>《中共河北省委河北省人民政府关于全面实施预算绩效管理的实施意见》（冀发</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2018</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54号</w:t>
      </w:r>
      <w:r>
        <w:rPr>
          <w:rFonts w:hint="eastAsia" w:ascii="楷体" w:hAnsi="楷体" w:eastAsia="楷体" w:cs="楷体"/>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4</w:t>
      </w:r>
      <w:r>
        <w:rPr>
          <w:rFonts w:hint="eastAsia" w:ascii="楷体" w:hAnsi="楷体" w:eastAsia="楷体" w:cs="楷体"/>
          <w:sz w:val="32"/>
          <w:szCs w:val="32"/>
          <w:highlight w:val="none"/>
        </w:rPr>
        <w:t>、《中共中央国务院关于全面实施预算绩效管理的意见》（中发〔2018〕34号）；</w:t>
      </w:r>
    </w:p>
    <w:p>
      <w:pPr>
        <w:pStyle w:val="3"/>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楷体" w:hAnsi="楷体" w:eastAsia="楷体" w:cs="楷体"/>
          <w:highlight w:val="none"/>
          <w:lang w:val="en-US" w:eastAsia="zh-CN"/>
        </w:rPr>
      </w:pPr>
      <w:r>
        <w:rPr>
          <w:rFonts w:hint="eastAsia" w:ascii="楷体" w:hAnsi="楷体" w:eastAsia="楷体" w:cs="楷体"/>
          <w:sz w:val="32"/>
          <w:szCs w:val="32"/>
          <w:highlight w:val="none"/>
          <w:lang w:val="en-US" w:eastAsia="zh-CN"/>
        </w:rPr>
        <w:t>5、《项目支出绩效管理办法》（财预</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2020</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10号）；</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highlight w:val="none"/>
        </w:rPr>
      </w:pPr>
      <w:r>
        <w:rPr>
          <w:rFonts w:hint="eastAsia" w:ascii="楷体" w:hAnsi="楷体" w:eastAsia="楷体" w:cs="楷体"/>
          <w:sz w:val="32"/>
          <w:szCs w:val="32"/>
          <w:highlight w:val="none"/>
          <w:lang w:val="en-US" w:eastAsia="zh-CN"/>
        </w:rPr>
        <w:t>6</w:t>
      </w:r>
      <w:r>
        <w:rPr>
          <w:rFonts w:hint="eastAsia" w:ascii="楷体" w:hAnsi="楷体" w:eastAsia="楷体" w:cs="楷体"/>
          <w:sz w:val="32"/>
          <w:szCs w:val="32"/>
          <w:highlight w:val="none"/>
        </w:rPr>
        <w:t>、《中华人民共和国环境影响评价法》(2018修正)；</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7</w:t>
      </w:r>
      <w:r>
        <w:rPr>
          <w:rFonts w:hint="eastAsia" w:ascii="楷体" w:hAnsi="楷体" w:eastAsia="楷体" w:cs="楷体"/>
          <w:sz w:val="32"/>
          <w:szCs w:val="32"/>
          <w:highlight w:val="none"/>
        </w:rPr>
        <w:t>、《河北省构建全过程绩效预算管理新机制预算绩效管理工作要报》2016年第2期；</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8</w:t>
      </w:r>
      <w:r>
        <w:rPr>
          <w:rFonts w:hint="eastAsia" w:ascii="楷体" w:hAnsi="楷体" w:eastAsia="楷体" w:cs="楷体"/>
          <w:sz w:val="32"/>
          <w:szCs w:val="32"/>
          <w:highlight w:val="none"/>
        </w:rPr>
        <w:t>、《石家庄市财政支出绩效评价办法》(石财〔</w:t>
      </w:r>
      <w:r>
        <w:rPr>
          <w:rFonts w:hint="eastAsia" w:ascii="楷体" w:hAnsi="楷体" w:eastAsia="楷体" w:cs="楷体"/>
          <w:sz w:val="32"/>
          <w:szCs w:val="32"/>
          <w:highlight w:val="none"/>
          <w:lang w:val="en-US" w:eastAsia="zh-CN"/>
        </w:rPr>
        <w:t>2013</w:t>
      </w:r>
      <w:r>
        <w:rPr>
          <w:rFonts w:hint="eastAsia" w:ascii="楷体" w:hAnsi="楷体" w:eastAsia="楷体" w:cs="楷体"/>
          <w:sz w:val="32"/>
          <w:szCs w:val="32"/>
          <w:highlight w:val="none"/>
        </w:rPr>
        <w:t>〕2号)；</w:t>
      </w:r>
    </w:p>
    <w:p>
      <w:pPr>
        <w:pStyle w:val="3"/>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val="en-US" w:eastAsia="zh-CN"/>
        </w:rPr>
        <w:t>9、</w:t>
      </w:r>
      <w:r>
        <w:rPr>
          <w:rFonts w:hint="eastAsia" w:ascii="楷体" w:hAnsi="楷体" w:eastAsia="楷体" w:cs="楷体"/>
          <w:sz w:val="32"/>
          <w:szCs w:val="32"/>
          <w:highlight w:val="none"/>
          <w:lang w:eastAsia="zh-CN"/>
        </w:rPr>
        <w:t>无极县行政审批局《关于滹沱河河道内村庄防洪整治工程可行性研究报告的批复》（无行审审字</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2020</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28号）</w:t>
      </w:r>
    </w:p>
    <w:p>
      <w:pPr>
        <w:pStyle w:val="3"/>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10、无极县行政审批局《关于滹沱河河道内村庄防洪整治工程土料场设计变更的批复》</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val="en-US" w:eastAsia="zh-CN"/>
        </w:rPr>
      </w:pPr>
      <w:bookmarkStart w:id="29" w:name="_Toc3817"/>
      <w:r>
        <w:rPr>
          <w:rFonts w:hint="eastAsia" w:ascii="楷体" w:hAnsi="楷体" w:eastAsia="楷体" w:cs="楷体"/>
          <w:sz w:val="32"/>
          <w:szCs w:val="32"/>
          <w:highlight w:val="none"/>
          <w:lang w:val="en-US" w:eastAsia="zh-CN"/>
        </w:rPr>
        <w:t>11</w:t>
      </w:r>
      <w:r>
        <w:rPr>
          <w:rFonts w:hint="eastAsia" w:ascii="楷体" w:hAnsi="楷体" w:eastAsia="楷体" w:cs="楷体"/>
          <w:sz w:val="32"/>
          <w:szCs w:val="32"/>
          <w:highlight w:val="none"/>
        </w:rPr>
        <w:t>、其他相关法律法规</w:t>
      </w:r>
      <w:r>
        <w:rPr>
          <w:rFonts w:hint="eastAsia" w:ascii="楷体" w:hAnsi="楷体" w:eastAsia="楷体" w:cs="楷体"/>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highlight w:val="none"/>
        </w:rPr>
      </w:pPr>
      <w:r>
        <w:rPr>
          <w:rFonts w:hint="eastAsia" w:ascii="楷体" w:hAnsi="楷体" w:eastAsia="楷体" w:cs="楷体"/>
          <w:sz w:val="32"/>
          <w:szCs w:val="32"/>
          <w:highlight w:val="none"/>
        </w:rPr>
        <w:t>（五）评价指标体系</w:t>
      </w:r>
      <w:bookmarkEnd w:id="29"/>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本绩效指标评价总分设定为100分。一级指标共设</w:t>
      </w:r>
      <w:r>
        <w:rPr>
          <w:rFonts w:hint="eastAsia" w:ascii="楷体" w:hAnsi="楷体" w:eastAsia="楷体" w:cs="楷体"/>
          <w:sz w:val="32"/>
          <w:szCs w:val="32"/>
          <w:highlight w:val="none"/>
          <w:lang w:val="en-US" w:eastAsia="zh-CN"/>
        </w:rPr>
        <w:t>4</w:t>
      </w:r>
      <w:r>
        <w:rPr>
          <w:rFonts w:hint="eastAsia" w:ascii="楷体" w:hAnsi="楷体" w:eastAsia="楷体" w:cs="楷体"/>
          <w:sz w:val="32"/>
          <w:szCs w:val="32"/>
          <w:highlight w:val="none"/>
        </w:rPr>
        <w:t>个，包括项目决策1</w:t>
      </w:r>
      <w:r>
        <w:rPr>
          <w:rFonts w:hint="eastAsia" w:ascii="楷体" w:hAnsi="楷体" w:eastAsia="楷体" w:cs="楷体"/>
          <w:sz w:val="32"/>
          <w:szCs w:val="32"/>
          <w:highlight w:val="none"/>
          <w:lang w:val="en-US" w:eastAsia="zh-CN"/>
        </w:rPr>
        <w:t>0</w:t>
      </w:r>
      <w:r>
        <w:rPr>
          <w:rFonts w:hint="eastAsia" w:ascii="楷体" w:hAnsi="楷体" w:eastAsia="楷体" w:cs="楷体"/>
          <w:sz w:val="32"/>
          <w:szCs w:val="32"/>
          <w:highlight w:val="none"/>
        </w:rPr>
        <w:t>分、项目过程25分、项目产出2</w:t>
      </w:r>
      <w:r>
        <w:rPr>
          <w:rFonts w:hint="eastAsia" w:ascii="楷体" w:hAnsi="楷体" w:eastAsia="楷体" w:cs="楷体"/>
          <w:sz w:val="32"/>
          <w:szCs w:val="32"/>
          <w:highlight w:val="none"/>
          <w:lang w:val="en-US" w:eastAsia="zh-CN"/>
        </w:rPr>
        <w:t>5</w:t>
      </w:r>
      <w:r>
        <w:rPr>
          <w:rFonts w:hint="eastAsia" w:ascii="楷体" w:hAnsi="楷体" w:eastAsia="楷体" w:cs="楷体"/>
          <w:sz w:val="32"/>
          <w:szCs w:val="32"/>
          <w:highlight w:val="none"/>
        </w:rPr>
        <w:t>分、项目效益</w:t>
      </w:r>
      <w:r>
        <w:rPr>
          <w:rFonts w:hint="eastAsia" w:ascii="楷体" w:hAnsi="楷体" w:eastAsia="楷体" w:cs="楷体"/>
          <w:sz w:val="32"/>
          <w:szCs w:val="32"/>
          <w:highlight w:val="none"/>
          <w:lang w:val="en-US" w:eastAsia="zh-CN"/>
        </w:rPr>
        <w:t>40</w:t>
      </w:r>
      <w:r>
        <w:rPr>
          <w:rFonts w:hint="eastAsia" w:ascii="楷体" w:hAnsi="楷体" w:eastAsia="楷体" w:cs="楷体"/>
          <w:sz w:val="32"/>
          <w:szCs w:val="32"/>
          <w:highlight w:val="none"/>
        </w:rPr>
        <w:t>分。一级指标下分二级、三级指标及分值，详见下表：</w:t>
      </w:r>
    </w:p>
    <w:p>
      <w:pPr>
        <w:pStyle w:val="3"/>
        <w:keepNext w:val="0"/>
        <w:keepLines w:val="0"/>
        <w:pageBreakBefore w:val="0"/>
        <w:kinsoku/>
        <w:wordWrap/>
        <w:overflowPunct/>
        <w:topLinePunct w:val="0"/>
        <w:autoSpaceDE/>
        <w:autoSpaceDN/>
        <w:bidi w:val="0"/>
        <w:spacing w:line="360" w:lineRule="auto"/>
        <w:ind w:firstLine="803"/>
        <w:jc w:val="center"/>
        <w:outlineLvl w:val="0"/>
        <w:rPr>
          <w:rFonts w:hint="eastAsia" w:ascii="楷体" w:hAnsi="楷体" w:eastAsia="楷体" w:cs="楷体"/>
          <w:b/>
          <w:bCs/>
          <w:sz w:val="40"/>
          <w:szCs w:val="40"/>
          <w:highlight w:val="none"/>
        </w:rPr>
      </w:pPr>
      <w:bookmarkStart w:id="30" w:name="_Toc11050"/>
      <w:bookmarkStart w:id="31" w:name="_Toc10920"/>
      <w:r>
        <w:rPr>
          <w:rFonts w:hint="eastAsia" w:ascii="楷体" w:hAnsi="楷体" w:eastAsia="楷体" w:cs="楷体"/>
          <w:b/>
          <w:bCs/>
          <w:sz w:val="40"/>
          <w:szCs w:val="40"/>
          <w:highlight w:val="none"/>
        </w:rPr>
        <w:t>评价指标体系框架</w:t>
      </w:r>
      <w:bookmarkEnd w:id="30"/>
      <w:bookmarkEnd w:id="31"/>
    </w:p>
    <w:tbl>
      <w:tblPr>
        <w:tblStyle w:val="11"/>
        <w:tblW w:w="8333" w:type="dxa"/>
        <w:jc w:val="center"/>
        <w:tblLayout w:type="fixed"/>
        <w:tblCellMar>
          <w:top w:w="0" w:type="dxa"/>
          <w:left w:w="0" w:type="dxa"/>
          <w:bottom w:w="0" w:type="dxa"/>
          <w:right w:w="0" w:type="dxa"/>
        </w:tblCellMar>
      </w:tblPr>
      <w:tblGrid>
        <w:gridCol w:w="2777"/>
        <w:gridCol w:w="2777"/>
        <w:gridCol w:w="2779"/>
      </w:tblGrid>
      <w:tr>
        <w:tblPrEx>
          <w:tblCellMar>
            <w:top w:w="0" w:type="dxa"/>
            <w:left w:w="0" w:type="dxa"/>
            <w:bottom w:w="0" w:type="dxa"/>
            <w:right w:w="0" w:type="dxa"/>
          </w:tblCellMar>
        </w:tblPrEx>
        <w:trPr>
          <w:trHeight w:val="340" w:hRule="atLeast"/>
          <w:jc w:val="center"/>
        </w:trPr>
        <w:tc>
          <w:tcPr>
            <w:tcW w:w="2777"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b/>
                <w:bCs/>
                <w:color w:val="000000"/>
                <w:sz w:val="18"/>
                <w:szCs w:val="18"/>
                <w:highlight w:val="none"/>
              </w:rPr>
            </w:pPr>
            <w:r>
              <w:rPr>
                <w:rFonts w:hint="eastAsia" w:ascii="楷体" w:hAnsi="楷体" w:eastAsia="楷体" w:cs="楷体"/>
                <w:b/>
                <w:bCs/>
                <w:color w:val="000000"/>
                <w:kern w:val="0"/>
                <w:sz w:val="18"/>
                <w:szCs w:val="18"/>
                <w:highlight w:val="none"/>
                <w:lang w:bidi="ar"/>
              </w:rPr>
              <w:t>一级指标</w:t>
            </w:r>
          </w:p>
        </w:tc>
        <w:tc>
          <w:tcPr>
            <w:tcW w:w="2777"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b/>
                <w:bCs/>
                <w:color w:val="000000"/>
                <w:sz w:val="18"/>
                <w:szCs w:val="18"/>
                <w:highlight w:val="none"/>
              </w:rPr>
            </w:pPr>
            <w:r>
              <w:rPr>
                <w:rFonts w:hint="eastAsia" w:ascii="楷体" w:hAnsi="楷体" w:eastAsia="楷体" w:cs="楷体"/>
                <w:b/>
                <w:bCs/>
                <w:color w:val="000000"/>
                <w:kern w:val="0"/>
                <w:sz w:val="18"/>
                <w:szCs w:val="18"/>
                <w:highlight w:val="none"/>
                <w:lang w:bidi="ar"/>
              </w:rPr>
              <w:t>二级指标</w:t>
            </w:r>
          </w:p>
        </w:tc>
        <w:tc>
          <w:tcPr>
            <w:tcW w:w="2779"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b/>
                <w:bCs/>
                <w:color w:val="000000"/>
                <w:sz w:val="18"/>
                <w:szCs w:val="18"/>
                <w:highlight w:val="none"/>
              </w:rPr>
            </w:pPr>
            <w:r>
              <w:rPr>
                <w:rFonts w:hint="eastAsia" w:ascii="楷体" w:hAnsi="楷体" w:eastAsia="楷体" w:cs="楷体"/>
                <w:b/>
                <w:bCs/>
                <w:color w:val="000000"/>
                <w:kern w:val="0"/>
                <w:sz w:val="18"/>
                <w:szCs w:val="18"/>
                <w:highlight w:val="none"/>
                <w:lang w:bidi="ar"/>
              </w:rPr>
              <w:t>三级指标</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项目决策（1</w:t>
            </w:r>
            <w:r>
              <w:rPr>
                <w:rFonts w:hint="eastAsia" w:ascii="楷体" w:hAnsi="楷体" w:eastAsia="楷体" w:cs="楷体"/>
                <w:color w:val="auto"/>
                <w:kern w:val="0"/>
                <w:sz w:val="18"/>
                <w:szCs w:val="18"/>
                <w:highlight w:val="none"/>
                <w:lang w:val="en-US" w:eastAsia="zh-CN" w:bidi="ar"/>
              </w:rPr>
              <w:t>0</w:t>
            </w:r>
            <w:r>
              <w:rPr>
                <w:rFonts w:hint="eastAsia" w:ascii="楷体" w:hAnsi="楷体" w:eastAsia="楷体" w:cs="楷体"/>
                <w:color w:val="auto"/>
                <w:kern w:val="0"/>
                <w:sz w:val="18"/>
                <w:szCs w:val="18"/>
                <w:highlight w:val="none"/>
                <w:lang w:bidi="ar"/>
              </w:rPr>
              <w:t>分）</w:t>
            </w:r>
          </w:p>
        </w:tc>
        <w:tc>
          <w:tcPr>
            <w:tcW w:w="2777"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项目立项（</w:t>
            </w:r>
            <w:r>
              <w:rPr>
                <w:rFonts w:hint="eastAsia" w:ascii="楷体" w:hAnsi="楷体" w:eastAsia="楷体" w:cs="楷体"/>
                <w:color w:val="000000"/>
                <w:kern w:val="0"/>
                <w:sz w:val="18"/>
                <w:szCs w:val="18"/>
                <w:highlight w:val="none"/>
                <w:lang w:val="en-US" w:eastAsia="zh-CN" w:bidi="ar"/>
              </w:rPr>
              <w:t>4</w:t>
            </w:r>
            <w:r>
              <w:rPr>
                <w:rFonts w:hint="eastAsia" w:ascii="楷体" w:hAnsi="楷体" w:eastAsia="楷体" w:cs="楷体"/>
                <w:color w:val="000000"/>
                <w:kern w:val="0"/>
                <w:sz w:val="18"/>
                <w:szCs w:val="18"/>
                <w:highlight w:val="none"/>
                <w:lang w:bidi="ar"/>
              </w:rPr>
              <w:t>分）</w:t>
            </w: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立项依据充分性（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立项程序规范性（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绩效目标（</w:t>
            </w:r>
            <w:r>
              <w:rPr>
                <w:rFonts w:hint="eastAsia" w:ascii="楷体" w:hAnsi="楷体" w:eastAsia="楷体" w:cs="楷体"/>
                <w:color w:val="000000"/>
                <w:kern w:val="0"/>
                <w:sz w:val="18"/>
                <w:szCs w:val="18"/>
                <w:highlight w:val="none"/>
                <w:lang w:val="en-US" w:eastAsia="zh-CN" w:bidi="ar"/>
              </w:rPr>
              <w:t>4</w:t>
            </w:r>
            <w:r>
              <w:rPr>
                <w:rFonts w:hint="eastAsia" w:ascii="楷体" w:hAnsi="楷体" w:eastAsia="楷体" w:cs="楷体"/>
                <w:color w:val="000000"/>
                <w:kern w:val="0"/>
                <w:sz w:val="18"/>
                <w:szCs w:val="18"/>
                <w:highlight w:val="none"/>
                <w:lang w:bidi="ar"/>
              </w:rPr>
              <w:t>分）</w:t>
            </w:r>
          </w:p>
        </w:tc>
        <w:tc>
          <w:tcPr>
            <w:tcW w:w="2779" w:type="dxa"/>
            <w:tcBorders>
              <w:top w:val="single" w:color="auto" w:sz="4" w:space="0"/>
              <w:left w:val="single" w:color="000000"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绩效目标合理性（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9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kern w:val="0"/>
                <w:sz w:val="18"/>
                <w:szCs w:val="18"/>
                <w:highlight w:val="none"/>
                <w:lang w:bidi="ar"/>
              </w:rPr>
            </w:pPr>
          </w:p>
        </w:tc>
        <w:tc>
          <w:tcPr>
            <w:tcW w:w="2779" w:type="dxa"/>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绩效目标明确性（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tcBorders>
              <w:top w:val="single" w:color="auto"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kern w:val="0"/>
                <w:sz w:val="18"/>
                <w:szCs w:val="18"/>
                <w:highlight w:val="none"/>
                <w:lang w:eastAsia="zh-CN" w:bidi="ar"/>
              </w:rPr>
            </w:pPr>
            <w:r>
              <w:rPr>
                <w:rFonts w:hint="eastAsia" w:ascii="楷体" w:hAnsi="楷体" w:eastAsia="楷体" w:cs="楷体"/>
                <w:color w:val="000000"/>
                <w:kern w:val="0"/>
                <w:sz w:val="18"/>
                <w:szCs w:val="18"/>
                <w:highlight w:val="none"/>
                <w:lang w:bidi="ar"/>
              </w:rPr>
              <w:t>资金投入</w:t>
            </w:r>
            <w:r>
              <w:rPr>
                <w:rFonts w:hint="eastAsia" w:ascii="楷体" w:hAnsi="楷体" w:eastAsia="楷体" w:cs="楷体"/>
                <w:color w:val="000000"/>
                <w:kern w:val="0"/>
                <w:sz w:val="18"/>
                <w:szCs w:val="18"/>
                <w:highlight w:val="none"/>
                <w:lang w:eastAsia="zh-CN" w:bidi="ar"/>
              </w:rPr>
              <w:t>（</w:t>
            </w:r>
            <w:r>
              <w:rPr>
                <w:rFonts w:hint="eastAsia" w:ascii="楷体" w:hAnsi="楷体" w:eastAsia="楷体" w:cs="楷体"/>
                <w:color w:val="000000"/>
                <w:kern w:val="0"/>
                <w:sz w:val="18"/>
                <w:szCs w:val="18"/>
                <w:highlight w:val="none"/>
                <w:lang w:val="en-US" w:eastAsia="zh-CN" w:bidi="ar"/>
              </w:rPr>
              <w:t>2分）</w:t>
            </w:r>
          </w:p>
        </w:tc>
        <w:tc>
          <w:tcPr>
            <w:tcW w:w="2779"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资金分配合理性（2分）</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项目过程（</w:t>
            </w:r>
            <w:r>
              <w:rPr>
                <w:rFonts w:hint="eastAsia" w:ascii="楷体" w:hAnsi="楷体" w:eastAsia="楷体" w:cs="楷体"/>
                <w:color w:val="auto"/>
                <w:kern w:val="0"/>
                <w:sz w:val="18"/>
                <w:szCs w:val="18"/>
                <w:highlight w:val="none"/>
                <w:lang w:val="en-US" w:eastAsia="zh-CN" w:bidi="ar"/>
              </w:rPr>
              <w:t>25</w:t>
            </w:r>
            <w:r>
              <w:rPr>
                <w:rFonts w:hint="eastAsia" w:ascii="楷体" w:hAnsi="楷体" w:eastAsia="楷体" w:cs="楷体"/>
                <w:color w:val="auto"/>
                <w:kern w:val="0"/>
                <w:sz w:val="18"/>
                <w:szCs w:val="18"/>
                <w:highlight w:val="none"/>
                <w:lang w:bidi="ar"/>
              </w:rPr>
              <w:t>分）</w:t>
            </w:r>
          </w:p>
        </w:tc>
        <w:tc>
          <w:tcPr>
            <w:tcW w:w="2777"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资金管理（15分）</w:t>
            </w: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资金到位率（5分）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资金执行率（5分）</w:t>
            </w:r>
          </w:p>
        </w:tc>
      </w:tr>
      <w:tr>
        <w:tblPrEx>
          <w:tblCellMar>
            <w:top w:w="0" w:type="dxa"/>
            <w:left w:w="0" w:type="dxa"/>
            <w:bottom w:w="0" w:type="dxa"/>
            <w:right w:w="0" w:type="dxa"/>
          </w:tblCellMar>
        </w:tblPrEx>
        <w:trPr>
          <w:trHeight w:val="406"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资金使用合规性（5分）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restart"/>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组织实施（10分）</w:t>
            </w:r>
          </w:p>
        </w:tc>
        <w:tc>
          <w:tcPr>
            <w:tcW w:w="2779"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组织机构健全性（2分）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auto"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管理制度健全性（3分）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auto"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制度执行有效性（5分）</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项目产出（</w:t>
            </w:r>
            <w:r>
              <w:rPr>
                <w:rFonts w:hint="eastAsia" w:ascii="楷体" w:hAnsi="楷体" w:eastAsia="楷体" w:cs="楷体"/>
                <w:color w:val="auto"/>
                <w:kern w:val="0"/>
                <w:sz w:val="18"/>
                <w:szCs w:val="18"/>
                <w:highlight w:val="none"/>
                <w:lang w:val="en-US" w:eastAsia="zh-CN" w:bidi="ar"/>
              </w:rPr>
              <w:t>25</w:t>
            </w:r>
            <w:r>
              <w:rPr>
                <w:rFonts w:hint="eastAsia" w:ascii="楷体" w:hAnsi="楷体" w:eastAsia="楷体" w:cs="楷体"/>
                <w:color w:val="auto"/>
                <w:kern w:val="0"/>
                <w:sz w:val="18"/>
                <w:szCs w:val="18"/>
                <w:highlight w:val="none"/>
                <w:lang w:bidi="ar"/>
              </w:rPr>
              <w:t>分）</w:t>
            </w:r>
          </w:p>
        </w:tc>
        <w:tc>
          <w:tcPr>
            <w:tcW w:w="2777"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产出数量（5分）</w:t>
            </w:r>
          </w:p>
        </w:tc>
        <w:tc>
          <w:tcPr>
            <w:tcW w:w="2779"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完成面积数（5分）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产出质量（10分）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项目质量情况（5分）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项目档案质量情况（5分）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r>
              <w:rPr>
                <w:rFonts w:hint="eastAsia" w:ascii="楷体" w:hAnsi="楷体" w:eastAsia="楷体" w:cs="楷体"/>
                <w:color w:val="000000"/>
                <w:sz w:val="18"/>
                <w:szCs w:val="18"/>
                <w:highlight w:val="none"/>
              </w:rPr>
              <w:t>产出时效（5分）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完成及时性（5分）</w:t>
            </w:r>
          </w:p>
        </w:tc>
      </w:tr>
      <w:tr>
        <w:tblPrEx>
          <w:tblCellMar>
            <w:top w:w="0" w:type="dxa"/>
            <w:left w:w="0" w:type="dxa"/>
            <w:bottom w:w="0" w:type="dxa"/>
            <w:right w:w="0" w:type="dxa"/>
          </w:tblCellMar>
        </w:tblPrEx>
        <w:trPr>
          <w:trHeight w:val="29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产出成本（5分）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节约成本 （5分）</w:t>
            </w:r>
          </w:p>
        </w:tc>
      </w:tr>
      <w:tr>
        <w:tblPrEx>
          <w:tblCellMar>
            <w:top w:w="0" w:type="dxa"/>
            <w:left w:w="0" w:type="dxa"/>
            <w:bottom w:w="0" w:type="dxa"/>
            <w:right w:w="0" w:type="dxa"/>
          </w:tblCellMar>
        </w:tblPrEx>
        <w:trPr>
          <w:trHeight w:val="395" w:hRule="atLeast"/>
          <w:jc w:val="center"/>
        </w:trPr>
        <w:tc>
          <w:tcPr>
            <w:tcW w:w="2777" w:type="dxa"/>
            <w:vMerge w:val="restart"/>
            <w:tcBorders>
              <w:top w:val="single" w:color="000000" w:sz="4" w:space="0"/>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auto"/>
                <w:kern w:val="0"/>
                <w:sz w:val="18"/>
                <w:szCs w:val="18"/>
                <w:highlight w:val="none"/>
                <w:lang w:bidi="ar"/>
              </w:rPr>
            </w:pPr>
          </w:p>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auto"/>
                <w:kern w:val="0"/>
                <w:sz w:val="18"/>
                <w:szCs w:val="18"/>
                <w:highlight w:val="none"/>
                <w:lang w:bidi="ar"/>
              </w:rPr>
            </w:pPr>
          </w:p>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项目效益（40分）</w:t>
            </w: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社会效益（10分）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社会效益（10分）</w:t>
            </w:r>
          </w:p>
        </w:tc>
      </w:tr>
      <w:tr>
        <w:tblPrEx>
          <w:tblCellMar>
            <w:top w:w="0" w:type="dxa"/>
            <w:left w:w="0" w:type="dxa"/>
            <w:bottom w:w="0" w:type="dxa"/>
            <w:right w:w="0" w:type="dxa"/>
          </w:tblCellMar>
        </w:tblPrEx>
        <w:trPr>
          <w:trHeight w:val="450"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环境效益（10分）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环境效益（10分）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r>
              <w:rPr>
                <w:rFonts w:hint="eastAsia" w:ascii="楷体" w:hAnsi="楷体" w:eastAsia="楷体" w:cs="楷体"/>
                <w:color w:val="000000"/>
                <w:sz w:val="18"/>
                <w:szCs w:val="18"/>
                <w:highlight w:val="none"/>
              </w:rPr>
              <w:t>可持续影响效益（10分）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可持续影响效益（10分）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color w:val="000000"/>
                <w:sz w:val="18"/>
                <w:szCs w:val="18"/>
                <w:highlight w:val="none"/>
              </w:rPr>
            </w:pPr>
            <w:r>
              <w:rPr>
                <w:rFonts w:hint="eastAsia" w:ascii="楷体" w:hAnsi="楷体" w:eastAsia="楷体" w:cs="楷体"/>
                <w:color w:val="000000"/>
                <w:sz w:val="18"/>
                <w:szCs w:val="18"/>
                <w:highlight w:val="none"/>
              </w:rPr>
              <w:t>满意度指标（10分）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满意度指标（10分）</w:t>
            </w:r>
          </w:p>
        </w:tc>
      </w:tr>
    </w:tbl>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综合评价分为四个等级，得分≥85分为优秀，75分≤得分＜85分为良好，60分≤得＜75分为一般，得分＜60分为较差。</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0"/>
        <w:rPr>
          <w:rFonts w:hint="eastAsia" w:ascii="楷体" w:hAnsi="楷体" w:eastAsia="楷体" w:cs="楷体"/>
          <w:sz w:val="32"/>
          <w:szCs w:val="32"/>
          <w:highlight w:val="none"/>
        </w:rPr>
      </w:pPr>
      <w:bookmarkStart w:id="32" w:name="_Toc32572"/>
      <w:bookmarkStart w:id="33" w:name="_Toc18162"/>
      <w:bookmarkStart w:id="34" w:name="_Toc12238"/>
      <w:r>
        <w:rPr>
          <w:rFonts w:hint="eastAsia" w:ascii="楷体" w:hAnsi="楷体" w:eastAsia="楷体" w:cs="楷体"/>
          <w:sz w:val="32"/>
          <w:szCs w:val="32"/>
          <w:highlight w:val="none"/>
          <w:lang w:eastAsia="zh-CN"/>
        </w:rPr>
        <w:t>三、</w:t>
      </w:r>
      <w:r>
        <w:rPr>
          <w:rFonts w:hint="eastAsia" w:ascii="楷体" w:hAnsi="楷体" w:eastAsia="楷体" w:cs="楷体"/>
          <w:sz w:val="32"/>
          <w:szCs w:val="32"/>
          <w:highlight w:val="none"/>
        </w:rPr>
        <w:t>评价结论和评价等级</w:t>
      </w:r>
      <w:bookmarkEnd w:id="32"/>
      <w:bookmarkEnd w:id="33"/>
      <w:bookmarkEnd w:id="34"/>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总体来看，</w:t>
      </w:r>
      <w:r>
        <w:rPr>
          <w:rFonts w:hint="eastAsia" w:ascii="楷体" w:hAnsi="楷体" w:eastAsia="楷体" w:cs="楷体"/>
          <w:sz w:val="32"/>
          <w:szCs w:val="32"/>
          <w:highlight w:val="none"/>
          <w:lang w:eastAsia="zh-CN"/>
        </w:rPr>
        <w:t>滹沱河河道内村庄防洪整治工程项目的</w:t>
      </w:r>
      <w:r>
        <w:rPr>
          <w:rFonts w:hint="eastAsia" w:ascii="楷体" w:hAnsi="楷体" w:eastAsia="楷体" w:cs="楷体"/>
          <w:sz w:val="32"/>
          <w:szCs w:val="32"/>
          <w:highlight w:val="none"/>
        </w:rPr>
        <w:t>实施为滹沱河左岸堤防工程，建成后将提高滹沱河左岸的防洪能力，减免因洪灾对经济发展、工农业生产及居民日常生活等所造成影响；同时工程实施后将明确用地范围和属性，解决人水用地矛盾，为未来社会和经济发展奠定了坚实基础。但是，该项目在完善管理制度、后期运营维护等方面仍有可提高的空间，综合评定，该项目综合得分</w:t>
      </w:r>
      <w:r>
        <w:rPr>
          <w:rFonts w:hint="eastAsia" w:ascii="楷体" w:hAnsi="楷体" w:eastAsia="楷体" w:cs="楷体"/>
          <w:sz w:val="32"/>
          <w:szCs w:val="32"/>
          <w:highlight w:val="none"/>
          <w:lang w:val="en-US" w:eastAsia="zh-CN"/>
        </w:rPr>
        <w:t>86.3分</w:t>
      </w:r>
      <w:r>
        <w:rPr>
          <w:rFonts w:hint="eastAsia" w:ascii="楷体" w:hAnsi="楷体" w:eastAsia="楷体" w:cs="楷体"/>
          <w:sz w:val="32"/>
          <w:szCs w:val="32"/>
          <w:highlight w:val="none"/>
        </w:rPr>
        <w:t>，评价等级为“</w:t>
      </w:r>
      <w:r>
        <w:rPr>
          <w:rFonts w:hint="eastAsia" w:ascii="楷体" w:hAnsi="楷体" w:eastAsia="楷体" w:cs="楷体"/>
          <w:sz w:val="32"/>
          <w:szCs w:val="32"/>
          <w:highlight w:val="none"/>
          <w:lang w:eastAsia="zh-CN"/>
        </w:rPr>
        <w:t>优秀</w:t>
      </w:r>
      <w:r>
        <w:rPr>
          <w:rFonts w:hint="eastAsia" w:ascii="楷体" w:hAnsi="楷体" w:eastAsia="楷体" w:cs="楷体"/>
          <w:sz w:val="32"/>
          <w:szCs w:val="32"/>
          <w:highlight w:val="none"/>
        </w:rPr>
        <w:t>”，具体得分情况如下表：</w:t>
      </w:r>
    </w:p>
    <w:tbl>
      <w:tblPr>
        <w:tblStyle w:val="11"/>
        <w:tblW w:w="8336" w:type="dxa"/>
        <w:jc w:val="center"/>
        <w:tblLayout w:type="fixed"/>
        <w:tblCellMar>
          <w:top w:w="0" w:type="dxa"/>
          <w:left w:w="0" w:type="dxa"/>
          <w:bottom w:w="0" w:type="dxa"/>
          <w:right w:w="0" w:type="dxa"/>
        </w:tblCellMar>
      </w:tblPr>
      <w:tblGrid>
        <w:gridCol w:w="3538"/>
        <w:gridCol w:w="1135"/>
        <w:gridCol w:w="1701"/>
        <w:gridCol w:w="1962"/>
      </w:tblGrid>
      <w:tr>
        <w:tblPrEx>
          <w:tblCellMar>
            <w:top w:w="0" w:type="dxa"/>
            <w:left w:w="0" w:type="dxa"/>
            <w:bottom w:w="0" w:type="dxa"/>
            <w:right w:w="0" w:type="dxa"/>
          </w:tblCellMar>
        </w:tblPrEx>
        <w:trPr>
          <w:trHeight w:val="375" w:hRule="atLeast"/>
          <w:jc w:val="center"/>
        </w:trPr>
        <w:tc>
          <w:tcPr>
            <w:tcW w:w="8336" w:type="dxa"/>
            <w:gridSpan w:val="4"/>
            <w:tcBorders>
              <w:top w:val="nil"/>
              <w:left w:val="nil"/>
              <w:bottom w:val="nil"/>
              <w:right w:val="nil"/>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b/>
                <w:sz w:val="28"/>
                <w:szCs w:val="28"/>
                <w:highlight w:val="none"/>
              </w:rPr>
            </w:pPr>
            <w:r>
              <w:rPr>
                <w:rFonts w:hint="eastAsia" w:ascii="楷体" w:hAnsi="楷体" w:eastAsia="楷体" w:cs="楷体"/>
                <w:b/>
                <w:kern w:val="0"/>
                <w:sz w:val="28"/>
                <w:szCs w:val="28"/>
                <w:highlight w:val="none"/>
                <w:lang w:bidi="ar"/>
              </w:rPr>
              <w:t>表1：项目综合绩效评价情况得分</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评价维度</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分值（分）</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评价得分（分）</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评价分占比</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项目决策</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highlight w:val="none"/>
                <w:u w:val="none"/>
                <w:lang w:val="en-US" w:eastAsia="zh-CN" w:bidi="ar"/>
              </w:rPr>
              <w:t>10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highlight w:val="none"/>
                <w:u w:val="none"/>
                <w:lang w:val="en-US" w:eastAsia="zh-CN" w:bidi="ar"/>
              </w:rPr>
              <w:t>6</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sz w:val="22"/>
                <w:szCs w:val="22"/>
                <w:highlight w:val="none"/>
              </w:rPr>
            </w:pPr>
            <w:r>
              <w:rPr>
                <w:rFonts w:hint="eastAsia" w:ascii="楷体" w:hAnsi="楷体" w:eastAsia="楷体" w:cs="楷体"/>
                <w:i w:val="0"/>
                <w:iCs w:val="0"/>
                <w:color w:val="000000"/>
                <w:kern w:val="0"/>
                <w:sz w:val="22"/>
                <w:szCs w:val="22"/>
                <w:highlight w:val="none"/>
                <w:u w:val="none"/>
                <w:lang w:val="en-US" w:eastAsia="zh-CN" w:bidi="ar"/>
              </w:rPr>
              <w:t>60.00%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项目过程</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sz w:val="22"/>
                <w:szCs w:val="22"/>
                <w:highlight w:val="none"/>
              </w:rPr>
            </w:pPr>
            <w:r>
              <w:rPr>
                <w:rFonts w:hint="eastAsia" w:ascii="楷体" w:hAnsi="楷体" w:eastAsia="楷体" w:cs="楷体"/>
                <w:i w:val="0"/>
                <w:iCs w:val="0"/>
                <w:color w:val="000000"/>
                <w:kern w:val="0"/>
                <w:sz w:val="22"/>
                <w:szCs w:val="22"/>
                <w:highlight w:val="none"/>
                <w:u w:val="none"/>
                <w:lang w:val="en-US" w:eastAsia="zh-CN" w:bidi="ar"/>
              </w:rPr>
              <w:t>25</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highlight w:val="none"/>
                <w:u w:val="none"/>
                <w:lang w:val="en-US" w:eastAsia="zh-CN" w:bidi="ar"/>
              </w:rPr>
              <w:t>20.08</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sz w:val="22"/>
                <w:szCs w:val="22"/>
                <w:highlight w:val="none"/>
              </w:rPr>
            </w:pPr>
            <w:r>
              <w:rPr>
                <w:rFonts w:hint="eastAsia" w:ascii="楷体" w:hAnsi="楷体" w:eastAsia="楷体" w:cs="楷体"/>
                <w:i w:val="0"/>
                <w:iCs w:val="0"/>
                <w:color w:val="000000"/>
                <w:kern w:val="0"/>
                <w:sz w:val="22"/>
                <w:szCs w:val="22"/>
                <w:highlight w:val="none"/>
                <w:u w:val="none"/>
                <w:lang w:val="en-US" w:eastAsia="zh-CN" w:bidi="ar"/>
              </w:rPr>
              <w:t>80.32%</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项目产出</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highlight w:val="none"/>
                <w:u w:val="none"/>
                <w:lang w:val="en-US" w:eastAsia="zh-CN" w:bidi="ar"/>
              </w:rPr>
              <w:t>25</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highlight w:val="none"/>
                <w:u w:val="none"/>
                <w:lang w:val="en-US" w:eastAsia="zh-CN" w:bidi="ar"/>
              </w:rPr>
              <w:t>20.22</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sz w:val="22"/>
                <w:szCs w:val="22"/>
                <w:highlight w:val="none"/>
                <w:lang w:val="en-US"/>
              </w:rPr>
            </w:pPr>
            <w:r>
              <w:rPr>
                <w:rFonts w:hint="eastAsia" w:ascii="楷体" w:hAnsi="楷体" w:eastAsia="楷体" w:cs="楷体"/>
                <w:i w:val="0"/>
                <w:iCs w:val="0"/>
                <w:color w:val="000000"/>
                <w:kern w:val="0"/>
                <w:sz w:val="22"/>
                <w:szCs w:val="22"/>
                <w:highlight w:val="none"/>
                <w:u w:val="none"/>
                <w:lang w:val="en-US" w:eastAsia="zh-CN" w:bidi="ar"/>
              </w:rPr>
              <w:t>80.88%</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项目效益</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highlight w:val="none"/>
                <w:u w:val="none"/>
                <w:lang w:val="en-US" w:eastAsia="zh-CN" w:bidi="ar"/>
              </w:rPr>
              <w:t>40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highlight w:val="none"/>
                <w:u w:val="none"/>
                <w:lang w:val="en-US" w:eastAsia="zh-CN" w:bidi="ar"/>
              </w:rPr>
              <w:t>40</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sz w:val="22"/>
                <w:szCs w:val="22"/>
                <w:highlight w:val="none"/>
              </w:rPr>
            </w:pPr>
            <w:r>
              <w:rPr>
                <w:rFonts w:hint="eastAsia" w:ascii="楷体" w:hAnsi="楷体" w:eastAsia="楷体" w:cs="楷体"/>
                <w:i w:val="0"/>
                <w:iCs w:val="0"/>
                <w:color w:val="000000"/>
                <w:kern w:val="0"/>
                <w:sz w:val="22"/>
                <w:szCs w:val="22"/>
                <w:highlight w:val="none"/>
                <w:u w:val="none"/>
                <w:lang w:val="en-US" w:eastAsia="zh-CN" w:bidi="ar"/>
              </w:rPr>
              <w:t>100.00%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60" w:lineRule="auto"/>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合计</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b/>
                <w:bCs/>
                <w:sz w:val="22"/>
                <w:szCs w:val="22"/>
                <w:highlight w:val="none"/>
              </w:rPr>
            </w:pPr>
            <w:r>
              <w:rPr>
                <w:rFonts w:hint="eastAsia" w:ascii="楷体" w:hAnsi="楷体" w:eastAsia="楷体" w:cs="楷体"/>
                <w:i w:val="0"/>
                <w:iCs w:val="0"/>
                <w:color w:val="000000"/>
                <w:kern w:val="0"/>
                <w:sz w:val="22"/>
                <w:szCs w:val="22"/>
                <w:highlight w:val="none"/>
                <w:u w:val="none"/>
                <w:lang w:val="en-US" w:eastAsia="zh-CN" w:bidi="ar"/>
              </w:rPr>
              <w:t>100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b/>
                <w:bCs/>
                <w:sz w:val="22"/>
                <w:szCs w:val="22"/>
                <w:highlight w:val="none"/>
                <w:lang w:val="en-US" w:eastAsia="zh-CN"/>
              </w:rPr>
            </w:pPr>
            <w:r>
              <w:rPr>
                <w:rFonts w:hint="eastAsia" w:ascii="楷体" w:hAnsi="楷体" w:eastAsia="楷体" w:cs="楷体"/>
                <w:b/>
                <w:bCs/>
                <w:sz w:val="22"/>
                <w:szCs w:val="22"/>
                <w:highlight w:val="none"/>
                <w:lang w:val="en-US" w:eastAsia="zh-CN"/>
              </w:rPr>
              <w:t>86.3</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b/>
                <w:bCs/>
                <w:sz w:val="22"/>
                <w:szCs w:val="22"/>
                <w:highlight w:val="none"/>
              </w:rPr>
            </w:pPr>
            <w:r>
              <w:rPr>
                <w:rFonts w:hint="eastAsia" w:ascii="楷体" w:hAnsi="楷体" w:eastAsia="楷体" w:cs="楷体"/>
                <w:i w:val="0"/>
                <w:iCs w:val="0"/>
                <w:color w:val="000000"/>
                <w:kern w:val="0"/>
                <w:sz w:val="22"/>
                <w:szCs w:val="22"/>
                <w:highlight w:val="none"/>
                <w:u w:val="none"/>
                <w:lang w:val="en-US" w:eastAsia="zh-CN" w:bidi="ar"/>
              </w:rPr>
              <w:t>86.3%</w:t>
            </w:r>
          </w:p>
        </w:tc>
      </w:tr>
      <w:bookmarkEnd w:id="14"/>
      <w:bookmarkEnd w:id="15"/>
      <w:bookmarkEnd w:id="16"/>
      <w:bookmarkEnd w:id="17"/>
    </w:tbl>
    <w:p>
      <w:pPr>
        <w:keepNext w:val="0"/>
        <w:keepLines w:val="0"/>
        <w:pageBreakBefore w:val="0"/>
        <w:widowControl w:val="0"/>
        <w:kinsoku/>
        <w:wordWrap/>
        <w:overflowPunct/>
        <w:topLinePunct w:val="0"/>
        <w:autoSpaceDE/>
        <w:autoSpaceDN/>
        <w:bidi w:val="0"/>
        <w:adjustRightInd w:val="0"/>
        <w:snapToGrid w:val="0"/>
        <w:spacing w:line="360" w:lineRule="auto"/>
        <w:ind w:firstLine="320" w:firstLineChars="100"/>
        <w:textAlignment w:val="auto"/>
        <w:outlineLvl w:val="0"/>
        <w:rPr>
          <w:rFonts w:hint="eastAsia" w:ascii="楷体" w:hAnsi="楷体" w:eastAsia="楷体" w:cs="楷体"/>
          <w:sz w:val="32"/>
          <w:szCs w:val="32"/>
          <w:highlight w:val="none"/>
        </w:rPr>
      </w:pPr>
      <w:bookmarkStart w:id="35" w:name="_Toc16522"/>
      <w:bookmarkStart w:id="36" w:name="_Toc31992"/>
      <w:bookmarkStart w:id="37" w:name="_Toc17112"/>
      <w:bookmarkStart w:id="38" w:name="_Toc13465"/>
      <w:r>
        <w:rPr>
          <w:rFonts w:hint="eastAsia" w:ascii="楷体" w:hAnsi="楷体" w:eastAsia="楷体" w:cs="楷体"/>
          <w:sz w:val="32"/>
          <w:szCs w:val="32"/>
          <w:highlight w:val="none"/>
          <w:lang w:eastAsia="zh-CN"/>
        </w:rPr>
        <w:t>四、</w:t>
      </w:r>
      <w:r>
        <w:rPr>
          <w:rFonts w:hint="eastAsia" w:ascii="楷体" w:hAnsi="楷体" w:eastAsia="楷体" w:cs="楷体"/>
          <w:sz w:val="32"/>
          <w:szCs w:val="32"/>
          <w:highlight w:val="none"/>
        </w:rPr>
        <w:t>项目</w:t>
      </w:r>
      <w:bookmarkEnd w:id="35"/>
      <w:r>
        <w:rPr>
          <w:rFonts w:hint="eastAsia" w:ascii="楷体" w:hAnsi="楷体" w:eastAsia="楷体" w:cs="楷体"/>
          <w:sz w:val="32"/>
          <w:szCs w:val="32"/>
          <w:highlight w:val="none"/>
        </w:rPr>
        <w:t>指标分析</w:t>
      </w:r>
      <w:bookmarkEnd w:id="36"/>
      <w:bookmarkEnd w:id="37"/>
      <w:bookmarkEnd w:id="38"/>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highlight w:val="none"/>
        </w:rPr>
      </w:pPr>
      <w:bookmarkStart w:id="39" w:name="_Toc9742"/>
      <w:bookmarkStart w:id="40" w:name="_Toc13174"/>
      <w:bookmarkStart w:id="41" w:name="_Toc30087652"/>
      <w:bookmarkStart w:id="42" w:name="_Toc29910221"/>
      <w:r>
        <w:rPr>
          <w:rFonts w:hint="eastAsia" w:ascii="楷体" w:hAnsi="楷体" w:eastAsia="楷体" w:cs="楷体"/>
          <w:sz w:val="32"/>
          <w:szCs w:val="32"/>
          <w:highlight w:val="none"/>
        </w:rPr>
        <w:t>（一）项目决策</w:t>
      </w:r>
      <w:bookmarkEnd w:id="39"/>
      <w:bookmarkEnd w:id="40"/>
      <w:bookmarkEnd w:id="41"/>
      <w:bookmarkEnd w:id="42"/>
    </w:p>
    <w:p>
      <w:pPr>
        <w:pStyle w:val="3"/>
        <w:keepNext w:val="0"/>
        <w:keepLines w:val="0"/>
        <w:pageBreakBefore w:val="0"/>
        <w:widowControl w:val="0"/>
        <w:kinsoku/>
        <w:wordWrap/>
        <w:overflowPunct/>
        <w:topLinePunct w:val="0"/>
        <w:autoSpaceDE/>
        <w:autoSpaceDN/>
        <w:bidi w:val="0"/>
        <w:spacing w:line="360" w:lineRule="auto"/>
        <w:textAlignment w:val="auto"/>
        <w:rPr>
          <w:rFonts w:hint="eastAsia" w:ascii="楷体" w:hAnsi="楷体" w:eastAsia="楷体" w:cs="楷体"/>
          <w:kern w:val="2"/>
          <w:sz w:val="32"/>
          <w:szCs w:val="32"/>
          <w:highlight w:val="none"/>
          <w:lang w:val="en-US" w:eastAsia="zh-CN" w:bidi="ar-SA"/>
        </w:rPr>
      </w:pPr>
      <w:r>
        <w:rPr>
          <w:rFonts w:hint="eastAsia" w:ascii="楷体" w:hAnsi="楷体" w:eastAsia="楷体" w:cs="楷体"/>
          <w:kern w:val="2"/>
          <w:sz w:val="32"/>
          <w:szCs w:val="32"/>
          <w:highlight w:val="none"/>
          <w:lang w:val="en-US" w:eastAsia="zh-CN" w:bidi="ar-SA"/>
        </w:rPr>
        <w:t>该指标满分10分，评价得分6分</w:t>
      </w:r>
    </w:p>
    <w:p>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outlineLvl w:val="2"/>
        <w:rPr>
          <w:rFonts w:hint="eastAsia" w:ascii="楷体" w:hAnsi="楷体" w:eastAsia="楷体" w:cs="楷体"/>
          <w:b/>
          <w:sz w:val="32"/>
          <w:szCs w:val="32"/>
          <w:highlight w:val="none"/>
        </w:rPr>
      </w:pPr>
      <w:bookmarkStart w:id="43" w:name="_Toc22054"/>
      <w:bookmarkStart w:id="44" w:name="_Toc28027"/>
      <w:r>
        <w:rPr>
          <w:rFonts w:hint="eastAsia" w:ascii="楷体" w:hAnsi="楷体" w:eastAsia="楷体" w:cs="楷体"/>
          <w:b/>
          <w:sz w:val="32"/>
          <w:szCs w:val="32"/>
          <w:highlight w:val="none"/>
        </w:rPr>
        <w:t>1.</w:t>
      </w:r>
      <w:r>
        <w:rPr>
          <w:rFonts w:hint="eastAsia" w:ascii="楷体" w:hAnsi="楷体" w:eastAsia="楷体" w:cs="楷体"/>
          <w:b/>
          <w:sz w:val="32"/>
          <w:szCs w:val="32"/>
          <w:highlight w:val="none"/>
          <w:lang w:eastAsia="zh-CN"/>
        </w:rPr>
        <w:t>项目立项</w:t>
      </w:r>
      <w:r>
        <w:rPr>
          <w:rFonts w:hint="eastAsia" w:ascii="楷体" w:hAnsi="楷体" w:eastAsia="楷体" w:cs="楷体"/>
          <w:b/>
          <w:sz w:val="32"/>
          <w:szCs w:val="32"/>
          <w:highlight w:val="none"/>
        </w:rPr>
        <w:t>（满分</w:t>
      </w:r>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分，评价得分</w:t>
      </w:r>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分）</w:t>
      </w:r>
      <w:bookmarkEnd w:id="43"/>
      <w:bookmarkEnd w:id="44"/>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eastAsia="zh-CN"/>
        </w:rPr>
        <w:t>滹沱河河道内村庄防洪整治工程项目前期立项符合国家法律法规，符合国民经济发展规划，无极县水利局按照要求积极提交申报，材料、审批符合相关要求，并进行了相关项目的可行性研究。</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outlineLvl w:val="9"/>
        <w:rPr>
          <w:rFonts w:hint="eastAsia" w:ascii="楷体" w:hAnsi="楷体" w:eastAsia="楷体" w:cs="楷体"/>
          <w:sz w:val="32"/>
          <w:szCs w:val="32"/>
          <w:highlight w:val="yellow"/>
        </w:rPr>
      </w:pPr>
      <w:bookmarkStart w:id="45" w:name="_Toc12637"/>
      <w:r>
        <w:rPr>
          <w:rFonts w:hint="eastAsia" w:ascii="楷体" w:hAnsi="楷体" w:eastAsia="楷体" w:cs="楷体"/>
          <w:sz w:val="32"/>
          <w:szCs w:val="32"/>
        </w:rPr>
        <w:t>经评价，该项指标得分</w:t>
      </w:r>
      <w:r>
        <w:rPr>
          <w:rFonts w:hint="eastAsia" w:ascii="楷体" w:hAnsi="楷体" w:eastAsia="楷体" w:cs="楷体"/>
          <w:sz w:val="32"/>
          <w:szCs w:val="32"/>
          <w:lang w:val="en-US" w:eastAsia="zh-CN"/>
        </w:rPr>
        <w:t>4</w:t>
      </w:r>
      <w:r>
        <w:rPr>
          <w:rFonts w:hint="eastAsia" w:ascii="楷体" w:hAnsi="楷体" w:eastAsia="楷体" w:cs="楷体"/>
          <w:sz w:val="32"/>
          <w:szCs w:val="32"/>
        </w:rPr>
        <w:t>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b/>
          <w:sz w:val="32"/>
          <w:szCs w:val="32"/>
          <w:highlight w:val="none"/>
          <w:lang w:val="en-US" w:eastAsia="zh-CN"/>
        </w:rPr>
      </w:pPr>
      <w:r>
        <w:rPr>
          <w:rFonts w:hint="eastAsia" w:ascii="楷体" w:hAnsi="楷体" w:eastAsia="楷体" w:cs="楷体"/>
          <w:b/>
          <w:sz w:val="32"/>
          <w:szCs w:val="32"/>
          <w:highlight w:val="none"/>
          <w:lang w:val="en-US" w:eastAsia="zh-CN"/>
        </w:rPr>
        <w:t>2.绩效目标（</w:t>
      </w:r>
      <w:r>
        <w:rPr>
          <w:rFonts w:hint="eastAsia" w:ascii="楷体" w:hAnsi="楷体" w:eastAsia="楷体" w:cs="楷体"/>
          <w:b/>
          <w:sz w:val="32"/>
          <w:szCs w:val="32"/>
          <w:highlight w:val="none"/>
        </w:rPr>
        <w:t>满分</w:t>
      </w:r>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分，评价得分</w:t>
      </w:r>
      <w:r>
        <w:rPr>
          <w:rFonts w:hint="eastAsia" w:ascii="楷体" w:hAnsi="楷体" w:eastAsia="楷体" w:cs="楷体"/>
          <w:b/>
          <w:sz w:val="32"/>
          <w:szCs w:val="32"/>
          <w:highlight w:val="none"/>
          <w:lang w:val="en-US" w:eastAsia="zh-CN"/>
        </w:rPr>
        <w:t>0</w:t>
      </w:r>
      <w:r>
        <w:rPr>
          <w:rFonts w:hint="eastAsia" w:ascii="楷体" w:hAnsi="楷体" w:eastAsia="楷体" w:cs="楷体"/>
          <w:b/>
          <w:sz w:val="32"/>
          <w:szCs w:val="32"/>
          <w:highlight w:val="none"/>
        </w:rPr>
        <w:t>分</w:t>
      </w:r>
      <w:r>
        <w:rPr>
          <w:rFonts w:hint="eastAsia" w:ascii="楷体" w:hAnsi="楷体" w:eastAsia="楷体" w:cs="楷体"/>
          <w:b/>
          <w:sz w:val="32"/>
          <w:szCs w:val="32"/>
          <w:highlight w:val="none"/>
          <w:lang w:val="en-US" w:eastAsia="zh-CN"/>
        </w:rPr>
        <w:t>）</w:t>
      </w:r>
      <w:bookmarkEnd w:id="45"/>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kern w:val="2"/>
          <w:sz w:val="32"/>
          <w:szCs w:val="32"/>
          <w:highlight w:val="none"/>
          <w:lang w:val="en-US" w:eastAsia="zh-CN" w:bidi="ar-SA"/>
        </w:rPr>
      </w:pPr>
      <w:r>
        <w:rPr>
          <w:rFonts w:hint="eastAsia" w:ascii="楷体" w:hAnsi="楷体" w:eastAsia="楷体" w:cs="楷体"/>
          <w:kern w:val="2"/>
          <w:sz w:val="32"/>
          <w:szCs w:val="32"/>
          <w:highlight w:val="none"/>
          <w:lang w:val="en-US" w:eastAsia="zh-CN" w:bidi="ar-SA"/>
        </w:rPr>
        <w:t>项目主管单位未制定相关项目的绩效目标，不能明确反映与该项目实际批复情况吻合，更不能反映出项目实施单位的职责密切相关。</w:t>
      </w:r>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eastAsia="zh-CN"/>
        </w:rPr>
        <w:t>经评价，该指标扣</w:t>
      </w:r>
      <w:r>
        <w:rPr>
          <w:rFonts w:hint="eastAsia" w:ascii="楷体" w:hAnsi="楷体" w:eastAsia="楷体" w:cs="楷体"/>
          <w:sz w:val="32"/>
          <w:szCs w:val="32"/>
          <w:highlight w:val="none"/>
          <w:lang w:val="en-US" w:eastAsia="zh-CN"/>
        </w:rPr>
        <w:t>4</w:t>
      </w:r>
      <w:r>
        <w:rPr>
          <w:rFonts w:hint="eastAsia" w:ascii="楷体" w:hAnsi="楷体" w:eastAsia="楷体" w:cs="楷体"/>
          <w:sz w:val="32"/>
          <w:szCs w:val="32"/>
          <w:highlight w:val="none"/>
          <w:lang w:eastAsia="zh-CN"/>
        </w:rPr>
        <w:t>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b/>
          <w:sz w:val="32"/>
          <w:szCs w:val="32"/>
          <w:highlight w:val="none"/>
          <w:lang w:val="en-US" w:eastAsia="zh-CN"/>
        </w:rPr>
      </w:pPr>
      <w:bookmarkStart w:id="46" w:name="_Toc12439"/>
      <w:r>
        <w:rPr>
          <w:rFonts w:hint="eastAsia" w:ascii="楷体" w:hAnsi="楷体" w:eastAsia="楷体" w:cs="楷体"/>
          <w:b/>
          <w:sz w:val="32"/>
          <w:szCs w:val="32"/>
          <w:highlight w:val="none"/>
          <w:lang w:val="en-US" w:eastAsia="zh-CN"/>
        </w:rPr>
        <w:t>3.资金投入（</w:t>
      </w:r>
      <w:r>
        <w:rPr>
          <w:rFonts w:hint="eastAsia" w:ascii="楷体" w:hAnsi="楷体" w:eastAsia="楷体" w:cs="楷体"/>
          <w:b/>
          <w:sz w:val="32"/>
          <w:szCs w:val="32"/>
          <w:highlight w:val="none"/>
        </w:rPr>
        <w:t>满分</w:t>
      </w:r>
      <w:r>
        <w:rPr>
          <w:rFonts w:hint="eastAsia" w:ascii="楷体" w:hAnsi="楷体" w:eastAsia="楷体" w:cs="楷体"/>
          <w:b/>
          <w:sz w:val="32"/>
          <w:szCs w:val="32"/>
          <w:highlight w:val="none"/>
          <w:lang w:val="en-US" w:eastAsia="zh-CN"/>
        </w:rPr>
        <w:t>2</w:t>
      </w:r>
      <w:r>
        <w:rPr>
          <w:rFonts w:hint="eastAsia" w:ascii="楷体" w:hAnsi="楷体" w:eastAsia="楷体" w:cs="楷体"/>
          <w:b/>
          <w:sz w:val="32"/>
          <w:szCs w:val="32"/>
          <w:highlight w:val="none"/>
        </w:rPr>
        <w:t>分，评价得分</w:t>
      </w:r>
      <w:r>
        <w:rPr>
          <w:rFonts w:hint="eastAsia" w:ascii="楷体" w:hAnsi="楷体" w:eastAsia="楷体" w:cs="楷体"/>
          <w:b/>
          <w:sz w:val="32"/>
          <w:szCs w:val="32"/>
          <w:highlight w:val="none"/>
          <w:lang w:val="en-US" w:eastAsia="zh-CN"/>
        </w:rPr>
        <w:t>2</w:t>
      </w:r>
      <w:r>
        <w:rPr>
          <w:rFonts w:hint="eastAsia" w:ascii="楷体" w:hAnsi="楷体" w:eastAsia="楷体" w:cs="楷体"/>
          <w:b/>
          <w:sz w:val="32"/>
          <w:szCs w:val="32"/>
          <w:highlight w:val="none"/>
        </w:rPr>
        <w:t>分</w:t>
      </w:r>
      <w:r>
        <w:rPr>
          <w:rFonts w:hint="eastAsia" w:ascii="楷体" w:hAnsi="楷体" w:eastAsia="楷体" w:cs="楷体"/>
          <w:b/>
          <w:sz w:val="32"/>
          <w:szCs w:val="32"/>
          <w:highlight w:val="none"/>
          <w:lang w:val="en-US" w:eastAsia="zh-CN"/>
        </w:rPr>
        <w:t>）</w:t>
      </w:r>
      <w:bookmarkEnd w:id="46"/>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eastAsia="zh-CN"/>
        </w:rPr>
        <w:t>滹沱河河道内村庄防洪整治工程项目前期，经过</w:t>
      </w:r>
      <w:r>
        <w:rPr>
          <w:rFonts w:hint="eastAsia" w:ascii="楷体" w:hAnsi="楷体" w:eastAsia="楷体" w:cs="楷体"/>
          <w:sz w:val="32"/>
          <w:szCs w:val="32"/>
          <w:highlight w:val="none"/>
          <w:lang w:val="en-US" w:eastAsia="zh-CN"/>
        </w:rPr>
        <w:t>2020年4月21日</w:t>
      </w:r>
      <w:r>
        <w:rPr>
          <w:rFonts w:hint="eastAsia" w:ascii="楷体" w:hAnsi="楷体" w:eastAsia="楷体" w:cs="楷体"/>
          <w:sz w:val="32"/>
          <w:szCs w:val="32"/>
          <w:highlight w:val="none"/>
          <w:lang w:eastAsia="zh-CN"/>
        </w:rPr>
        <w:t>无极县行政审批局《关于滹沱河河道内村庄防洪整治工程可行性研究报告的批复》（无行审审字【</w:t>
      </w:r>
      <w:r>
        <w:rPr>
          <w:rFonts w:hint="eastAsia" w:ascii="楷体" w:hAnsi="楷体" w:eastAsia="楷体" w:cs="楷体"/>
          <w:sz w:val="32"/>
          <w:szCs w:val="32"/>
          <w:highlight w:val="none"/>
          <w:lang w:val="en-US" w:eastAsia="zh-CN"/>
        </w:rPr>
        <w:t>2020】28号）文件，项目总投资53657.01万元，资金来源为政府资金。2021年5月21日无极县行政审批局《关于滹沱河河道内村庄防洪整治工程土料场设计变更的批复》文件，变更后项目概算总投资46472.36万元，减少7114.2万元。2022年度财政拨付资金46775474.9元，实际支付资金42800525.1元。</w:t>
      </w:r>
      <w:r>
        <w:rPr>
          <w:rFonts w:hint="eastAsia" w:ascii="楷体" w:hAnsi="楷体" w:eastAsia="楷体" w:cs="楷体"/>
          <w:sz w:val="32"/>
          <w:szCs w:val="32"/>
          <w:highlight w:val="none"/>
          <w:lang w:eastAsia="zh-CN"/>
        </w:rPr>
        <w:t>项目资金投入符合预算的编制，得</w:t>
      </w:r>
      <w:r>
        <w:rPr>
          <w:rFonts w:hint="eastAsia" w:ascii="楷体" w:hAnsi="楷体" w:eastAsia="楷体" w:cs="楷体"/>
          <w:sz w:val="32"/>
          <w:szCs w:val="32"/>
          <w:highlight w:val="none"/>
          <w:lang w:val="en-US" w:eastAsia="zh-CN"/>
        </w:rPr>
        <w:t>2分</w:t>
      </w:r>
      <w:r>
        <w:rPr>
          <w:rFonts w:hint="eastAsia" w:ascii="楷体" w:hAnsi="楷体" w:eastAsia="楷体" w:cs="楷体"/>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highlight w:val="none"/>
          <w:lang w:eastAsia="zh-CN"/>
        </w:rPr>
      </w:pPr>
      <w:bookmarkStart w:id="47" w:name="_Toc12347"/>
      <w:r>
        <w:rPr>
          <w:rFonts w:hint="eastAsia" w:ascii="楷体" w:hAnsi="楷体" w:eastAsia="楷体" w:cs="楷体"/>
          <w:sz w:val="32"/>
          <w:szCs w:val="32"/>
          <w:highlight w:val="none"/>
        </w:rPr>
        <w:t>（</w:t>
      </w:r>
      <w:r>
        <w:rPr>
          <w:rFonts w:hint="eastAsia" w:ascii="楷体" w:hAnsi="楷体" w:eastAsia="楷体" w:cs="楷体"/>
          <w:sz w:val="32"/>
          <w:szCs w:val="32"/>
          <w:highlight w:val="none"/>
          <w:lang w:eastAsia="zh-CN"/>
        </w:rPr>
        <w:t>二</w:t>
      </w:r>
      <w:r>
        <w:rPr>
          <w:rFonts w:hint="eastAsia" w:ascii="楷体" w:hAnsi="楷体" w:eastAsia="楷体" w:cs="楷体"/>
          <w:sz w:val="32"/>
          <w:szCs w:val="32"/>
          <w:highlight w:val="none"/>
        </w:rPr>
        <w:t>）项目</w:t>
      </w:r>
      <w:r>
        <w:rPr>
          <w:rFonts w:hint="eastAsia" w:ascii="楷体" w:hAnsi="楷体" w:eastAsia="楷体" w:cs="楷体"/>
          <w:sz w:val="32"/>
          <w:szCs w:val="32"/>
          <w:highlight w:val="none"/>
          <w:lang w:eastAsia="zh-CN"/>
        </w:rPr>
        <w:t>过程</w:t>
      </w:r>
      <w:bookmarkEnd w:id="47"/>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该指标满分25分，评价得分20.08分。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48" w:name="_Toc24453"/>
      <w:r>
        <w:rPr>
          <w:rFonts w:hint="eastAsia" w:ascii="楷体" w:hAnsi="楷体" w:eastAsia="楷体" w:cs="楷体"/>
          <w:b/>
          <w:kern w:val="2"/>
          <w:sz w:val="32"/>
          <w:szCs w:val="32"/>
          <w:highlight w:val="none"/>
          <w:lang w:val="en-US" w:eastAsia="zh-CN" w:bidi="ar-SA"/>
        </w:rPr>
        <w:t>1.资金管理（满分15分，评价得分10.08分）</w:t>
      </w:r>
      <w:bookmarkEnd w:id="48"/>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highlight w:val="none"/>
          <w:lang w:val="en-US" w:eastAsia="zh-CN"/>
        </w:rPr>
        <w:t>根据</w:t>
      </w:r>
      <w:r>
        <w:rPr>
          <w:rFonts w:hint="eastAsia" w:ascii="楷体" w:hAnsi="楷体" w:eastAsia="楷体" w:cs="楷体"/>
          <w:sz w:val="32"/>
          <w:szCs w:val="32"/>
          <w:highlight w:val="none"/>
          <w:lang w:eastAsia="zh-CN"/>
        </w:rPr>
        <w:t>无极县行政审批局《关于滹沱河河道内村庄防洪整治工程可行性研究报告的批复》（无行审审字【</w:t>
      </w:r>
      <w:r>
        <w:rPr>
          <w:rFonts w:hint="eastAsia" w:ascii="楷体" w:hAnsi="楷体" w:eastAsia="楷体" w:cs="楷体"/>
          <w:sz w:val="32"/>
          <w:szCs w:val="32"/>
          <w:highlight w:val="none"/>
          <w:lang w:val="en-US" w:eastAsia="zh-CN"/>
        </w:rPr>
        <w:t>2020】28号）、《关于滹沱河河道内村庄防洪整治工程土料场设计变更的批复》文件</w:t>
      </w:r>
      <w:r>
        <w:rPr>
          <w:rFonts w:hint="eastAsia" w:ascii="楷体" w:hAnsi="楷体" w:eastAsia="楷体" w:cs="楷体"/>
          <w:sz w:val="32"/>
          <w:szCs w:val="32"/>
          <w:lang w:eastAsia="zh-CN"/>
        </w:rPr>
        <w:t>，对资金到位率评价指标以加权平均法进行扣分。</w:t>
      </w:r>
    </w:p>
    <w:tbl>
      <w:tblPr>
        <w:tblStyle w:val="11"/>
        <w:tblW w:w="7948" w:type="dxa"/>
        <w:tblInd w:w="0" w:type="dxa"/>
        <w:shd w:val="clear" w:color="auto" w:fill="auto"/>
        <w:tblLayout w:type="fixed"/>
        <w:tblCellMar>
          <w:top w:w="0" w:type="dxa"/>
          <w:left w:w="0" w:type="dxa"/>
          <w:bottom w:w="0" w:type="dxa"/>
          <w:right w:w="0" w:type="dxa"/>
        </w:tblCellMar>
      </w:tblPr>
      <w:tblGrid>
        <w:gridCol w:w="579"/>
        <w:gridCol w:w="2233"/>
        <w:gridCol w:w="2001"/>
        <w:gridCol w:w="1665"/>
        <w:gridCol w:w="1470"/>
      </w:tblGrid>
      <w:tr>
        <w:tblPrEx>
          <w:shd w:val="clear" w:color="auto" w:fill="auto"/>
          <w:tblCellMar>
            <w:top w:w="0" w:type="dxa"/>
            <w:left w:w="0" w:type="dxa"/>
            <w:bottom w:w="0" w:type="dxa"/>
            <w:right w:w="0" w:type="dxa"/>
          </w:tblCellMar>
        </w:tblPrEx>
        <w:trPr>
          <w:trHeight w:val="607"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2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2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预算资金额</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拨付资金额</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资金到位率</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1</w:t>
            </w:r>
          </w:p>
        </w:tc>
        <w:tc>
          <w:tcPr>
            <w:tcW w:w="2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20"/>
                <w:szCs w:val="20"/>
                <w:u w:val="none"/>
                <w:lang w:eastAsia="zh-CN"/>
              </w:rPr>
              <w:t>无极县水利局</w:t>
            </w:r>
          </w:p>
        </w:tc>
        <w:tc>
          <w:tcPr>
            <w:tcW w:w="2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464723600.00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46775474.9</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10%</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2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p>
        </w:tc>
        <w:tc>
          <w:tcPr>
            <w:tcW w:w="2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u w:val="none"/>
                <w:lang w:val="en-US" w:eastAsia="zh-CN" w:bidi="ar"/>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u w:val="none"/>
                <w:lang w:val="en-US" w:eastAsia="zh-CN" w:bidi="ar"/>
              </w:rPr>
            </w:pP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u w:val="none"/>
                <w:lang w:val="en-US" w:eastAsia="zh-CN" w:bidi="ar"/>
              </w:rPr>
            </w:pPr>
          </w:p>
        </w:tc>
      </w:tr>
      <w:tr>
        <w:tblPrEx>
          <w:tblCellMar>
            <w:top w:w="0" w:type="dxa"/>
            <w:left w:w="0" w:type="dxa"/>
            <w:bottom w:w="0" w:type="dxa"/>
            <w:right w:w="0" w:type="dxa"/>
          </w:tblCellMar>
        </w:tblPrEx>
        <w:trPr>
          <w:trHeight w:val="522"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2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i w:val="0"/>
                <w:color w:val="000000"/>
                <w:sz w:val="20"/>
                <w:szCs w:val="20"/>
                <w:u w:val="none"/>
              </w:rPr>
            </w:pPr>
          </w:p>
        </w:tc>
        <w:tc>
          <w:tcPr>
            <w:tcW w:w="20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464723600.00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46775474.9</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10%</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扣分原因为：分值-分值×资金到位率=得分[5-5×10%=4.5]</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eastAsia="zh-CN"/>
        </w:rPr>
        <w:t>经查看无极县水利局相关项目支付凭证，对资金的支付率指标以加权平均法进行扣分。</w:t>
      </w:r>
    </w:p>
    <w:tbl>
      <w:tblPr>
        <w:tblStyle w:val="11"/>
        <w:tblW w:w="8128" w:type="dxa"/>
        <w:tblInd w:w="0" w:type="dxa"/>
        <w:shd w:val="clear" w:color="auto" w:fill="auto"/>
        <w:tblLayout w:type="fixed"/>
        <w:tblCellMar>
          <w:top w:w="0" w:type="dxa"/>
          <w:left w:w="0" w:type="dxa"/>
          <w:bottom w:w="0" w:type="dxa"/>
          <w:right w:w="0" w:type="dxa"/>
        </w:tblCellMar>
      </w:tblPr>
      <w:tblGrid>
        <w:gridCol w:w="594"/>
        <w:gridCol w:w="2908"/>
        <w:gridCol w:w="1581"/>
        <w:gridCol w:w="1260"/>
        <w:gridCol w:w="1785"/>
      </w:tblGrid>
      <w:tr>
        <w:tblPrEx>
          <w:shd w:val="clear" w:color="auto" w:fill="auto"/>
          <w:tblCellMar>
            <w:top w:w="0" w:type="dxa"/>
            <w:left w:w="0" w:type="dxa"/>
            <w:bottom w:w="0" w:type="dxa"/>
            <w:right w:w="0" w:type="dxa"/>
          </w:tblCellMar>
        </w:tblPrEx>
        <w:trPr>
          <w:trHeight w:val="482"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2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5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拨付资金额</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支出资金额</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资金支出率</w:t>
            </w:r>
          </w:p>
        </w:tc>
      </w:tr>
      <w:tr>
        <w:tblPrEx>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bookmarkStart w:id="49" w:name="OLE_LINK2" w:colFirst="2" w:colLast="3"/>
            <w:r>
              <w:rPr>
                <w:rFonts w:hint="eastAsia" w:ascii="楷体" w:hAnsi="楷体" w:eastAsia="楷体" w:cs="楷体"/>
                <w:i w:val="0"/>
                <w:color w:val="000000"/>
                <w:kern w:val="0"/>
                <w:sz w:val="20"/>
                <w:szCs w:val="20"/>
                <w:u w:val="none"/>
                <w:lang w:val="en-US" w:eastAsia="zh-CN" w:bidi="ar"/>
              </w:rPr>
              <w:t>1</w:t>
            </w:r>
          </w:p>
        </w:tc>
        <w:tc>
          <w:tcPr>
            <w:tcW w:w="2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20"/>
                <w:szCs w:val="20"/>
                <w:u w:val="none"/>
                <w:lang w:eastAsia="zh-CN"/>
              </w:rPr>
              <w:t>无极县水利局</w:t>
            </w:r>
          </w:p>
        </w:tc>
        <w:tc>
          <w:tcPr>
            <w:tcW w:w="15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highlight w:val="yellow"/>
                <w:u w:val="none"/>
                <w:lang w:val="en-US"/>
              </w:rPr>
            </w:pPr>
            <w:r>
              <w:rPr>
                <w:rFonts w:hint="eastAsia" w:ascii="楷体" w:hAnsi="楷体" w:eastAsia="楷体" w:cs="楷体"/>
                <w:i w:val="0"/>
                <w:iCs w:val="0"/>
                <w:color w:val="000000"/>
                <w:kern w:val="0"/>
                <w:sz w:val="18"/>
                <w:szCs w:val="18"/>
                <w:u w:val="none"/>
                <w:lang w:val="en-US" w:eastAsia="zh-CN" w:bidi="ar"/>
              </w:rPr>
              <w:t>46775474.9</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42800525.1</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91.5%</w:t>
            </w:r>
          </w:p>
        </w:tc>
      </w:tr>
      <w:tr>
        <w:tblPrEx>
          <w:tblCellMar>
            <w:top w:w="0" w:type="dxa"/>
            <w:left w:w="0" w:type="dxa"/>
            <w:bottom w:w="0" w:type="dxa"/>
            <w:right w:w="0" w:type="dxa"/>
          </w:tblCellMar>
        </w:tblPrEx>
        <w:trPr>
          <w:trHeight w:val="779"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2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p>
        </w:tc>
        <w:tc>
          <w:tcPr>
            <w:tcW w:w="15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18"/>
                <w:szCs w:val="18"/>
                <w:highlight w:val="yellow"/>
                <w:u w:val="none"/>
                <w:lang w:val="en-US"/>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u w:val="none"/>
                <w:lang w:val="en-US" w:eastAsia="zh-CN" w:bidi="ar"/>
              </w:rPr>
            </w:pPr>
          </w:p>
        </w:tc>
      </w:tr>
      <w:bookmarkEnd w:id="49"/>
      <w:tr>
        <w:tblPrEx>
          <w:tblCellMar>
            <w:top w:w="0" w:type="dxa"/>
            <w:left w:w="0" w:type="dxa"/>
            <w:bottom w:w="0" w:type="dxa"/>
            <w:right w:w="0" w:type="dxa"/>
          </w:tblCellMar>
        </w:tblPrEx>
        <w:trPr>
          <w:trHeight w:val="552"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2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i w:val="0"/>
                <w:color w:val="000000"/>
                <w:sz w:val="20"/>
                <w:szCs w:val="20"/>
                <w:u w:val="none"/>
              </w:rPr>
            </w:pPr>
          </w:p>
        </w:tc>
        <w:tc>
          <w:tcPr>
            <w:tcW w:w="15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46775474.9</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42800525.1</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91.5%</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扣分原因为：分值-分值×资金支出率=得分[5-5×91.5%=0.425]</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项目的资金拨付有完整申请手续，符合预算批复和合同规定，不存在资金挤占、挪用、虚列支出等情况。财政拨付资金46775474.9元，实际支出资金42800525.1元，剩余3974949.8元在无极县财政集中支付中心账户中，也不存在资金截留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经评价，该项指标不扣分。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0" w:name="_Toc5240"/>
      <w:r>
        <w:rPr>
          <w:rFonts w:hint="eastAsia" w:ascii="楷体" w:hAnsi="楷体" w:eastAsia="楷体" w:cs="楷体"/>
          <w:b/>
          <w:kern w:val="2"/>
          <w:sz w:val="32"/>
          <w:szCs w:val="32"/>
          <w:highlight w:val="none"/>
          <w:lang w:val="en-US" w:eastAsia="zh-CN" w:bidi="ar-SA"/>
        </w:rPr>
        <w:t>2.组织实施（满分10分，评价得分10分）</w:t>
      </w:r>
      <w:bookmarkEnd w:id="50"/>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该项目组织机构健全，人员分工明确，责任划分清晰，有管理人员职责分工资料。</w:t>
      </w:r>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经查看，该项目主管单位设置了专项资金财务管理制度，并制定了相应的处长办公会议制度、工程例会会议制度档案管理制度、工程质量管理工作制度等。</w:t>
      </w:r>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yellow"/>
          <w:lang w:val="en-US" w:eastAsia="zh-CN"/>
        </w:rPr>
      </w:pPr>
      <w:r>
        <w:rPr>
          <w:rFonts w:hint="eastAsia" w:ascii="楷体" w:hAnsi="楷体" w:eastAsia="楷体" w:cs="楷体"/>
          <w:sz w:val="32"/>
          <w:szCs w:val="32"/>
          <w:highlight w:val="none"/>
          <w:lang w:val="en-US" w:eastAsia="zh-CN"/>
        </w:rPr>
        <w:t>该项目资金支出严格按照规定履行招投标程序，签订合同；项目合同文件、施工日志、监理日志等资料齐全并归档及时。</w:t>
      </w:r>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经评价，该项指标不扣分。</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highlight w:val="none"/>
          <w:lang w:eastAsia="zh-CN"/>
        </w:rPr>
      </w:pPr>
      <w:bookmarkStart w:id="51" w:name="_Toc1240"/>
      <w:r>
        <w:rPr>
          <w:rFonts w:hint="eastAsia" w:ascii="楷体" w:hAnsi="楷体" w:eastAsia="楷体" w:cs="楷体"/>
          <w:sz w:val="32"/>
          <w:szCs w:val="32"/>
          <w:highlight w:val="none"/>
        </w:rPr>
        <w:t>（</w:t>
      </w:r>
      <w:r>
        <w:rPr>
          <w:rFonts w:hint="eastAsia" w:ascii="楷体" w:hAnsi="楷体" w:eastAsia="楷体" w:cs="楷体"/>
          <w:sz w:val="32"/>
          <w:szCs w:val="32"/>
          <w:highlight w:val="none"/>
          <w:lang w:eastAsia="zh-CN"/>
        </w:rPr>
        <w:t>三</w:t>
      </w:r>
      <w:r>
        <w:rPr>
          <w:rFonts w:hint="eastAsia" w:ascii="楷体" w:hAnsi="楷体" w:eastAsia="楷体" w:cs="楷体"/>
          <w:sz w:val="32"/>
          <w:szCs w:val="32"/>
          <w:highlight w:val="none"/>
        </w:rPr>
        <w:t>）项目</w:t>
      </w:r>
      <w:r>
        <w:rPr>
          <w:rFonts w:hint="eastAsia" w:ascii="楷体" w:hAnsi="楷体" w:eastAsia="楷体" w:cs="楷体"/>
          <w:sz w:val="32"/>
          <w:szCs w:val="32"/>
          <w:highlight w:val="none"/>
          <w:lang w:eastAsia="zh-CN"/>
        </w:rPr>
        <w:t>产出</w:t>
      </w:r>
      <w:bookmarkEnd w:id="51"/>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该指标满分25分，评价得分20.22分。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2" w:name="_Toc16124"/>
      <w:r>
        <w:rPr>
          <w:rFonts w:hint="eastAsia" w:ascii="楷体" w:hAnsi="楷体" w:eastAsia="楷体" w:cs="楷体"/>
          <w:b/>
          <w:kern w:val="2"/>
          <w:sz w:val="32"/>
          <w:szCs w:val="32"/>
          <w:highlight w:val="none"/>
          <w:lang w:val="en-US" w:eastAsia="zh-CN" w:bidi="ar-SA"/>
        </w:rPr>
        <w:t>1.产出数量（满分5分，评价得分4.62分）</w:t>
      </w:r>
      <w:bookmarkEnd w:id="52"/>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根据实施单位上报的已完工程量汇总表，该指标以项目最终完成工程数与前期批复工程数的比例以加权平均法进行扣分。</w:t>
      </w:r>
    </w:p>
    <w:tbl>
      <w:tblPr>
        <w:tblStyle w:val="11"/>
        <w:tblW w:w="8797" w:type="dxa"/>
        <w:tblInd w:w="0" w:type="dxa"/>
        <w:shd w:val="clear" w:color="auto" w:fill="auto"/>
        <w:tblLayout w:type="fixed"/>
        <w:tblCellMar>
          <w:top w:w="0" w:type="dxa"/>
          <w:left w:w="0" w:type="dxa"/>
          <w:bottom w:w="0" w:type="dxa"/>
          <w:right w:w="0" w:type="dxa"/>
        </w:tblCellMar>
      </w:tblPr>
      <w:tblGrid>
        <w:gridCol w:w="594"/>
        <w:gridCol w:w="2083"/>
        <w:gridCol w:w="1500"/>
        <w:gridCol w:w="930"/>
        <w:gridCol w:w="1260"/>
        <w:gridCol w:w="1065"/>
        <w:gridCol w:w="1365"/>
      </w:tblGrid>
      <w:tr>
        <w:tblPrEx>
          <w:shd w:val="clear" w:color="auto" w:fill="auto"/>
          <w:tblCellMar>
            <w:top w:w="0" w:type="dxa"/>
            <w:left w:w="0" w:type="dxa"/>
            <w:bottom w:w="0" w:type="dxa"/>
            <w:right w:w="0" w:type="dxa"/>
          </w:tblCellMar>
        </w:tblPrEx>
        <w:trPr>
          <w:trHeight w:val="494" w:hRule="atLeast"/>
        </w:trPr>
        <w:tc>
          <w:tcPr>
            <w:tcW w:w="879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b/>
                <w:i w:val="0"/>
                <w:color w:val="000000"/>
                <w:kern w:val="0"/>
                <w:sz w:val="32"/>
                <w:szCs w:val="32"/>
                <w:highlight w:val="none"/>
                <w:u w:val="none"/>
                <w:lang w:val="en-US" w:eastAsia="zh-CN" w:bidi="ar"/>
              </w:rPr>
            </w:pPr>
            <w:r>
              <w:rPr>
                <w:rFonts w:hint="eastAsia" w:ascii="楷体" w:hAnsi="楷体" w:eastAsia="楷体" w:cs="楷体"/>
                <w:b/>
                <w:i w:val="0"/>
                <w:color w:val="000000"/>
                <w:kern w:val="0"/>
                <w:sz w:val="32"/>
                <w:szCs w:val="32"/>
                <w:highlight w:val="none"/>
                <w:u w:val="none"/>
                <w:lang w:val="en-US" w:eastAsia="zh-CN" w:bidi="ar"/>
              </w:rPr>
              <w:t xml:space="preserve">         滹沱河河道内村庄防洪整治工程项目       </w:t>
            </w:r>
            <w:r>
              <w:rPr>
                <w:rFonts w:hint="eastAsia" w:ascii="楷体" w:hAnsi="楷体" w:eastAsia="楷体" w:cs="楷体"/>
                <w:b/>
                <w:i w:val="0"/>
                <w:color w:val="000000"/>
                <w:kern w:val="0"/>
                <w:sz w:val="12"/>
                <w:szCs w:val="12"/>
                <w:highlight w:val="none"/>
                <w:u w:val="none"/>
                <w:lang w:val="en-US" w:eastAsia="zh-CN" w:bidi="ar"/>
              </w:rPr>
              <w:t>（单位：万元）</w:t>
            </w:r>
          </w:p>
        </w:tc>
      </w:tr>
      <w:tr>
        <w:tblPrEx>
          <w:tblCellMar>
            <w:top w:w="0" w:type="dxa"/>
            <w:left w:w="0" w:type="dxa"/>
            <w:bottom w:w="0" w:type="dxa"/>
            <w:right w:w="0" w:type="dxa"/>
          </w:tblCellMar>
        </w:tblPrEx>
        <w:trPr>
          <w:trHeight w:val="477"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kern w:val="0"/>
                <w:sz w:val="20"/>
                <w:szCs w:val="20"/>
                <w:highlight w:val="none"/>
                <w:u w:val="none"/>
                <w:lang w:val="en-US" w:eastAsia="zh-CN" w:bidi="ar"/>
              </w:rPr>
              <w:t>序号</w:t>
            </w:r>
          </w:p>
        </w:tc>
        <w:tc>
          <w:tcPr>
            <w:tcW w:w="2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kern w:val="0"/>
                <w:sz w:val="20"/>
                <w:szCs w:val="20"/>
                <w:highlight w:val="none"/>
                <w:u w:val="none"/>
                <w:lang w:val="en-US" w:eastAsia="zh-CN" w:bidi="ar"/>
              </w:rPr>
              <w:t>实施单位</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highlight w:val="none"/>
                <w:u w:val="none"/>
                <w:lang w:eastAsia="zh-CN"/>
              </w:rPr>
            </w:pPr>
            <w:r>
              <w:rPr>
                <w:rFonts w:hint="eastAsia" w:ascii="楷体" w:hAnsi="楷体" w:eastAsia="楷体" w:cs="楷体"/>
                <w:i w:val="0"/>
                <w:color w:val="000000"/>
                <w:sz w:val="20"/>
                <w:szCs w:val="20"/>
                <w:highlight w:val="none"/>
                <w:u w:val="none"/>
                <w:lang w:eastAsia="zh-CN"/>
              </w:rPr>
              <w:t>总工程量</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kern w:val="0"/>
                <w:sz w:val="20"/>
                <w:szCs w:val="20"/>
                <w:highlight w:val="none"/>
                <w:u w:val="none"/>
                <w:lang w:val="en-US" w:eastAsia="zh-CN" w:bidi="ar"/>
              </w:rPr>
              <w:t>拨付金额</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highlight w:val="none"/>
                <w:u w:val="none"/>
                <w:lang w:eastAsia="zh-CN"/>
              </w:rPr>
            </w:pPr>
            <w:r>
              <w:rPr>
                <w:rFonts w:hint="eastAsia" w:ascii="楷体" w:hAnsi="楷体" w:eastAsia="楷体" w:cs="楷体"/>
                <w:i w:val="0"/>
                <w:color w:val="000000"/>
                <w:sz w:val="20"/>
                <w:szCs w:val="20"/>
                <w:highlight w:val="none"/>
                <w:u w:val="none"/>
                <w:lang w:eastAsia="zh-CN"/>
              </w:rPr>
              <w:t>已完工程量</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ind w:firstLine="200" w:firstLineChars="100"/>
              <w:jc w:val="both"/>
              <w:textAlignment w:val="center"/>
              <w:rPr>
                <w:rFonts w:hint="eastAsia" w:ascii="楷体" w:hAnsi="楷体" w:eastAsia="楷体" w:cs="楷体"/>
                <w:i w:val="0"/>
                <w:color w:val="000000"/>
                <w:kern w:val="0"/>
                <w:sz w:val="20"/>
                <w:szCs w:val="20"/>
                <w:highlight w:val="none"/>
                <w:u w:val="none"/>
                <w:lang w:val="en-US" w:eastAsia="zh-CN" w:bidi="ar"/>
              </w:rPr>
            </w:pPr>
            <w:r>
              <w:rPr>
                <w:rFonts w:hint="eastAsia" w:ascii="楷体" w:hAnsi="楷体" w:eastAsia="楷体" w:cs="楷体"/>
                <w:i w:val="0"/>
                <w:color w:val="000000"/>
                <w:kern w:val="0"/>
                <w:sz w:val="20"/>
                <w:szCs w:val="20"/>
                <w:highlight w:val="none"/>
                <w:u w:val="none"/>
                <w:lang w:val="en-US" w:eastAsia="zh-CN" w:bidi="ar"/>
              </w:rPr>
              <w:t>支付金额</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20"/>
                <w:szCs w:val="20"/>
                <w:highlight w:val="none"/>
                <w:u w:val="none"/>
                <w:lang w:val="en-US" w:eastAsia="zh-CN" w:bidi="ar"/>
              </w:rPr>
            </w:pPr>
            <w:r>
              <w:rPr>
                <w:rFonts w:hint="eastAsia" w:ascii="楷体" w:hAnsi="楷体" w:eastAsia="楷体" w:cs="楷体"/>
                <w:i w:val="0"/>
                <w:color w:val="000000"/>
                <w:kern w:val="0"/>
                <w:sz w:val="20"/>
                <w:szCs w:val="20"/>
                <w:highlight w:val="none"/>
                <w:u w:val="none"/>
                <w:lang w:val="en-US" w:eastAsia="zh-CN" w:bidi="ar"/>
              </w:rPr>
              <w:t>项目完成率</w:t>
            </w:r>
          </w:p>
        </w:tc>
      </w:tr>
      <w:tr>
        <w:tblPrEx>
          <w:tblCellMar>
            <w:top w:w="0" w:type="dxa"/>
            <w:left w:w="0" w:type="dxa"/>
            <w:bottom w:w="0" w:type="dxa"/>
            <w:right w:w="0" w:type="dxa"/>
          </w:tblCellMar>
        </w:tblPrEx>
        <w:trPr>
          <w:trHeight w:val="526"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kern w:val="0"/>
                <w:sz w:val="20"/>
                <w:szCs w:val="20"/>
                <w:highlight w:val="none"/>
                <w:u w:val="none"/>
                <w:lang w:val="en-US" w:eastAsia="zh-CN" w:bidi="ar"/>
              </w:rPr>
              <w:t>1</w:t>
            </w:r>
          </w:p>
        </w:tc>
        <w:tc>
          <w:tcPr>
            <w:tcW w:w="2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highlight w:val="none"/>
                <w:u w:val="none"/>
                <w:lang w:eastAsia="zh-CN"/>
              </w:rPr>
            </w:pPr>
            <w:r>
              <w:rPr>
                <w:rFonts w:hint="eastAsia" w:ascii="楷体" w:hAnsi="楷体" w:eastAsia="楷体" w:cs="楷体"/>
                <w:i w:val="0"/>
                <w:color w:val="000000"/>
                <w:sz w:val="20"/>
                <w:szCs w:val="20"/>
                <w:highlight w:val="none"/>
                <w:u w:val="none"/>
                <w:lang w:eastAsia="zh-CN"/>
              </w:rPr>
              <w:t>无极县水利局</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13.2km</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4677.54749</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12.2km</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4280.05251</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92.42%</w:t>
            </w:r>
          </w:p>
        </w:tc>
      </w:tr>
      <w:tr>
        <w:tblPrEx>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2"/>
                <w:sz w:val="20"/>
                <w:szCs w:val="20"/>
                <w:highlight w:val="none"/>
                <w:u w:val="none"/>
                <w:lang w:val="en-US" w:eastAsia="zh-CN" w:bidi="ar-SA"/>
              </w:rPr>
            </w:pPr>
            <w:r>
              <w:rPr>
                <w:rFonts w:hint="eastAsia" w:ascii="楷体" w:hAnsi="楷体" w:eastAsia="楷体" w:cs="楷体"/>
                <w:i w:val="0"/>
                <w:color w:val="000000"/>
                <w:kern w:val="0"/>
                <w:sz w:val="20"/>
                <w:szCs w:val="20"/>
                <w:highlight w:val="none"/>
                <w:u w:val="none"/>
                <w:lang w:val="en-US" w:eastAsia="zh-CN" w:bidi="ar"/>
              </w:rPr>
              <w:t>2</w:t>
            </w:r>
          </w:p>
        </w:tc>
        <w:tc>
          <w:tcPr>
            <w:tcW w:w="2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2"/>
                <w:sz w:val="20"/>
                <w:szCs w:val="20"/>
                <w:highlight w:val="none"/>
                <w:u w:val="none"/>
                <w:lang w:val="en-US" w:eastAsia="zh-CN" w:bidi="ar-SA"/>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kern w:val="0"/>
                <w:sz w:val="18"/>
                <w:szCs w:val="18"/>
                <w:highlight w:val="none"/>
                <w:u w:val="none"/>
                <w:lang w:val="en-US" w:eastAsia="zh-CN" w:bidi="ar"/>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highlight w:val="none"/>
                <w:u w:val="none"/>
                <w:lang w:val="en-US" w:eastAsia="zh-CN" w:bidi="ar"/>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p>
        </w:tc>
      </w:tr>
      <w:tr>
        <w:tblPrEx>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2"/>
                <w:sz w:val="24"/>
                <w:szCs w:val="24"/>
                <w:highlight w:val="none"/>
                <w:u w:val="none"/>
                <w:lang w:val="en-US" w:eastAsia="zh-CN" w:bidi="ar-SA"/>
              </w:rPr>
            </w:pPr>
            <w:r>
              <w:rPr>
                <w:rFonts w:hint="eastAsia" w:ascii="楷体" w:hAnsi="楷体" w:eastAsia="楷体" w:cs="楷体"/>
                <w:i w:val="0"/>
                <w:color w:val="000000"/>
                <w:kern w:val="0"/>
                <w:sz w:val="24"/>
                <w:szCs w:val="24"/>
                <w:highlight w:val="none"/>
                <w:u w:val="none"/>
                <w:lang w:val="en-US" w:eastAsia="zh-CN" w:bidi="ar"/>
              </w:rPr>
              <w:t>合计</w:t>
            </w:r>
          </w:p>
        </w:tc>
        <w:tc>
          <w:tcPr>
            <w:tcW w:w="2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i w:val="0"/>
                <w:color w:val="000000"/>
                <w:kern w:val="2"/>
                <w:sz w:val="20"/>
                <w:szCs w:val="20"/>
                <w:highlight w:val="none"/>
                <w:u w:val="none"/>
                <w:lang w:val="en-US" w:eastAsia="zh-CN" w:bidi="ar-SA"/>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13.2km</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46472.36</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12.2km</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4280.05251</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92.42%</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扣分原因为：分值-分值×资金支出率=得分[5-5×92.42%=0.379]</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yellow"/>
          <w:lang w:val="en-US" w:eastAsia="zh-CN"/>
        </w:rPr>
      </w:pPr>
      <w:r>
        <w:rPr>
          <w:rFonts w:hint="eastAsia" w:ascii="楷体" w:hAnsi="楷体" w:eastAsia="楷体" w:cs="楷体"/>
          <w:sz w:val="32"/>
          <w:szCs w:val="32"/>
          <w:highlight w:val="none"/>
          <w:lang w:val="en-US" w:eastAsia="zh-CN"/>
        </w:rPr>
        <w:t>经评价，项目未完工，该项指标扣0.38分。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3" w:name="_Toc1015"/>
      <w:r>
        <w:rPr>
          <w:rFonts w:hint="eastAsia" w:ascii="楷体" w:hAnsi="楷体" w:eastAsia="楷体" w:cs="楷体"/>
          <w:b/>
          <w:kern w:val="2"/>
          <w:sz w:val="32"/>
          <w:szCs w:val="32"/>
          <w:highlight w:val="none"/>
          <w:lang w:val="en-US" w:eastAsia="zh-CN" w:bidi="ar-SA"/>
        </w:rPr>
        <w:t>2.产出质量（满分10分，评价得分6分）</w:t>
      </w:r>
      <w:bookmarkEnd w:id="53"/>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yellow"/>
          <w:lang w:val="en-US" w:eastAsia="zh-CN"/>
        </w:rPr>
      </w:pPr>
      <w:r>
        <w:rPr>
          <w:rFonts w:hint="eastAsia" w:ascii="楷体" w:hAnsi="楷体" w:eastAsia="楷体" w:cs="楷体"/>
          <w:sz w:val="32"/>
          <w:szCs w:val="32"/>
          <w:highlight w:val="none"/>
          <w:lang w:val="en-US" w:eastAsia="zh-CN"/>
        </w:rPr>
        <w:t>经查看，该工程未完工验收，均未取得验收报告，验收质量均不能评价。</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yellow"/>
          <w:lang w:val="en-US" w:eastAsia="zh-CN"/>
        </w:rPr>
      </w:pPr>
      <w:r>
        <w:rPr>
          <w:rFonts w:hint="eastAsia" w:ascii="楷体" w:hAnsi="楷体" w:eastAsia="楷体" w:cs="楷体"/>
          <w:sz w:val="32"/>
          <w:szCs w:val="32"/>
          <w:highlight w:val="none"/>
          <w:lang w:val="en-US" w:eastAsia="zh-CN"/>
        </w:rPr>
        <w:t>经评价，该项指标扣4分。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4" w:name="_Toc23366"/>
      <w:r>
        <w:rPr>
          <w:rFonts w:hint="eastAsia" w:ascii="楷体" w:hAnsi="楷体" w:eastAsia="楷体" w:cs="楷体"/>
          <w:b/>
          <w:kern w:val="2"/>
          <w:sz w:val="32"/>
          <w:szCs w:val="32"/>
          <w:highlight w:val="none"/>
          <w:lang w:val="en-US" w:eastAsia="zh-CN" w:bidi="ar-SA"/>
        </w:rPr>
        <w:t>3.产出时效（满分5分，评价得分4.6分）</w:t>
      </w:r>
      <w:bookmarkEnd w:id="54"/>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经查看合同签订日期为2020年6月2日，工程施工工期为9个月，合同工竣日期为2021年5月31日，截止到2022年12月31日，项目已完成92.42%。完成及时率为92.42%。</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经评价，该项指标得4.6分。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5" w:name="_Toc8520"/>
      <w:r>
        <w:rPr>
          <w:rFonts w:hint="eastAsia" w:ascii="楷体" w:hAnsi="楷体" w:eastAsia="楷体" w:cs="楷体"/>
          <w:b/>
          <w:kern w:val="2"/>
          <w:sz w:val="32"/>
          <w:szCs w:val="32"/>
          <w:highlight w:val="none"/>
          <w:lang w:val="en-US" w:eastAsia="zh-CN" w:bidi="ar-SA"/>
        </w:rPr>
        <w:t>4.产出成本（满分5分，评价得分5分）</w:t>
      </w:r>
      <w:bookmarkEnd w:id="55"/>
    </w:p>
    <w:p>
      <w:pPr>
        <w:pStyle w:val="3"/>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lang w:val="en-US" w:eastAsia="zh-CN"/>
        </w:rPr>
        <w:t>根据无极县行政审批局《关于滹沱河河道内村庄防洪整治工程可行性研究报告的批复》（无行审字【2020】28号）文件，项目建设总投资53657.01万元。根据无极县行政审批局《关于滹沱河河道内村庄防洪整治工程土料场设计变更的批复》变更后项目概算总投资46472.36万元。经测算，滹沱河河道内村庄防洪整治工程</w:t>
      </w:r>
      <w:r>
        <w:rPr>
          <w:rFonts w:hint="eastAsia" w:ascii="楷体" w:hAnsi="楷体" w:eastAsia="楷体" w:cs="楷体"/>
          <w:sz w:val="32"/>
          <w:szCs w:val="32"/>
          <w:highlight w:val="none"/>
          <w:lang w:val="en-US" w:eastAsia="zh-CN"/>
        </w:rPr>
        <w:t>实际成本如下表:</w:t>
      </w:r>
    </w:p>
    <w:tbl>
      <w:tblPr>
        <w:tblStyle w:val="11"/>
        <w:tblW w:w="9217" w:type="dxa"/>
        <w:tblInd w:w="0" w:type="dxa"/>
        <w:shd w:val="clear" w:color="auto" w:fill="auto"/>
        <w:tblLayout w:type="fixed"/>
        <w:tblCellMar>
          <w:top w:w="0" w:type="dxa"/>
          <w:left w:w="0" w:type="dxa"/>
          <w:bottom w:w="0" w:type="dxa"/>
          <w:right w:w="0" w:type="dxa"/>
        </w:tblCellMar>
      </w:tblPr>
      <w:tblGrid>
        <w:gridCol w:w="577"/>
        <w:gridCol w:w="2775"/>
        <w:gridCol w:w="1860"/>
        <w:gridCol w:w="1995"/>
        <w:gridCol w:w="2010"/>
      </w:tblGrid>
      <w:tr>
        <w:tblPrEx>
          <w:shd w:val="clear" w:color="auto" w:fill="auto"/>
          <w:tblCellMar>
            <w:top w:w="0" w:type="dxa"/>
            <w:left w:w="0" w:type="dxa"/>
            <w:bottom w:w="0" w:type="dxa"/>
            <w:right w:w="0" w:type="dxa"/>
          </w:tblCellMar>
        </w:tblPrEx>
        <w:trPr>
          <w:trHeight w:val="464" w:hRule="atLeast"/>
        </w:trPr>
        <w:tc>
          <w:tcPr>
            <w:tcW w:w="921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b/>
                <w:i w:val="0"/>
                <w:color w:val="000000"/>
                <w:kern w:val="0"/>
                <w:sz w:val="30"/>
                <w:szCs w:val="30"/>
                <w:highlight w:val="none"/>
                <w:u w:val="none"/>
                <w:lang w:val="en-US" w:eastAsia="zh-CN" w:bidi="ar"/>
              </w:rPr>
            </w:pPr>
            <w:r>
              <w:rPr>
                <w:rFonts w:hint="eastAsia" w:ascii="楷体" w:hAnsi="楷体" w:eastAsia="楷体" w:cs="楷体"/>
                <w:b/>
                <w:i w:val="0"/>
                <w:color w:val="000000"/>
                <w:kern w:val="0"/>
                <w:sz w:val="30"/>
                <w:szCs w:val="30"/>
                <w:highlight w:val="none"/>
                <w:u w:val="none"/>
                <w:lang w:val="en-US" w:eastAsia="zh-CN" w:bidi="ar"/>
              </w:rPr>
              <w:t xml:space="preserve"> 滹沱河河道内村庄防洪整治工程项目</w:t>
            </w:r>
            <w:r>
              <w:rPr>
                <w:rFonts w:hint="eastAsia" w:ascii="楷体" w:hAnsi="楷体" w:eastAsia="楷体" w:cs="楷体"/>
                <w:b/>
                <w:i w:val="0"/>
                <w:color w:val="000000"/>
                <w:kern w:val="0"/>
                <w:sz w:val="32"/>
                <w:szCs w:val="32"/>
                <w:highlight w:val="none"/>
                <w:u w:val="none"/>
                <w:lang w:val="en-US" w:eastAsia="zh-CN" w:bidi="ar"/>
              </w:rPr>
              <w:t xml:space="preserve"> </w:t>
            </w:r>
            <w:r>
              <w:rPr>
                <w:rFonts w:hint="eastAsia" w:ascii="楷体" w:hAnsi="楷体" w:eastAsia="楷体" w:cs="楷体"/>
                <w:b/>
                <w:i w:val="0"/>
                <w:color w:val="000000"/>
                <w:kern w:val="0"/>
                <w:sz w:val="32"/>
                <w:szCs w:val="32"/>
                <w:u w:val="none"/>
                <w:lang w:val="en-US" w:eastAsia="zh-CN" w:bidi="ar"/>
              </w:rPr>
              <w:t xml:space="preserve">      </w:t>
            </w:r>
          </w:p>
        </w:tc>
      </w:tr>
      <w:tr>
        <w:tblPrEx>
          <w:tblCellMar>
            <w:top w:w="0" w:type="dxa"/>
            <w:left w:w="0" w:type="dxa"/>
            <w:bottom w:w="0" w:type="dxa"/>
            <w:right w:w="0" w:type="dxa"/>
          </w:tblCellMar>
        </w:tblPrEx>
        <w:trPr>
          <w:trHeight w:val="614" w:hRule="atLeast"/>
        </w:trPr>
        <w:tc>
          <w:tcPr>
            <w:tcW w:w="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2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sz w:val="20"/>
                <w:szCs w:val="20"/>
                <w:u w:val="none"/>
                <w:lang w:val="en-US" w:eastAsia="zh-CN"/>
              </w:rPr>
              <w:t>变更前总投资（万元）</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变更后总投资（万元）</w:t>
            </w: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20"/>
                <w:szCs w:val="20"/>
                <w:u w:val="none"/>
                <w:lang w:eastAsia="zh-CN"/>
              </w:rPr>
              <w:t>超出预算额（万元）</w:t>
            </w:r>
          </w:p>
        </w:tc>
      </w:tr>
      <w:tr>
        <w:tblPrEx>
          <w:tblCellMar>
            <w:top w:w="0" w:type="dxa"/>
            <w:left w:w="0" w:type="dxa"/>
            <w:bottom w:w="0" w:type="dxa"/>
            <w:right w:w="0" w:type="dxa"/>
          </w:tblCellMar>
        </w:tblPrEx>
        <w:trPr>
          <w:trHeight w:val="407" w:hRule="atLeast"/>
        </w:trPr>
        <w:tc>
          <w:tcPr>
            <w:tcW w:w="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1</w:t>
            </w:r>
          </w:p>
        </w:tc>
        <w:tc>
          <w:tcPr>
            <w:tcW w:w="2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20"/>
                <w:szCs w:val="20"/>
                <w:u w:val="none"/>
                <w:lang w:eastAsia="zh-CN"/>
              </w:rPr>
              <w:t>无极县水利局</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sz w:val="20"/>
                <w:szCs w:val="20"/>
                <w:u w:val="none"/>
                <w:lang w:val="en-US" w:eastAsia="zh-CN"/>
              </w:rPr>
            </w:pPr>
            <w:r>
              <w:rPr>
                <w:rFonts w:hint="eastAsia" w:ascii="楷体" w:hAnsi="楷体" w:eastAsia="楷体" w:cs="楷体"/>
                <w:i w:val="0"/>
                <w:color w:val="000000"/>
                <w:sz w:val="20"/>
                <w:szCs w:val="20"/>
                <w:u w:val="none"/>
                <w:lang w:val="en-US" w:eastAsia="zh-CN"/>
              </w:rPr>
              <w:t>53657.01</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color w:val="000000"/>
                <w:sz w:val="20"/>
                <w:szCs w:val="20"/>
                <w:u w:val="none"/>
                <w:lang w:val="en-US" w:eastAsia="zh-CN"/>
              </w:rPr>
            </w:pPr>
            <w:r>
              <w:rPr>
                <w:rFonts w:hint="eastAsia" w:ascii="楷体" w:hAnsi="楷体" w:eastAsia="楷体" w:cs="楷体"/>
                <w:i w:val="0"/>
                <w:color w:val="000000"/>
                <w:sz w:val="20"/>
                <w:szCs w:val="20"/>
                <w:u w:val="none"/>
                <w:lang w:val="en-US" w:eastAsia="zh-CN"/>
              </w:rPr>
              <w:t>46472.36</w:t>
            </w: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-7184.65</w:t>
            </w:r>
          </w:p>
        </w:tc>
      </w:tr>
      <w:tr>
        <w:tblPrEx>
          <w:tblCellMar>
            <w:top w:w="0" w:type="dxa"/>
            <w:left w:w="0" w:type="dxa"/>
            <w:bottom w:w="0" w:type="dxa"/>
            <w:right w:w="0" w:type="dxa"/>
          </w:tblCellMar>
        </w:tblPrEx>
        <w:trPr>
          <w:trHeight w:val="619" w:hRule="atLeast"/>
        </w:trPr>
        <w:tc>
          <w:tcPr>
            <w:tcW w:w="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2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0"/>
                <w:szCs w:val="20"/>
                <w:u w:val="none"/>
                <w:lang w:eastAsia="zh-CN"/>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p>
        </w:tc>
      </w:tr>
      <w:tr>
        <w:tblPrEx>
          <w:tblCellMar>
            <w:top w:w="0" w:type="dxa"/>
            <w:left w:w="0" w:type="dxa"/>
            <w:bottom w:w="0" w:type="dxa"/>
            <w:right w:w="0" w:type="dxa"/>
          </w:tblCellMar>
        </w:tblPrEx>
        <w:trPr>
          <w:trHeight w:val="507" w:hRule="atLeast"/>
        </w:trPr>
        <w:tc>
          <w:tcPr>
            <w:tcW w:w="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2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楷体" w:hAnsi="楷体" w:eastAsia="楷体" w:cs="楷体"/>
                <w:i w:val="0"/>
                <w:color w:val="000000"/>
                <w:sz w:val="20"/>
                <w:szCs w:val="20"/>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color w:val="000000"/>
                <w:sz w:val="20"/>
                <w:szCs w:val="20"/>
                <w:u w:val="none"/>
                <w:lang w:val="en-US" w:eastAsia="zh-CN"/>
              </w:rPr>
              <w:t>53657.01</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color w:val="000000"/>
                <w:sz w:val="20"/>
                <w:szCs w:val="20"/>
                <w:u w:val="none"/>
                <w:lang w:val="en-US" w:eastAsia="zh-CN"/>
              </w:rPr>
              <w:t>46472.36</w:t>
            </w: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-7184.65</w:t>
            </w:r>
          </w:p>
        </w:tc>
      </w:tr>
    </w:tbl>
    <w:p>
      <w:pPr>
        <w:pStyle w:val="3"/>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eastAsia" w:ascii="楷体" w:hAnsi="楷体" w:eastAsia="楷体" w:cs="楷体"/>
          <w:sz w:val="32"/>
          <w:szCs w:val="32"/>
          <w:highlight w:val="yellow"/>
          <w:lang w:val="en-US" w:eastAsia="zh-CN"/>
        </w:rPr>
      </w:pPr>
    </w:p>
    <w:p>
      <w:pPr>
        <w:keepNext w:val="0"/>
        <w:keepLines w:val="0"/>
        <w:pageBreakBefore w:val="0"/>
        <w:widowControl w:val="0"/>
        <w:kinsoku/>
        <w:wordWrap/>
        <w:overflowPunct/>
        <w:topLinePunct w:val="0"/>
        <w:autoSpaceDE/>
        <w:autoSpaceDN/>
        <w:bidi w:val="0"/>
        <w:spacing w:line="360" w:lineRule="auto"/>
        <w:ind w:firstLine="640" w:firstLineChars="200"/>
        <w:textAlignment w:val="auto"/>
        <w:outlineLvl w:val="9"/>
        <w:rPr>
          <w:rFonts w:hint="eastAsia" w:ascii="楷体" w:hAnsi="楷体" w:eastAsia="楷体" w:cs="楷体"/>
          <w:sz w:val="32"/>
          <w:szCs w:val="32"/>
          <w:highlight w:val="none"/>
        </w:rPr>
      </w:pPr>
      <w:bookmarkStart w:id="56" w:name="_Toc28513"/>
      <w:bookmarkStart w:id="57" w:name="_Toc5103"/>
      <w:r>
        <w:rPr>
          <w:rFonts w:hint="eastAsia" w:ascii="楷体" w:hAnsi="楷体" w:eastAsia="楷体" w:cs="楷体"/>
          <w:sz w:val="32"/>
          <w:szCs w:val="32"/>
          <w:highlight w:val="none"/>
        </w:rPr>
        <w:t>经评价，该项指标</w:t>
      </w:r>
      <w:r>
        <w:rPr>
          <w:rFonts w:hint="eastAsia" w:ascii="楷体" w:hAnsi="楷体" w:eastAsia="楷体" w:cs="楷体"/>
          <w:sz w:val="32"/>
          <w:szCs w:val="32"/>
          <w:highlight w:val="none"/>
          <w:lang w:eastAsia="zh-CN"/>
        </w:rPr>
        <w:t>成本控制严格，没有超出预算，</w:t>
      </w:r>
      <w:r>
        <w:rPr>
          <w:rFonts w:hint="eastAsia" w:ascii="楷体" w:hAnsi="楷体" w:eastAsia="楷体" w:cs="楷体"/>
          <w:sz w:val="32"/>
          <w:szCs w:val="32"/>
          <w:highlight w:val="none"/>
        </w:rPr>
        <w:t>得分</w:t>
      </w:r>
      <w:r>
        <w:rPr>
          <w:rFonts w:hint="eastAsia" w:ascii="楷体" w:hAnsi="楷体" w:eastAsia="楷体" w:cs="楷体"/>
          <w:sz w:val="32"/>
          <w:szCs w:val="32"/>
          <w:highlight w:val="none"/>
          <w:lang w:val="en-US" w:eastAsia="zh-CN"/>
        </w:rPr>
        <w:t>5</w:t>
      </w:r>
      <w:r>
        <w:rPr>
          <w:rFonts w:hint="eastAsia" w:ascii="楷体" w:hAnsi="楷体" w:eastAsia="楷体" w:cs="楷体"/>
          <w:sz w:val="32"/>
          <w:szCs w:val="32"/>
          <w:highlight w:val="none"/>
        </w:rPr>
        <w:t>分。</w:t>
      </w:r>
    </w:p>
    <w:p>
      <w:pPr>
        <w:pStyle w:val="15"/>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outlineLvl w:val="1"/>
        <w:rPr>
          <w:rFonts w:hint="eastAsia" w:ascii="楷体" w:hAnsi="楷体" w:eastAsia="楷体" w:cs="楷体"/>
          <w:bCs/>
          <w:sz w:val="32"/>
          <w:szCs w:val="32"/>
          <w:lang w:val="en-US" w:eastAsia="zh-CN"/>
        </w:rPr>
      </w:pPr>
      <w:r>
        <w:rPr>
          <w:rFonts w:hint="eastAsia" w:ascii="楷体" w:hAnsi="楷体" w:eastAsia="楷体" w:cs="楷体"/>
          <w:bCs/>
          <w:sz w:val="32"/>
          <w:szCs w:val="32"/>
          <w:lang w:val="en-US" w:eastAsia="zh-CN"/>
        </w:rPr>
        <w:t>(四）项目效益</w:t>
      </w:r>
      <w:bookmarkEnd w:id="56"/>
      <w:bookmarkEnd w:id="57"/>
    </w:p>
    <w:p>
      <w:pPr>
        <w:pStyle w:val="3"/>
        <w:keepNext w:val="0"/>
        <w:keepLines w:val="0"/>
        <w:pageBreakBefore w:val="0"/>
        <w:widowControl w:val="0"/>
        <w:numPr>
          <w:ilvl w:val="0"/>
          <w:numId w:val="0"/>
        </w:numPr>
        <w:kinsoku/>
        <w:wordWrap/>
        <w:overflowPunct/>
        <w:topLinePunct w:val="0"/>
        <w:autoSpaceDE/>
        <w:autoSpaceDN/>
        <w:bidi w:val="0"/>
        <w:spacing w:line="360" w:lineRule="auto"/>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eastAsia="zh-CN"/>
        </w:rPr>
        <w:t>该指标分值</w:t>
      </w:r>
      <w:r>
        <w:rPr>
          <w:rFonts w:hint="eastAsia" w:ascii="楷体" w:hAnsi="楷体" w:eastAsia="楷体" w:cs="楷体"/>
          <w:sz w:val="32"/>
          <w:szCs w:val="32"/>
          <w:highlight w:val="none"/>
          <w:lang w:val="en-US" w:eastAsia="zh-CN"/>
        </w:rPr>
        <w:t>40分，评价得分40分。</w:t>
      </w:r>
    </w:p>
    <w:p>
      <w:pPr>
        <w:pStyle w:val="3"/>
        <w:keepNext w:val="0"/>
        <w:keepLines w:val="0"/>
        <w:pageBreakBefore w:val="0"/>
        <w:widowControl w:val="0"/>
        <w:kinsoku/>
        <w:wordWrap/>
        <w:overflowPunct/>
        <w:topLinePunct w:val="0"/>
        <w:autoSpaceDE/>
        <w:autoSpaceDN/>
        <w:bidi w:val="0"/>
        <w:adjustRightInd/>
        <w:snapToGrid/>
        <w:spacing w:line="360" w:lineRule="auto"/>
        <w:ind w:left="0" w:leftChars="0" w:firstLine="643" w:firstLineChars="200"/>
        <w:textAlignment w:val="auto"/>
        <w:outlineLvl w:val="2"/>
        <w:rPr>
          <w:rFonts w:hint="eastAsia" w:ascii="楷体" w:hAnsi="楷体" w:eastAsia="楷体" w:cs="楷体"/>
          <w:b/>
          <w:kern w:val="2"/>
          <w:sz w:val="32"/>
          <w:szCs w:val="32"/>
          <w:lang w:val="en-US" w:eastAsia="zh-CN" w:bidi="ar-SA"/>
        </w:rPr>
      </w:pPr>
      <w:bookmarkStart w:id="58" w:name="_Toc22760"/>
      <w:r>
        <w:rPr>
          <w:rFonts w:hint="eastAsia" w:ascii="楷体" w:hAnsi="楷体" w:eastAsia="楷体" w:cs="楷体"/>
          <w:b/>
          <w:kern w:val="2"/>
          <w:sz w:val="32"/>
          <w:szCs w:val="32"/>
          <w:lang w:val="en-US" w:eastAsia="zh-CN" w:bidi="ar-SA"/>
        </w:rPr>
        <w:t>1.社会效益指标（满分10分，评价得分10分）</w:t>
      </w:r>
      <w:bookmarkEnd w:id="58"/>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本工程为滹沱河左岸堤防工程，建成后将提高滹沱河左岸的防洪能力，减免因洪灾对经济发展、工农业生产及居民日常生活等所造成影响；同时工程实施后将明确用地范围和属性，解决人水用地矛盾，为未来社会和经济发展奠定了坚实基础。</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经评价，该</w:t>
      </w:r>
      <w:r>
        <w:rPr>
          <w:rFonts w:hint="eastAsia" w:ascii="楷体" w:hAnsi="楷体" w:eastAsia="楷体" w:cs="楷体"/>
          <w:sz w:val="32"/>
          <w:szCs w:val="32"/>
          <w:highlight w:val="none"/>
          <w:lang w:eastAsia="zh-CN"/>
        </w:rPr>
        <w:t>项</w:t>
      </w:r>
      <w:r>
        <w:rPr>
          <w:rFonts w:hint="eastAsia" w:ascii="楷体" w:hAnsi="楷体" w:eastAsia="楷体" w:cs="楷体"/>
          <w:sz w:val="32"/>
          <w:szCs w:val="32"/>
          <w:highlight w:val="none"/>
        </w:rPr>
        <w:t>指标得分10分。</w:t>
      </w:r>
    </w:p>
    <w:p>
      <w:pPr>
        <w:pStyle w:val="15"/>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楷体" w:hAnsi="楷体" w:eastAsia="楷体" w:cs="楷体"/>
          <w:b/>
          <w:kern w:val="2"/>
          <w:sz w:val="32"/>
          <w:szCs w:val="32"/>
          <w:highlight w:val="none"/>
          <w:lang w:val="en-US" w:eastAsia="zh-CN" w:bidi="ar-SA"/>
        </w:rPr>
      </w:pPr>
      <w:bookmarkStart w:id="59" w:name="_Toc17486"/>
      <w:r>
        <w:rPr>
          <w:rFonts w:hint="eastAsia" w:ascii="楷体" w:hAnsi="楷体" w:eastAsia="楷体" w:cs="楷体"/>
          <w:b/>
          <w:kern w:val="2"/>
          <w:sz w:val="32"/>
          <w:szCs w:val="32"/>
          <w:highlight w:val="none"/>
          <w:lang w:val="en-US" w:eastAsia="zh-CN" w:bidi="ar-SA"/>
        </w:rPr>
        <w:t>2.环境效益指标（满分10分，评价得分10分）</w:t>
      </w:r>
      <w:bookmarkEnd w:id="59"/>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b w:val="0"/>
          <w:bCs w:val="0"/>
          <w:sz w:val="32"/>
          <w:szCs w:val="32"/>
          <w:highlight w:val="none"/>
          <w:lang w:eastAsia="zh-CN"/>
        </w:rPr>
      </w:pPr>
      <w:r>
        <w:rPr>
          <w:rFonts w:hint="eastAsia" w:ascii="楷体" w:hAnsi="楷体" w:eastAsia="楷体" w:cs="楷体"/>
          <w:b w:val="0"/>
          <w:bCs w:val="0"/>
          <w:sz w:val="32"/>
          <w:szCs w:val="32"/>
          <w:highlight w:val="none"/>
          <w:lang w:eastAsia="zh-CN"/>
        </w:rPr>
        <w:t>该工程的实施，可使滹沱河有效防御洪水、减少自然灾害损失，保护广大人民群众生命财产安全，对保持经济建设稳步发展，改善生态环境、提升周边居民生活质量等方面都将发挥积极作用，具有良好的社会经济和生态效益。</w:t>
      </w:r>
    </w:p>
    <w:p>
      <w:pPr>
        <w:pStyle w:val="15"/>
        <w:keepNext w:val="0"/>
        <w:keepLines w:val="0"/>
        <w:pageBreakBefore w:val="0"/>
        <w:widowControl w:val="0"/>
        <w:kinsoku/>
        <w:wordWrap/>
        <w:overflowPunct/>
        <w:topLinePunct w:val="0"/>
        <w:autoSpaceDE/>
        <w:autoSpaceDN/>
        <w:bidi w:val="0"/>
        <w:spacing w:line="360" w:lineRule="auto"/>
        <w:textAlignment w:val="auto"/>
        <w:rPr>
          <w:rFonts w:hint="eastAsia" w:ascii="楷体" w:hAnsi="楷体" w:eastAsia="楷体" w:cs="楷体"/>
          <w:highlight w:val="none"/>
          <w:lang w:val="en-US" w:eastAsia="zh-CN"/>
        </w:rPr>
      </w:pPr>
      <w:r>
        <w:rPr>
          <w:rFonts w:hint="eastAsia" w:ascii="楷体" w:hAnsi="楷体" w:eastAsia="楷体" w:cs="楷体"/>
          <w:b w:val="0"/>
          <w:bCs w:val="0"/>
          <w:sz w:val="32"/>
          <w:szCs w:val="32"/>
          <w:highlight w:val="none"/>
          <w:lang w:eastAsia="zh-CN"/>
        </w:rPr>
        <w:t>经评价，该项指标得分</w:t>
      </w:r>
      <w:r>
        <w:rPr>
          <w:rFonts w:hint="eastAsia" w:ascii="楷体" w:hAnsi="楷体" w:eastAsia="楷体" w:cs="楷体"/>
          <w:b w:val="0"/>
          <w:bCs w:val="0"/>
          <w:sz w:val="32"/>
          <w:szCs w:val="32"/>
          <w:highlight w:val="none"/>
          <w:lang w:val="en-US" w:eastAsia="zh-CN"/>
        </w:rPr>
        <w:t>10分。</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lang w:val="en-US" w:eastAsia="zh-CN"/>
        </w:rPr>
      </w:pPr>
      <w:bookmarkStart w:id="60" w:name="_Toc24542"/>
      <w:r>
        <w:rPr>
          <w:rFonts w:hint="eastAsia" w:ascii="楷体" w:hAnsi="楷体" w:eastAsia="楷体" w:cs="楷体"/>
          <w:b/>
          <w:kern w:val="2"/>
          <w:sz w:val="32"/>
          <w:szCs w:val="32"/>
          <w:lang w:val="en-US" w:eastAsia="zh-CN" w:bidi="ar-SA"/>
        </w:rPr>
        <w:t>3.可持续影响效益（满分20分，评价得分20分）</w:t>
      </w:r>
      <w:bookmarkEnd w:id="60"/>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eastAsia="zh-CN"/>
        </w:rPr>
        <w:t>本次工程建设的任务是按照《滹沱河防洪整治工程规划（机场路至献县枢纽段）》的要求，将无极县滹沱河北堤建设成 100 年一遇洪水标准的堤防，以落实习近平总书记防灾减灾救灾新理念，保障河道内村庄及下游防洪保护区的防洪安全。</w:t>
      </w:r>
      <w:r>
        <w:rPr>
          <w:rFonts w:hint="eastAsia" w:ascii="楷体" w:hAnsi="楷体" w:eastAsia="楷体" w:cs="楷体"/>
          <w:sz w:val="32"/>
          <w:szCs w:val="32"/>
        </w:rPr>
        <w:t>该项目对村民具有积极意义</w:t>
      </w:r>
      <w:r>
        <w:rPr>
          <w:rFonts w:hint="eastAsia" w:ascii="楷体" w:hAnsi="楷体" w:eastAsia="楷体" w:cs="楷体"/>
          <w:sz w:val="32"/>
          <w:szCs w:val="32"/>
          <w:lang w:eastAsia="zh-CN"/>
        </w:rPr>
        <w:t>。</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outlineLvl w:val="9"/>
        <w:rPr>
          <w:rFonts w:hint="eastAsia" w:ascii="楷体" w:hAnsi="楷体" w:eastAsia="楷体" w:cs="楷体"/>
          <w:sz w:val="32"/>
          <w:szCs w:val="32"/>
          <w:highlight w:val="yellow"/>
        </w:rPr>
      </w:pPr>
      <w:r>
        <w:rPr>
          <w:rFonts w:hint="eastAsia" w:ascii="楷体" w:hAnsi="楷体" w:eastAsia="楷体" w:cs="楷体"/>
          <w:sz w:val="32"/>
          <w:szCs w:val="32"/>
        </w:rPr>
        <w:t>经评价，该项指标得分</w:t>
      </w:r>
      <w:r>
        <w:rPr>
          <w:rFonts w:hint="eastAsia" w:ascii="楷体" w:hAnsi="楷体" w:eastAsia="楷体" w:cs="楷体"/>
          <w:sz w:val="32"/>
          <w:szCs w:val="32"/>
          <w:lang w:val="en-US" w:eastAsia="zh-CN"/>
        </w:rPr>
        <w:t>20</w:t>
      </w:r>
      <w:r>
        <w:rPr>
          <w:rFonts w:hint="eastAsia" w:ascii="楷体" w:hAnsi="楷体" w:eastAsia="楷体" w:cs="楷体"/>
          <w:sz w:val="32"/>
          <w:szCs w:val="32"/>
        </w:rPr>
        <w:t>分。</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0"/>
        <w:rPr>
          <w:rFonts w:hint="eastAsia" w:ascii="楷体" w:hAnsi="楷体" w:eastAsia="楷体" w:cs="楷体"/>
          <w:sz w:val="32"/>
          <w:szCs w:val="32"/>
          <w:highlight w:val="none"/>
          <w:lang w:val="en-US" w:eastAsia="zh-CN"/>
        </w:rPr>
      </w:pPr>
      <w:bookmarkStart w:id="61" w:name="_Toc20791"/>
      <w:bookmarkStart w:id="62" w:name="_Toc19501"/>
      <w:bookmarkStart w:id="63" w:name="_Toc8676"/>
      <w:bookmarkStart w:id="64" w:name="_Toc29828"/>
      <w:r>
        <w:rPr>
          <w:rFonts w:hint="eastAsia" w:ascii="楷体" w:hAnsi="楷体" w:eastAsia="楷体" w:cs="楷体"/>
          <w:sz w:val="32"/>
          <w:szCs w:val="32"/>
          <w:highlight w:val="none"/>
          <w:lang w:eastAsia="zh-CN"/>
        </w:rPr>
        <w:t>五、</w:t>
      </w:r>
      <w:r>
        <w:rPr>
          <w:rFonts w:hint="eastAsia" w:ascii="楷体" w:hAnsi="楷体" w:eastAsia="楷体" w:cs="楷体"/>
          <w:sz w:val="32"/>
          <w:szCs w:val="32"/>
          <w:highlight w:val="none"/>
        </w:rPr>
        <w:t>存在问题</w:t>
      </w:r>
      <w:bookmarkEnd w:id="61"/>
      <w:r>
        <w:rPr>
          <w:rFonts w:hint="eastAsia" w:ascii="楷体" w:hAnsi="楷体" w:eastAsia="楷体" w:cs="楷体"/>
          <w:sz w:val="32"/>
          <w:szCs w:val="32"/>
          <w:highlight w:val="none"/>
          <w:lang w:eastAsia="zh-CN"/>
        </w:rPr>
        <w:t>及建议</w:t>
      </w:r>
      <w:bookmarkEnd w:id="62"/>
      <w:bookmarkEnd w:id="63"/>
      <w:bookmarkEnd w:id="64"/>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highlight w:val="none"/>
        </w:rPr>
      </w:pPr>
      <w:bookmarkStart w:id="65" w:name="_Toc32739"/>
      <w:bookmarkStart w:id="66" w:name="_Toc10909"/>
      <w:r>
        <w:rPr>
          <w:rFonts w:hint="eastAsia" w:ascii="楷体" w:hAnsi="楷体" w:eastAsia="楷体" w:cs="楷体"/>
          <w:sz w:val="32"/>
          <w:szCs w:val="32"/>
          <w:highlight w:val="none"/>
        </w:rPr>
        <w:t>（一）存在的问题</w:t>
      </w:r>
      <w:bookmarkEnd w:id="65"/>
      <w:bookmarkEnd w:id="66"/>
    </w:p>
    <w:p>
      <w:pPr>
        <w:keepNext w:val="0"/>
        <w:keepLines w:val="0"/>
        <w:pageBreakBefore w:val="0"/>
        <w:widowControl w:val="0"/>
        <w:kinsoku/>
        <w:wordWrap/>
        <w:overflowPunct/>
        <w:topLinePunct w:val="0"/>
        <w:autoSpaceDE/>
        <w:autoSpaceDN/>
        <w:bidi w:val="0"/>
        <w:adjustRightInd/>
        <w:snapToGrid/>
        <w:spacing w:line="360" w:lineRule="auto"/>
        <w:ind w:firstLine="643" w:firstLineChars="200"/>
        <w:textAlignment w:val="auto"/>
        <w:outlineLvl w:val="2"/>
        <w:rPr>
          <w:rFonts w:hint="eastAsia" w:ascii="楷体" w:hAnsi="楷体" w:eastAsia="楷体" w:cs="楷体"/>
          <w:b/>
          <w:sz w:val="32"/>
          <w:szCs w:val="32"/>
          <w:lang w:val="en-US" w:eastAsia="zh-CN"/>
        </w:rPr>
      </w:pPr>
      <w:bookmarkStart w:id="67" w:name="_Toc561"/>
      <w:r>
        <w:rPr>
          <w:rFonts w:hint="eastAsia" w:ascii="楷体" w:hAnsi="楷体" w:eastAsia="楷体" w:cs="楷体"/>
          <w:b/>
          <w:sz w:val="32"/>
          <w:szCs w:val="32"/>
          <w:lang w:val="en-US" w:eastAsia="zh-CN"/>
        </w:rPr>
        <w:t>1.</w:t>
      </w:r>
      <w:bookmarkEnd w:id="67"/>
      <w:r>
        <w:rPr>
          <w:rFonts w:hint="eastAsia" w:ascii="楷体" w:hAnsi="楷体" w:eastAsia="楷体" w:cs="楷体"/>
          <w:b/>
          <w:sz w:val="32"/>
          <w:szCs w:val="32"/>
          <w:lang w:val="en-US" w:eastAsia="zh-CN"/>
        </w:rPr>
        <w:t>未设置绩效目标，绩效指标不可衡量</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楷体" w:hAnsi="楷体" w:eastAsia="楷体" w:cs="楷体"/>
          <w:kern w:val="2"/>
          <w:sz w:val="32"/>
          <w:szCs w:val="32"/>
          <w:highlight w:val="yellow"/>
          <w:lang w:val="en-US" w:eastAsia="zh-CN" w:bidi="ar-SA"/>
        </w:rPr>
      </w:pPr>
      <w:r>
        <w:rPr>
          <w:rFonts w:hint="eastAsia" w:ascii="楷体" w:hAnsi="楷体" w:eastAsia="楷体" w:cs="楷体"/>
          <w:sz w:val="32"/>
          <w:szCs w:val="32"/>
          <w:highlight w:val="none"/>
          <w:lang w:eastAsia="zh-CN"/>
        </w:rPr>
        <w:t>经查看</w:t>
      </w:r>
      <w:r>
        <w:rPr>
          <w:rFonts w:hint="eastAsia" w:ascii="楷体" w:hAnsi="楷体" w:eastAsia="楷体" w:cs="楷体"/>
          <w:kern w:val="2"/>
          <w:sz w:val="32"/>
          <w:szCs w:val="32"/>
          <w:highlight w:val="none"/>
          <w:lang w:val="en-US" w:eastAsia="zh-CN" w:bidi="ar-SA"/>
        </w:rPr>
        <w:t>项目主管单位未制定相关项目的绩效目标，且绩效指标不清晰，不可衡量。不能明确反映与该项目实际批复情况吻合，更不能反映出项目实施单位的职责密切相关</w:t>
      </w:r>
      <w:r>
        <w:rPr>
          <w:rFonts w:hint="eastAsia" w:ascii="楷体" w:hAnsi="楷体" w:eastAsia="楷体" w:cs="楷体"/>
          <w:sz w:val="32"/>
          <w:szCs w:val="32"/>
          <w:highlight w:val="none"/>
          <w:lang w:val="en-US" w:eastAsia="zh-CN"/>
        </w:rPr>
        <w:t>。</w:t>
      </w:r>
    </w:p>
    <w:p>
      <w:pPr>
        <w:pStyle w:val="3"/>
        <w:keepNext w:val="0"/>
        <w:keepLines w:val="0"/>
        <w:pageBreakBefore w:val="0"/>
        <w:widowControl w:val="0"/>
        <w:kinsoku/>
        <w:wordWrap/>
        <w:overflowPunct/>
        <w:topLinePunct w:val="0"/>
        <w:autoSpaceDE/>
        <w:autoSpaceDN/>
        <w:bidi w:val="0"/>
        <w:spacing w:line="360" w:lineRule="auto"/>
        <w:ind w:firstLine="640"/>
        <w:textAlignment w:val="auto"/>
        <w:rPr>
          <w:rFonts w:hint="default" w:ascii="楷体" w:hAnsi="楷体" w:eastAsia="楷体" w:cs="楷体"/>
          <w:sz w:val="32"/>
          <w:szCs w:val="32"/>
          <w:lang w:val="en-US" w:eastAsia="zh-CN"/>
        </w:rPr>
      </w:pPr>
      <w:bookmarkStart w:id="68" w:name="_Toc22351"/>
      <w:bookmarkStart w:id="69" w:name="_Toc937"/>
      <w:r>
        <w:rPr>
          <w:rFonts w:hint="eastAsia" w:ascii="楷体" w:hAnsi="楷体" w:eastAsia="楷体" w:cs="楷体"/>
          <w:b/>
          <w:sz w:val="32"/>
          <w:szCs w:val="32"/>
          <w:lang w:val="en-US" w:eastAsia="zh-CN"/>
        </w:rPr>
        <w:t>2.</w:t>
      </w:r>
      <w:bookmarkEnd w:id="68"/>
      <w:bookmarkEnd w:id="69"/>
      <w:r>
        <w:rPr>
          <w:rFonts w:hint="eastAsia" w:ascii="楷体" w:hAnsi="楷体" w:eastAsia="楷体" w:cs="楷体"/>
          <w:b/>
          <w:bCs/>
          <w:sz w:val="32"/>
          <w:szCs w:val="32"/>
          <w:lang w:val="en-US" w:eastAsia="zh-CN"/>
        </w:rPr>
        <w:t>内控制度不完善</w:t>
      </w:r>
    </w:p>
    <w:p>
      <w:pPr>
        <w:pStyle w:val="3"/>
        <w:keepNext w:val="0"/>
        <w:keepLines w:val="0"/>
        <w:pageBreakBefore w:val="0"/>
        <w:widowControl w:val="0"/>
        <w:kinsoku/>
        <w:wordWrap/>
        <w:overflowPunct/>
        <w:topLinePunct w:val="0"/>
        <w:autoSpaceDE/>
        <w:autoSpaceDN/>
        <w:bidi w:val="0"/>
        <w:spacing w:line="360" w:lineRule="auto"/>
        <w:ind w:firstLine="640"/>
        <w:textAlignment w:val="auto"/>
        <w:rPr>
          <w:rFonts w:hint="eastAsia" w:ascii="楷体" w:hAnsi="楷体" w:eastAsia="楷体" w:cs="楷体"/>
          <w:sz w:val="32"/>
          <w:szCs w:val="32"/>
        </w:rPr>
      </w:pPr>
      <w:r>
        <w:rPr>
          <w:rFonts w:hint="eastAsia" w:ascii="楷体" w:hAnsi="楷体" w:eastAsia="楷体" w:cs="楷体"/>
          <w:sz w:val="32"/>
          <w:szCs w:val="32"/>
        </w:rPr>
        <w:t>项目制度欠完善，专项资金的下发、使用及报销结算的全过程缺乏制度约束，存在管理风险</w:t>
      </w:r>
      <w:r>
        <w:rPr>
          <w:rFonts w:hint="eastAsia" w:ascii="楷体" w:hAnsi="楷体" w:eastAsia="楷体" w:cs="楷体"/>
          <w:sz w:val="32"/>
          <w:szCs w:val="32"/>
          <w:lang w:eastAsia="zh-CN"/>
        </w:rPr>
        <w:t>，</w:t>
      </w:r>
      <w:r>
        <w:rPr>
          <w:rFonts w:hint="eastAsia" w:ascii="楷体" w:hAnsi="楷体" w:eastAsia="楷体" w:cs="楷体"/>
          <w:sz w:val="32"/>
          <w:szCs w:val="32"/>
        </w:rPr>
        <w:t>不利于项目管理。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3" w:firstLineChars="200"/>
        <w:textAlignment w:val="auto"/>
        <w:outlineLvl w:val="1"/>
        <w:rPr>
          <w:rFonts w:hint="default" w:ascii="楷体" w:hAnsi="楷体" w:eastAsia="楷体" w:cs="楷体"/>
          <w:b/>
          <w:bCs/>
          <w:sz w:val="32"/>
          <w:szCs w:val="32"/>
          <w:lang w:val="en-US" w:eastAsia="zh-CN"/>
        </w:rPr>
      </w:pPr>
      <w:bookmarkStart w:id="70" w:name="_Toc51848804"/>
      <w:bookmarkStart w:id="71" w:name="_Toc51848776"/>
      <w:bookmarkStart w:id="72" w:name="_Toc18151"/>
      <w:r>
        <w:rPr>
          <w:rFonts w:hint="eastAsia" w:ascii="楷体" w:hAnsi="楷体" w:eastAsia="楷体" w:cs="楷体"/>
          <w:b/>
          <w:bCs/>
          <w:sz w:val="32"/>
          <w:szCs w:val="32"/>
          <w:lang w:val="en-US" w:eastAsia="zh-CN"/>
        </w:rPr>
        <w:t>3.工程未按合同及时完工</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1"/>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 xml:space="preserve"> 经查看无极县水利局与中国水利水电老十二工程局有限公司、河北省水利水电第二勘测设计研究院签订的《滹沱河河道内村庄防洪整治工程（EPC总承包）合同文件》中工程施工工期为9个月，工程竣工日期为2021年5月31日，截止到2022年12月31日该工程尚未完工。</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1"/>
        <w:rPr>
          <w:rFonts w:hint="eastAsia" w:ascii="楷体" w:hAnsi="楷体" w:eastAsia="楷体" w:cs="楷体"/>
          <w:sz w:val="32"/>
          <w:szCs w:val="32"/>
        </w:rPr>
      </w:pPr>
      <w:r>
        <w:rPr>
          <w:rFonts w:hint="eastAsia" w:ascii="楷体" w:hAnsi="楷体" w:eastAsia="楷体" w:cs="楷体"/>
          <w:sz w:val="32"/>
          <w:szCs w:val="32"/>
          <w:lang w:eastAsia="zh-CN"/>
        </w:rPr>
        <w:t>（二）</w:t>
      </w:r>
      <w:r>
        <w:rPr>
          <w:rFonts w:hint="eastAsia" w:ascii="楷体" w:hAnsi="楷体" w:eastAsia="楷体" w:cs="楷体"/>
          <w:sz w:val="32"/>
          <w:szCs w:val="32"/>
        </w:rPr>
        <w:t>相关建议</w:t>
      </w:r>
      <w:bookmarkEnd w:id="70"/>
      <w:bookmarkEnd w:id="71"/>
      <w:bookmarkEnd w:id="72"/>
    </w:p>
    <w:p>
      <w:pPr>
        <w:pStyle w:val="3"/>
        <w:keepNext w:val="0"/>
        <w:keepLines w:val="0"/>
        <w:pageBreakBefore w:val="0"/>
        <w:widowControl w:val="0"/>
        <w:kinsoku/>
        <w:wordWrap/>
        <w:overflowPunct/>
        <w:topLinePunct w:val="0"/>
        <w:autoSpaceDE/>
        <w:autoSpaceDN/>
        <w:bidi w:val="0"/>
        <w:adjustRightInd/>
        <w:snapToGrid/>
        <w:spacing w:line="360" w:lineRule="auto"/>
        <w:ind w:firstLine="643"/>
        <w:textAlignment w:val="auto"/>
        <w:outlineLvl w:val="2"/>
        <w:rPr>
          <w:rFonts w:hint="eastAsia" w:ascii="楷体" w:hAnsi="楷体" w:eastAsia="楷体" w:cs="楷体"/>
          <w:b/>
          <w:sz w:val="32"/>
          <w:szCs w:val="32"/>
          <w:lang w:eastAsia="zh-CN"/>
        </w:rPr>
      </w:pPr>
      <w:bookmarkStart w:id="73" w:name="_Toc8935"/>
      <w:r>
        <w:rPr>
          <w:rFonts w:hint="eastAsia" w:ascii="楷体" w:hAnsi="楷体" w:eastAsia="楷体" w:cs="楷体"/>
          <w:b/>
          <w:sz w:val="32"/>
          <w:szCs w:val="32"/>
        </w:rPr>
        <w:t>1.</w:t>
      </w:r>
      <w:bookmarkEnd w:id="73"/>
      <w:r>
        <w:rPr>
          <w:rFonts w:hint="eastAsia" w:ascii="楷体" w:hAnsi="楷体" w:eastAsia="楷体" w:cs="楷体"/>
          <w:b/>
          <w:bCs/>
          <w:sz w:val="32"/>
          <w:szCs w:val="32"/>
          <w:lang w:val="en-US" w:eastAsia="zh-CN"/>
        </w:rPr>
        <w:t>精准编辑预算、合理安排预算资金</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在设置绩效目标时应明确绩效目标，分解细化绩效指标，科学设定指标值，加强指标衔接性，绩效目标的设置既要与实际情况一致，不能偏离实际，又要通过相关的绩效指标进行全面体现，绩效指标值的设置要在考虑可实现性的基础上，尽量从严、从高设定，以充分发挥绩效目标对预算编制执行的引导约束和控制作用，避免选用难以确定具体指标值、标准不明确或缺乏约束力的指标。</w:t>
      </w:r>
    </w:p>
    <w:p>
      <w:pPr>
        <w:pStyle w:val="15"/>
        <w:keepNext w:val="0"/>
        <w:keepLines w:val="0"/>
        <w:pageBreakBefore w:val="0"/>
        <w:widowControl w:val="0"/>
        <w:kinsoku/>
        <w:wordWrap/>
        <w:overflowPunct/>
        <w:topLinePunct w:val="0"/>
        <w:autoSpaceDE/>
        <w:autoSpaceDN/>
        <w:bidi w:val="0"/>
        <w:adjustRightInd/>
        <w:snapToGrid/>
        <w:spacing w:line="360" w:lineRule="auto"/>
        <w:ind w:firstLine="643"/>
        <w:textAlignment w:val="auto"/>
        <w:outlineLvl w:val="2"/>
        <w:rPr>
          <w:rFonts w:hint="eastAsia" w:ascii="楷体" w:hAnsi="楷体" w:eastAsia="楷体" w:cs="楷体"/>
          <w:b/>
          <w:sz w:val="32"/>
          <w:szCs w:val="32"/>
        </w:rPr>
      </w:pPr>
      <w:bookmarkStart w:id="74" w:name="_Toc51848777"/>
      <w:bookmarkStart w:id="75" w:name="_Toc51848805"/>
      <w:bookmarkStart w:id="76" w:name="_Toc14165"/>
      <w:r>
        <w:rPr>
          <w:rFonts w:hint="eastAsia" w:ascii="楷体" w:hAnsi="楷体" w:eastAsia="楷体" w:cs="楷体"/>
          <w:b/>
          <w:sz w:val="32"/>
          <w:szCs w:val="32"/>
          <w:lang w:val="en-US" w:eastAsia="zh-CN"/>
        </w:rPr>
        <w:t>2.</w:t>
      </w:r>
      <w:r>
        <w:rPr>
          <w:rFonts w:hint="eastAsia" w:ascii="楷体" w:hAnsi="楷体" w:eastAsia="楷体" w:cs="楷体"/>
          <w:b/>
          <w:sz w:val="32"/>
          <w:szCs w:val="32"/>
        </w:rPr>
        <w:t>提高责任意识，遵守制度办事</w:t>
      </w:r>
      <w:bookmarkEnd w:id="74"/>
      <w:bookmarkEnd w:id="75"/>
      <w:bookmarkEnd w:id="76"/>
    </w:p>
    <w:p>
      <w:pPr>
        <w:pStyle w:val="3"/>
        <w:keepNext w:val="0"/>
        <w:keepLines w:val="0"/>
        <w:pageBreakBefore w:val="0"/>
        <w:widowControl w:val="0"/>
        <w:kinsoku/>
        <w:wordWrap/>
        <w:overflowPunct/>
        <w:topLinePunct w:val="0"/>
        <w:autoSpaceDE/>
        <w:autoSpaceDN/>
        <w:bidi w:val="0"/>
        <w:spacing w:line="360" w:lineRule="auto"/>
        <w:textAlignment w:val="auto"/>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提高责任意识，在今后的项目过程中，严格履行相关政策规定，对后期保障要提前做好相应的前期安排，做到统筹兼顾，以减少事后不必要的麻烦。</w:t>
      </w:r>
    </w:p>
    <w:p>
      <w:pPr>
        <w:pStyle w:val="3"/>
        <w:keepNext w:val="0"/>
        <w:keepLines w:val="0"/>
        <w:pageBreakBefore w:val="0"/>
        <w:widowControl w:val="0"/>
        <w:kinsoku/>
        <w:wordWrap/>
        <w:overflowPunct/>
        <w:topLinePunct w:val="0"/>
        <w:autoSpaceDE/>
        <w:autoSpaceDN/>
        <w:bidi w:val="0"/>
        <w:adjustRightInd/>
        <w:snapToGrid/>
        <w:spacing w:line="360" w:lineRule="auto"/>
        <w:ind w:firstLine="643"/>
        <w:textAlignment w:val="auto"/>
        <w:outlineLvl w:val="2"/>
        <w:rPr>
          <w:rFonts w:hint="eastAsia" w:ascii="楷体" w:hAnsi="楷体" w:eastAsia="楷体" w:cs="楷体"/>
          <w:b/>
          <w:bCs/>
          <w:sz w:val="32"/>
          <w:szCs w:val="32"/>
          <w:highlight w:val="none"/>
        </w:rPr>
      </w:pPr>
      <w:bookmarkStart w:id="77" w:name="_Toc29553"/>
      <w:bookmarkStart w:id="78" w:name="_Toc15306"/>
      <w:r>
        <w:rPr>
          <w:rFonts w:hint="eastAsia" w:ascii="楷体" w:hAnsi="楷体" w:eastAsia="楷体" w:cs="楷体"/>
          <w:b/>
          <w:sz w:val="32"/>
          <w:szCs w:val="32"/>
          <w:highlight w:val="none"/>
          <w:lang w:val="en-US" w:eastAsia="zh-CN"/>
        </w:rPr>
        <w:t>3.</w:t>
      </w:r>
      <w:r>
        <w:rPr>
          <w:rFonts w:hint="eastAsia" w:ascii="楷体" w:hAnsi="楷体" w:eastAsia="楷体" w:cs="楷体"/>
          <w:b/>
          <w:sz w:val="32"/>
          <w:szCs w:val="32"/>
          <w:highlight w:val="none"/>
        </w:rPr>
        <w:t>完善制度建设，防范项目风险</w:t>
      </w:r>
      <w:bookmarkEnd w:id="77"/>
      <w:bookmarkEnd w:id="78"/>
    </w:p>
    <w:p>
      <w:pPr>
        <w:pStyle w:val="3"/>
        <w:keepNext w:val="0"/>
        <w:keepLines w:val="0"/>
        <w:pageBreakBefore w:val="0"/>
        <w:widowControl w:val="0"/>
        <w:kinsoku/>
        <w:wordWrap/>
        <w:overflowPunct/>
        <w:topLinePunct w:val="0"/>
        <w:autoSpaceDE/>
        <w:autoSpaceDN/>
        <w:bidi w:val="0"/>
        <w:spacing w:line="360" w:lineRule="auto"/>
        <w:textAlignment w:val="auto"/>
        <w:rPr>
          <w:rFonts w:hint="eastAsia" w:ascii="楷体" w:hAnsi="楷体" w:eastAsia="楷体" w:cs="楷体"/>
          <w:sz w:val="32"/>
          <w:szCs w:val="24"/>
          <w:highlight w:val="none"/>
        </w:rPr>
      </w:pPr>
      <w:r>
        <w:rPr>
          <w:rFonts w:hint="eastAsia" w:ascii="楷体" w:hAnsi="楷体" w:eastAsia="楷体" w:cs="楷体"/>
          <w:sz w:val="32"/>
          <w:szCs w:val="32"/>
          <w:highlight w:val="none"/>
          <w:lang w:val="en-US" w:eastAsia="zh-CN"/>
        </w:rPr>
        <w:t>项目主管单位</w:t>
      </w:r>
      <w:r>
        <w:rPr>
          <w:rFonts w:hint="eastAsia" w:ascii="楷体" w:hAnsi="楷体" w:eastAsia="楷体" w:cs="楷体"/>
          <w:sz w:val="32"/>
          <w:szCs w:val="24"/>
          <w:highlight w:val="none"/>
        </w:rPr>
        <w:t>要按要求制定《专项资金管理办法》和《业务管理制度》，完善项目制度建设，增强风险意识，加强项目管理，尽职事中监控，确保目标顺利实现。</w:t>
      </w:r>
    </w:p>
    <w:p>
      <w:pPr>
        <w:pStyle w:val="3"/>
        <w:keepNext w:val="0"/>
        <w:keepLines w:val="0"/>
        <w:pageBreakBefore w:val="0"/>
        <w:widowControl w:val="0"/>
        <w:kinsoku/>
        <w:wordWrap/>
        <w:overflowPunct/>
        <w:topLinePunct w:val="0"/>
        <w:autoSpaceDE/>
        <w:autoSpaceDN/>
        <w:bidi w:val="0"/>
        <w:adjustRightInd/>
        <w:snapToGrid/>
        <w:spacing w:line="360" w:lineRule="auto"/>
        <w:ind w:firstLine="643"/>
        <w:textAlignment w:val="auto"/>
        <w:outlineLvl w:val="2"/>
        <w:rPr>
          <w:rFonts w:hint="eastAsia" w:ascii="楷体" w:hAnsi="楷体" w:eastAsia="楷体" w:cs="楷体"/>
          <w:b/>
          <w:sz w:val="32"/>
          <w:szCs w:val="32"/>
          <w:highlight w:val="none"/>
          <w:lang w:val="en-US" w:eastAsia="zh-CN"/>
        </w:rPr>
      </w:pPr>
      <w:r>
        <w:rPr>
          <w:rFonts w:hint="eastAsia" w:ascii="楷体" w:hAnsi="楷体" w:eastAsia="楷体" w:cs="楷体"/>
          <w:b/>
          <w:sz w:val="32"/>
          <w:szCs w:val="32"/>
          <w:highlight w:val="none"/>
          <w:lang w:val="en-US" w:eastAsia="zh-CN"/>
        </w:rPr>
        <w:t>4.健全成本管理制度</w:t>
      </w:r>
    </w:p>
    <w:p>
      <w:pPr>
        <w:pStyle w:val="3"/>
        <w:keepNext w:val="0"/>
        <w:keepLines w:val="0"/>
        <w:pageBreakBefore w:val="0"/>
        <w:widowControl w:val="0"/>
        <w:numPr>
          <w:ilvl w:val="0"/>
          <w:numId w:val="0"/>
        </w:numPr>
        <w:kinsoku/>
        <w:wordWrap/>
        <w:overflowPunct/>
        <w:topLinePunct w:val="0"/>
        <w:autoSpaceDE/>
        <w:autoSpaceDN/>
        <w:bidi w:val="0"/>
        <w:spacing w:line="360" w:lineRule="auto"/>
        <w:textAlignment w:val="auto"/>
        <w:rPr>
          <w:rFonts w:hint="eastAsia" w:ascii="楷体" w:hAnsi="楷体" w:eastAsia="楷体" w:cs="楷体"/>
          <w:lang w:val="en-US" w:eastAsia="zh-CN"/>
        </w:rPr>
      </w:pPr>
      <w:r>
        <w:rPr>
          <w:rFonts w:hint="eastAsia" w:ascii="楷体" w:hAnsi="楷体" w:eastAsia="楷体" w:cs="楷体"/>
          <w:sz w:val="32"/>
          <w:szCs w:val="24"/>
          <w:highlight w:val="none"/>
          <w:lang w:val="en-US" w:eastAsia="zh-CN"/>
        </w:rPr>
        <w:t xml:space="preserve">    项目主管单位要完善成本核算管理制度，加强成本核算的真实性，并保证项目工程的质量，防范项目质量问题和资金浪费。</w:t>
      </w:r>
    </w:p>
    <w:p>
      <w:pPr>
        <w:pStyle w:val="3"/>
        <w:keepNext w:val="0"/>
        <w:keepLines w:val="0"/>
        <w:pageBreakBefore w:val="0"/>
        <w:widowControl w:val="0"/>
        <w:kinsoku/>
        <w:wordWrap/>
        <w:overflowPunct/>
        <w:topLinePunct w:val="0"/>
        <w:autoSpaceDE/>
        <w:autoSpaceDN/>
        <w:bidi w:val="0"/>
        <w:spacing w:line="360" w:lineRule="auto"/>
        <w:ind w:left="0" w:leftChars="0" w:firstLine="0" w:firstLineChars="0"/>
        <w:textAlignment w:val="auto"/>
        <w:rPr>
          <w:rFonts w:hint="eastAsia" w:ascii="楷体" w:hAnsi="楷体" w:eastAsia="楷体" w:cs="楷体"/>
          <w:lang w:val="en-US" w:eastAsia="zh-CN"/>
        </w:rPr>
      </w:pPr>
    </w:p>
    <w:p>
      <w:pPr>
        <w:keepNext w:val="0"/>
        <w:keepLines w:val="0"/>
        <w:pageBreakBefore w:val="0"/>
        <w:widowControl w:val="0"/>
        <w:tabs>
          <w:tab w:val="left" w:pos="5445"/>
        </w:tabs>
        <w:kinsoku/>
        <w:wordWrap/>
        <w:overflowPunct/>
        <w:topLinePunct w:val="0"/>
        <w:autoSpaceDE/>
        <w:autoSpaceDN/>
        <w:bidi w:val="0"/>
        <w:spacing w:line="360" w:lineRule="auto"/>
        <w:textAlignment w:val="auto"/>
        <w:rPr>
          <w:rFonts w:hint="eastAsia" w:ascii="楷体" w:hAnsi="楷体" w:eastAsia="楷体" w:cs="楷体"/>
          <w:b w:val="0"/>
          <w:bCs w:val="0"/>
          <w:sz w:val="32"/>
          <w:szCs w:val="32"/>
          <w:lang w:val="en-US" w:eastAsia="zh-CN"/>
        </w:rPr>
      </w:pPr>
    </w:p>
    <w:p>
      <w:pPr>
        <w:keepNext w:val="0"/>
        <w:keepLines w:val="0"/>
        <w:pageBreakBefore w:val="0"/>
        <w:widowControl w:val="0"/>
        <w:tabs>
          <w:tab w:val="left" w:pos="5445"/>
        </w:tabs>
        <w:kinsoku/>
        <w:wordWrap/>
        <w:overflowPunct/>
        <w:topLinePunct w:val="0"/>
        <w:autoSpaceDE/>
        <w:autoSpaceDN/>
        <w:bidi w:val="0"/>
        <w:spacing w:line="360" w:lineRule="auto"/>
        <w:textAlignment w:val="auto"/>
        <w:rPr>
          <w:rFonts w:hint="eastAsia" w:ascii="楷体" w:hAnsi="楷体" w:eastAsia="楷体" w:cs="楷体"/>
          <w:b w:val="0"/>
          <w:bCs w:val="0"/>
          <w:sz w:val="32"/>
          <w:szCs w:val="32"/>
          <w:lang w:val="en-US" w:eastAsia="zh-CN"/>
        </w:rPr>
      </w:pPr>
    </w:p>
    <w:p>
      <w:pPr>
        <w:keepNext w:val="0"/>
        <w:keepLines w:val="0"/>
        <w:pageBreakBefore w:val="0"/>
        <w:widowControl w:val="0"/>
        <w:tabs>
          <w:tab w:val="left" w:pos="5445"/>
        </w:tabs>
        <w:kinsoku/>
        <w:wordWrap/>
        <w:overflowPunct/>
        <w:topLinePunct w:val="0"/>
        <w:autoSpaceDE/>
        <w:autoSpaceDN/>
        <w:bidi w:val="0"/>
        <w:spacing w:line="360" w:lineRule="auto"/>
        <w:textAlignment w:val="auto"/>
        <w:rPr>
          <w:rFonts w:hint="eastAsia" w:ascii="楷体" w:hAnsi="楷体" w:eastAsia="楷体" w:cs="楷体"/>
          <w:b/>
          <w:bCs/>
          <w:sz w:val="32"/>
          <w:szCs w:val="32"/>
          <w:lang w:val="en-US" w:eastAsia="zh-CN"/>
        </w:rPr>
      </w:pPr>
      <w:r>
        <w:rPr>
          <w:rFonts w:hint="eastAsia" w:ascii="楷体" w:hAnsi="楷体" w:eastAsia="楷体" w:cs="楷体"/>
          <w:b w:val="0"/>
          <w:bCs w:val="0"/>
          <w:sz w:val="32"/>
          <w:szCs w:val="32"/>
          <w:lang w:val="en-US" w:eastAsia="zh-CN"/>
        </w:rPr>
        <w:t>附件1:滹沱河河道内村庄防洪整治工程项目绩效评价表</w:t>
      </w:r>
    </w:p>
    <w:p>
      <w:pPr>
        <w:pStyle w:val="3"/>
        <w:keepNext w:val="0"/>
        <w:keepLines w:val="0"/>
        <w:pageBreakBefore w:val="0"/>
        <w:widowControl w:val="0"/>
        <w:kinsoku/>
        <w:wordWrap/>
        <w:overflowPunct/>
        <w:topLinePunct w:val="0"/>
        <w:autoSpaceDE/>
        <w:autoSpaceDN/>
        <w:bidi w:val="0"/>
        <w:spacing w:line="480" w:lineRule="exact"/>
        <w:textAlignment w:val="auto"/>
        <w:rPr>
          <w:rFonts w:hint="eastAsia" w:ascii="楷体" w:hAnsi="楷体" w:eastAsia="楷体" w:cs="楷体"/>
          <w:b/>
          <w:bCs/>
          <w:sz w:val="32"/>
          <w:szCs w:val="32"/>
          <w:lang w:val="en-US" w:eastAsia="zh-CN"/>
        </w:rPr>
      </w:pPr>
    </w:p>
    <w:p>
      <w:pPr>
        <w:pStyle w:val="3"/>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b/>
          <w:bCs/>
          <w:sz w:val="32"/>
          <w:szCs w:val="32"/>
          <w:lang w:val="en-US" w:eastAsia="zh-CN"/>
        </w:rPr>
      </w:pPr>
    </w:p>
    <w:p>
      <w:pPr>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b/>
          <w:bCs/>
          <w:sz w:val="32"/>
          <w:szCs w:val="32"/>
          <w:lang w:val="en-US" w:eastAsia="zh-CN"/>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pPr>
        <w:pStyle w:val="3"/>
        <w:rPr>
          <w:rFonts w:hint="eastAsia" w:ascii="楷体" w:hAnsi="楷体" w:eastAsia="楷体" w:cs="楷体"/>
          <w:b/>
          <w:bCs/>
          <w:sz w:val="24"/>
          <w:szCs w:val="24"/>
          <w:lang w:val="en-US" w:eastAsia="zh-CN"/>
        </w:rPr>
      </w:pPr>
      <w:r>
        <w:rPr>
          <w:rFonts w:hint="eastAsia" w:ascii="楷体" w:hAnsi="楷体" w:eastAsia="楷体" w:cs="楷体"/>
          <w:b/>
          <w:bCs/>
          <w:sz w:val="24"/>
          <w:szCs w:val="24"/>
          <w:lang w:val="en-US" w:eastAsia="zh-CN"/>
        </w:rPr>
        <w:t>附件1:</w:t>
      </w:r>
    </w:p>
    <w:tbl>
      <w:tblPr>
        <w:tblStyle w:val="11"/>
        <w:tblW w:w="141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96"/>
        <w:gridCol w:w="1176"/>
        <w:gridCol w:w="698"/>
        <w:gridCol w:w="2591"/>
        <w:gridCol w:w="914"/>
        <w:gridCol w:w="65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1417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滹沱河河道内村庄防洪整治工程项目绩效评价指标体系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1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一级</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指标</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二级指标</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三级指标</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评分标准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得分</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扣分原因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项目决策（10分）</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项目立项</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立项依据充分性（2分）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①项目立项符合国家法律法规、国民经济发展规划和相关政策得1分，否则不得分；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②项目立项与部门职责范围相符,属于部门履职所需得1分，否则不得分。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立项程序规范性（2分）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①项目按照规定的程序申请设立得1分，否则不得分；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②审批文件、材料符合相关要求得1分，否则不得分。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绩效目标</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绩效目标合理性（2分）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①项目绩效目标与实际工作内容具有相关性得1分，否则不得分；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②项目预期产出效益和效果符合正常的业绩水平得1分，否则不得分。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lang w:val="en-US" w:eastAsia="zh-CN"/>
              </w:rPr>
            </w:pPr>
            <w:r>
              <w:rPr>
                <w:rFonts w:hint="eastAsia" w:ascii="楷体" w:hAnsi="楷体" w:eastAsia="楷体" w:cs="楷体"/>
                <w:i w:val="0"/>
                <w:iCs w:val="0"/>
                <w:color w:val="000000"/>
                <w:sz w:val="24"/>
                <w:szCs w:val="24"/>
                <w:u w:val="none"/>
                <w:lang w:val="en-US" w:eastAsia="zh-CN"/>
              </w:rPr>
              <w:t>未制定相关的项目绩效目标，不能明确反映与该项目实际批复情况吻合。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绩效目标明确性（2分）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将项目绩效目标细化分解为具体的绩效指标,通过清晰、可衡量的指标值予以体现、与项目目标任务数或计划数相对应得2分。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24"/>
                <w:szCs w:val="24"/>
                <w:u w:val="none"/>
                <w:lang w:val="en-US" w:eastAsia="zh-CN" w:bidi="ar"/>
              </w:rPr>
            </w:pPr>
            <w:r>
              <w:rPr>
                <w:rFonts w:hint="eastAsia" w:ascii="楷体" w:hAnsi="楷体" w:eastAsia="楷体" w:cs="楷体"/>
                <w:i w:val="0"/>
                <w:iCs w:val="0"/>
                <w:color w:val="000000"/>
                <w:kern w:val="0"/>
                <w:sz w:val="24"/>
                <w:szCs w:val="24"/>
                <w:u w:val="none"/>
                <w:lang w:val="en-US" w:eastAsia="zh-CN" w:bidi="ar"/>
              </w:rPr>
              <w:t>0</w:t>
            </w:r>
          </w:p>
          <w:p>
            <w:pPr>
              <w:pStyle w:val="3"/>
              <w:rPr>
                <w:rFonts w:hint="eastAsia" w:ascii="楷体" w:hAnsi="楷体" w:eastAsia="楷体" w:cs="楷体"/>
                <w:lang w:val="en-US"/>
              </w:rPr>
            </w:pP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未制定项目绩效目标。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资金投入</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资金分配合理性（2分）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①预算资金分配依据充分得1分，否则不得分；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②资金分配额度合理,与项目单位或地方实际相适应得1分，否则不得分。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项目过程（25分）</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资金管理</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资金到位率（5分）</w:t>
            </w:r>
          </w:p>
        </w:tc>
        <w:tc>
          <w:tcPr>
            <w:tcW w:w="25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资金到位率= (实际到位资金/预算资金)×100%。若无法取得预算资金不得分。               </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得分=5*资金到位率</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1"/>
                <w:szCs w:val="21"/>
                <w:u w:val="none"/>
                <w:lang w:val="en-US" w:eastAsia="zh-CN" w:bidi="ar"/>
              </w:rPr>
              <w:t>0.5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实际到位资金46775474.9元，预算资金464723600元，资金到位率为10%。</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5*10%=0.5分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资金执行率（5分）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预算执行率= (实际支出资金/实际到位资金)×100%。若无法取得所需资金不得分。            </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 xml:space="preserve"> 实际支出资金：一定时期(本年度或项目期)内项目实际拨付的资金。</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4.58</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top"/>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实际支出资金42800525.1元，实际到位财政拨付资金4677474.9元，预算执行率为91.5%。5*91.5%=4.575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资金使用合规性（5分）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符合国家财经法规和财务管理制度以及有关专项资金管理办法的规定、</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资金的拨付有完整的审批程序和手续、符合项目预算批复或合同规定的用途、</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不存在截留、挤占、挪用、虚列支出等情况得5分。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楷体" w:hAnsi="楷体" w:eastAsia="楷体" w:cs="楷体"/>
                <w:i w:val="0"/>
                <w:iCs w:val="0"/>
                <w:color w:val="000000"/>
                <w:sz w:val="24"/>
                <w:szCs w:val="24"/>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组织实施</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组织机构健全性（2分）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组织机构健全，人员分工明确，责任划分清晰的得2分。发现一处不符合扣1分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管理制度健全性（3分）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①已制定或具有相应的财务和业务管理制度得1分，发现一处不符合扣0.5分；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②财务和业务管理制度是否合法、合规、完整得2分，发现一处不符合扣0.5分。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3</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bottom"/>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制度执行有效性（5分）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①遵守相关法律法规、相关管理制度和通知规定得2分，发现一处不符合扣0.5分；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②项目调整及支出调整手续完备得2分，发现一处不符合扣0.5分；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③项目合同书等资料齐全并及时归档得1分，发现一处不符合扣0.5分。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项目产出（25分）</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产出数量</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完成面积数（5分）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实际完成率= （实际公里数/预算公里数）×100%。（实际完成率达到100%，得5分，每低于1个百分点扣1分，扣完为止）根据分值，按比例得分。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4.62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highlight w:val="none"/>
                <w:u w:val="none"/>
                <w:lang w:val="en-US" w:eastAsia="zh-CN" w:bidi="ar"/>
              </w:rPr>
              <w:t>5*（12.2km/13.2km）=92.42%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产出质量</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项目质量情况（5分）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项目质量均达到招标文件要求，验收结论为：“合格”得5分。符合以上每项符合得满分，不符合按比例得分。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楷体" w:hAnsi="楷体" w:eastAsia="楷体" w:cs="楷体"/>
                <w:i w:val="0"/>
                <w:iCs w:val="0"/>
                <w:color w:val="000000"/>
                <w:sz w:val="24"/>
                <w:szCs w:val="24"/>
                <w:u w:val="none"/>
                <w:lang w:val="en-US" w:eastAsia="zh-CN"/>
              </w:rPr>
            </w:pPr>
            <w:r>
              <w:rPr>
                <w:rFonts w:hint="eastAsia" w:ascii="楷体" w:hAnsi="楷体" w:eastAsia="楷体" w:cs="楷体"/>
                <w:i w:val="0"/>
                <w:iCs w:val="0"/>
                <w:color w:val="000000"/>
                <w:sz w:val="24"/>
                <w:szCs w:val="24"/>
                <w:u w:val="none"/>
                <w:lang w:val="en-US" w:eastAsia="zh-CN"/>
              </w:rPr>
              <w:t>项目未完工，工程质量待验收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项目档案质量情况（5分）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通过相关制度执行，监理日志、施工日志等资料完整归档的得5分。资料不齐全的扣1分。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产出时效</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完成及时性（5分）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在合同限定期限内完工，无提前施工，工程无延期得5分。符合以上每项符合得满分，不符合按比例得分。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4.6</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lang w:eastAsia="zh-CN"/>
              </w:rPr>
            </w:pPr>
            <w:r>
              <w:rPr>
                <w:rFonts w:hint="eastAsia" w:ascii="楷体" w:hAnsi="楷体" w:eastAsia="楷体" w:cs="楷体"/>
                <w:i w:val="0"/>
                <w:iCs w:val="0"/>
                <w:color w:val="000000"/>
                <w:sz w:val="24"/>
                <w:szCs w:val="24"/>
                <w:u w:val="none"/>
                <w:lang w:eastAsia="zh-CN"/>
              </w:rPr>
              <w:t>工程未按合同日期完工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产出成本</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节约成本（5分）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根据下拨资金及时对项目进行调整，项目变更减少施工量，节约工程成本，未造成资金浪费的得5分。符合以上每项符合得满分，不符合按比例得分。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项目效益（40分）</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项目效益</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社会效益（10分）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项目完工后，为未来社会和经济发展稳定。得10分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环境效益（10分）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项目建成后，有效防御洪水、减少自然灾害损失，保护广大人民群众生命财产安全。得10分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可持续影响效益（20分）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项目建成后保障河道内村庄及下游防洪保护区的防洪安全，对村民具有积极意义。得20分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20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1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bottom"/>
              <w:rPr>
                <w:rFonts w:hint="eastAsia" w:ascii="楷体" w:hAnsi="楷体" w:eastAsia="楷体" w:cs="楷体"/>
                <w:b/>
                <w:bCs/>
                <w:i w:val="0"/>
                <w:iCs w:val="0"/>
                <w:color w:val="000000"/>
                <w:sz w:val="24"/>
                <w:szCs w:val="24"/>
                <w:u w:val="none"/>
              </w:rPr>
            </w:pPr>
            <w:r>
              <w:rPr>
                <w:rFonts w:hint="eastAsia" w:ascii="楷体" w:hAnsi="楷体" w:eastAsia="楷体" w:cs="楷体"/>
                <w:b/>
                <w:bCs/>
                <w:i w:val="0"/>
                <w:iCs w:val="0"/>
                <w:color w:val="000000"/>
                <w:kern w:val="0"/>
                <w:sz w:val="24"/>
                <w:szCs w:val="24"/>
                <w:u w:val="none"/>
                <w:lang w:val="en-US" w:eastAsia="zh-CN" w:bidi="ar"/>
              </w:rPr>
              <w:t>合计</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default" w:ascii="楷体" w:hAnsi="楷体" w:eastAsia="楷体" w:cs="楷体"/>
                <w:i w:val="0"/>
                <w:iCs w:val="0"/>
                <w:color w:val="000000"/>
                <w:sz w:val="24"/>
                <w:szCs w:val="24"/>
                <w:u w:val="none"/>
                <w:lang w:val="en-US" w:eastAsia="zh-CN"/>
              </w:rPr>
            </w:pPr>
            <w:r>
              <w:rPr>
                <w:rFonts w:hint="eastAsia" w:ascii="楷体" w:hAnsi="楷体" w:eastAsia="楷体" w:cs="楷体"/>
                <w:i w:val="0"/>
                <w:iCs w:val="0"/>
                <w:color w:val="000000"/>
                <w:sz w:val="24"/>
                <w:szCs w:val="24"/>
                <w:u w:val="none"/>
                <w:lang w:val="en-US" w:eastAsia="zh-CN"/>
              </w:rPr>
              <w:t>86</w:t>
            </w:r>
            <w:bookmarkStart w:id="79" w:name="_GoBack"/>
            <w:bookmarkEnd w:id="79"/>
            <w:r>
              <w:rPr>
                <w:rFonts w:hint="eastAsia" w:ascii="楷体" w:hAnsi="楷体" w:eastAsia="楷体" w:cs="楷体"/>
                <w:i w:val="0"/>
                <w:iCs w:val="0"/>
                <w:color w:val="000000"/>
                <w:sz w:val="24"/>
                <w:szCs w:val="24"/>
                <w:u w:val="none"/>
                <w:lang w:val="en-US" w:eastAsia="zh-CN"/>
              </w:rPr>
              <w:t>.3</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bl>
    <w:p>
      <w:pPr>
        <w:keepNext w:val="0"/>
        <w:keepLines w:val="0"/>
        <w:pageBreakBefore w:val="0"/>
        <w:widowControl w:val="0"/>
        <w:tabs>
          <w:tab w:val="left" w:pos="5445"/>
        </w:tabs>
        <w:kinsoku/>
        <w:wordWrap/>
        <w:overflowPunct/>
        <w:topLinePunct w:val="0"/>
        <w:autoSpaceDE/>
        <w:autoSpaceDN/>
        <w:bidi w:val="0"/>
        <w:spacing w:line="440" w:lineRule="exact"/>
        <w:jc w:val="both"/>
        <w:textAlignment w:val="auto"/>
        <w:rPr>
          <w:rFonts w:hint="eastAsia" w:ascii="楷体" w:hAnsi="楷体" w:eastAsia="楷体" w:cs="楷体"/>
          <w:kern w:val="2"/>
          <w:sz w:val="32"/>
          <w:szCs w:val="24"/>
          <w:lang w:val="en-US" w:eastAsia="zh-CN" w:bidi="ar-SA"/>
        </w:rPr>
      </w:pPr>
      <w:r>
        <w:rPr>
          <w:rFonts w:hint="eastAsia" w:ascii="楷体" w:hAnsi="楷体" w:eastAsia="楷体" w:cs="楷体"/>
          <w:kern w:val="2"/>
          <w:sz w:val="32"/>
          <w:szCs w:val="24"/>
          <w:lang w:val="en-US" w:eastAsia="zh-CN" w:bidi="ar-SA"/>
        </w:rPr>
        <w:t xml:space="preserve">              </w:t>
      </w:r>
    </w:p>
    <w:p>
      <w:pPr>
        <w:keepNext w:val="0"/>
        <w:keepLines w:val="0"/>
        <w:pageBreakBefore w:val="0"/>
        <w:widowControl w:val="0"/>
        <w:tabs>
          <w:tab w:val="left" w:pos="5445"/>
        </w:tabs>
        <w:kinsoku/>
        <w:wordWrap/>
        <w:overflowPunct/>
        <w:topLinePunct w:val="0"/>
        <w:autoSpaceDE/>
        <w:autoSpaceDN/>
        <w:bidi w:val="0"/>
        <w:spacing w:line="440" w:lineRule="exact"/>
        <w:ind w:firstLine="1280" w:firstLineChars="400"/>
        <w:jc w:val="center"/>
        <w:textAlignment w:val="auto"/>
        <w:rPr>
          <w:rFonts w:hint="eastAsia" w:ascii="楷体" w:hAnsi="楷体" w:eastAsia="楷体" w:cs="楷体"/>
          <w:kern w:val="2"/>
          <w:sz w:val="32"/>
          <w:szCs w:val="24"/>
          <w:lang w:val="en-US" w:eastAsia="zh-CN" w:bidi="ar-SA"/>
        </w:rPr>
      </w:pPr>
      <w:r>
        <w:rPr>
          <w:rFonts w:hint="eastAsia" w:ascii="楷体" w:hAnsi="楷体" w:eastAsia="楷体" w:cs="楷体"/>
          <w:kern w:val="2"/>
          <w:sz w:val="32"/>
          <w:szCs w:val="24"/>
          <w:lang w:val="en-US" w:eastAsia="zh-CN" w:bidi="ar-SA"/>
        </w:rPr>
        <w:t xml:space="preserve">                              无极中昌会计师事务所</w:t>
      </w:r>
    </w:p>
    <w:p>
      <w:pPr>
        <w:keepNext w:val="0"/>
        <w:keepLines w:val="0"/>
        <w:pageBreakBefore w:val="0"/>
        <w:widowControl w:val="0"/>
        <w:tabs>
          <w:tab w:val="left" w:pos="5445"/>
        </w:tabs>
        <w:kinsoku/>
        <w:wordWrap/>
        <w:overflowPunct/>
        <w:topLinePunct w:val="0"/>
        <w:autoSpaceDE/>
        <w:autoSpaceDN/>
        <w:bidi w:val="0"/>
        <w:spacing w:line="440" w:lineRule="exact"/>
        <w:ind w:firstLine="1600" w:firstLineChars="500"/>
        <w:jc w:val="center"/>
        <w:textAlignment w:val="auto"/>
        <w:rPr>
          <w:rFonts w:hint="eastAsia" w:ascii="楷体" w:hAnsi="楷体" w:eastAsia="楷体" w:cs="楷体"/>
          <w:sz w:val="28"/>
          <w:szCs w:val="28"/>
          <w:lang w:val="en-US" w:eastAsia="zh-CN"/>
        </w:rPr>
      </w:pPr>
      <w:r>
        <w:rPr>
          <w:rFonts w:hint="eastAsia" w:ascii="楷体" w:hAnsi="楷体" w:eastAsia="楷体" w:cs="楷体"/>
          <w:kern w:val="2"/>
          <w:sz w:val="32"/>
          <w:szCs w:val="24"/>
          <w:lang w:val="en-US" w:eastAsia="zh-CN" w:bidi="ar-SA"/>
        </w:rPr>
        <w:t xml:space="preserve">                            有限责任公司</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 xml:space="preserve">    </w:t>
      </w:r>
    </w:p>
    <w:p>
      <w:pPr>
        <w:keepNext w:val="0"/>
        <w:keepLines w:val="0"/>
        <w:pageBreakBefore w:val="0"/>
        <w:widowControl w:val="0"/>
        <w:tabs>
          <w:tab w:val="left" w:pos="5445"/>
        </w:tabs>
        <w:kinsoku/>
        <w:wordWrap/>
        <w:overflowPunct/>
        <w:topLinePunct w:val="0"/>
        <w:autoSpaceDE/>
        <w:autoSpaceDN/>
        <w:bidi w:val="0"/>
        <w:spacing w:line="440" w:lineRule="exact"/>
        <w:ind w:firstLine="5760" w:firstLineChars="1800"/>
        <w:textAlignment w:val="auto"/>
        <w:rPr>
          <w:rFonts w:hint="eastAsia" w:ascii="楷体" w:hAnsi="楷体" w:eastAsia="楷体" w:cs="楷体"/>
          <w:kern w:val="2"/>
          <w:sz w:val="32"/>
          <w:szCs w:val="24"/>
          <w:lang w:val="en-US" w:eastAsia="zh-CN" w:bidi="ar-SA"/>
        </w:rPr>
      </w:pPr>
    </w:p>
    <w:p>
      <w:pPr>
        <w:keepNext w:val="0"/>
        <w:keepLines w:val="0"/>
        <w:pageBreakBefore w:val="0"/>
        <w:widowControl w:val="0"/>
        <w:tabs>
          <w:tab w:val="left" w:pos="5445"/>
        </w:tabs>
        <w:kinsoku/>
        <w:wordWrap/>
        <w:overflowPunct/>
        <w:topLinePunct w:val="0"/>
        <w:autoSpaceDE/>
        <w:autoSpaceDN/>
        <w:bidi w:val="0"/>
        <w:spacing w:line="440" w:lineRule="exact"/>
        <w:ind w:firstLine="8960" w:firstLineChars="2800"/>
        <w:textAlignment w:val="auto"/>
        <w:rPr>
          <w:rFonts w:hint="eastAsia" w:ascii="仿宋_GB2312" w:hAnsi="仿宋_GB2312" w:eastAsia="仿宋_GB2312" w:cs="仿宋_GB2312"/>
          <w:kern w:val="2"/>
          <w:sz w:val="32"/>
          <w:szCs w:val="24"/>
          <w:lang w:val="en-US" w:eastAsia="zh-CN" w:bidi="ar-SA"/>
        </w:rPr>
      </w:pPr>
      <w:r>
        <w:rPr>
          <w:rFonts w:hint="eastAsia" w:ascii="楷体" w:hAnsi="楷体" w:eastAsia="楷体" w:cs="楷体"/>
          <w:kern w:val="2"/>
          <w:sz w:val="32"/>
          <w:szCs w:val="24"/>
          <w:lang w:val="en-US" w:eastAsia="zh-CN" w:bidi="ar-SA"/>
        </w:rPr>
        <w:t>2023年12月12日</w:t>
      </w:r>
    </w:p>
    <w:sectPr>
      <w:footerReference r:id="rId4"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single" w:color="auto" w:sz="4" w:space="0"/>
      </w:pBdr>
      <w:ind w:firstLine="720" w:firstLineChars="400"/>
      <w:rPr>
        <w:rFonts w:hint="default" w:eastAsia="宋体"/>
        <w:i/>
        <w:iCs/>
        <w:lang w:val="en-US" w:eastAsia="zh-CN"/>
      </w:rPr>
    </w:pPr>
    <w:r>
      <w:rPr>
        <w:i/>
        <w:iCs/>
        <w:sz w:val="18"/>
      </w:rPr>
      <mc:AlternateContent>
        <mc:Choice Requires="wps">
          <w:drawing>
            <wp:anchor distT="0" distB="0" distL="114300" distR="114300" simplePos="0" relativeHeight="251659264" behindDoc="0" locked="0" layoutInCell="1" allowOverlap="1">
              <wp:simplePos x="0" y="0"/>
              <wp:positionH relativeFrom="margin">
                <wp:posOffset>4223385</wp:posOffset>
              </wp:positionH>
              <wp:positionV relativeFrom="paragraph">
                <wp:posOffset>-27940</wp:posOffset>
              </wp:positionV>
              <wp:extent cx="1828800" cy="16383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6383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2.55pt;margin-top:-2.2pt;height:12.9pt;width:144pt;mso-position-horizontal-relative:margin;mso-wrap-style:none;z-index:251659264;mso-width-relative:page;mso-height-relative:page;" filled="f" stroked="f" coordsize="21600,21600" o:gfxdata="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3WUGt2QAAAAkBAAAPAAAAAAAAAAEAIAAAACIAAABkcnMvZG93bnJl&#10;di54bWxQSwECFAAUAAAACACHTuJA6eHlJzUCAABgBAAADgAAAAAAAAABACAAAAAoAQAAZHJzL2Uy&#10;b0RvYy54bWxQSwUGAAAAAAYABgBZAQAAzwUAAAAA&#10;">
              <v:fill on="f" focussize="0,0"/>
              <v:stroke on="f" weight="0.5pt"/>
              <v:imagedata o:title=""/>
              <o:lock v:ext="edit" aspectratio="f"/>
              <v:textbox inset="0mm,0mm,0mm,0mm">
                <w:txbxContent>
                  <w:p>
                    <w:pPr>
                      <w:pStyle w:val="5"/>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v:textbox>
            </v:shape>
          </w:pict>
        </mc:Fallback>
      </mc:AlternateContent>
    </w:r>
    <w:r>
      <w:rPr>
        <w:rFonts w:hint="eastAsia"/>
        <w:i/>
        <w:iCs/>
        <w:lang w:eastAsia="zh-CN"/>
      </w:rPr>
      <w:t>无极中昌会计师事务所有限责任公司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single" w:color="auto" w:sz="4" w:space="0"/>
      </w:pBdr>
      <w:ind w:firstLine="720" w:firstLineChars="400"/>
      <w:rPr>
        <w:rFonts w:hint="default" w:eastAsia="宋体"/>
        <w:i/>
        <w:iCs/>
        <w:lang w:val="en-US" w:eastAsia="zh-CN"/>
      </w:rPr>
    </w:pPr>
    <w:r>
      <w:rPr>
        <w:rFonts w:hint="eastAsia"/>
        <w:i/>
        <w:iCs/>
        <w:lang w:eastAsia="zh-CN"/>
      </w:rPr>
      <w:t>无极中昌会计师事务所有限责任公司</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JhMTc3YTkwOTE2NTg4NmU2NjNkY2U2YmI3YzBlNjkifQ=="/>
  </w:docVars>
  <w:rsids>
    <w:rsidRoot w:val="57F90832"/>
    <w:rsid w:val="00430329"/>
    <w:rsid w:val="0093613D"/>
    <w:rsid w:val="00AA336F"/>
    <w:rsid w:val="00D86374"/>
    <w:rsid w:val="00F705B3"/>
    <w:rsid w:val="00F716E5"/>
    <w:rsid w:val="010601A5"/>
    <w:rsid w:val="0119549D"/>
    <w:rsid w:val="012A0577"/>
    <w:rsid w:val="013053EE"/>
    <w:rsid w:val="015C64AA"/>
    <w:rsid w:val="01726CDE"/>
    <w:rsid w:val="01DF234D"/>
    <w:rsid w:val="01FB157B"/>
    <w:rsid w:val="0214573C"/>
    <w:rsid w:val="023C3B1F"/>
    <w:rsid w:val="027855C3"/>
    <w:rsid w:val="02900CBF"/>
    <w:rsid w:val="02A7799F"/>
    <w:rsid w:val="02D934D7"/>
    <w:rsid w:val="02F224F2"/>
    <w:rsid w:val="02FA4A4C"/>
    <w:rsid w:val="03184FDD"/>
    <w:rsid w:val="03800D34"/>
    <w:rsid w:val="04032235"/>
    <w:rsid w:val="0487594E"/>
    <w:rsid w:val="050645D0"/>
    <w:rsid w:val="05107A47"/>
    <w:rsid w:val="052A0705"/>
    <w:rsid w:val="0533063E"/>
    <w:rsid w:val="053F3434"/>
    <w:rsid w:val="0588526B"/>
    <w:rsid w:val="05A32950"/>
    <w:rsid w:val="05C559A7"/>
    <w:rsid w:val="05C66B03"/>
    <w:rsid w:val="05D709B3"/>
    <w:rsid w:val="06133C87"/>
    <w:rsid w:val="06833871"/>
    <w:rsid w:val="069B792B"/>
    <w:rsid w:val="06E17DBA"/>
    <w:rsid w:val="070A5F1B"/>
    <w:rsid w:val="071D65CC"/>
    <w:rsid w:val="07235566"/>
    <w:rsid w:val="07AB29A8"/>
    <w:rsid w:val="07F65A4B"/>
    <w:rsid w:val="07FC7C87"/>
    <w:rsid w:val="08276C6B"/>
    <w:rsid w:val="08363C37"/>
    <w:rsid w:val="08551DAB"/>
    <w:rsid w:val="0871440B"/>
    <w:rsid w:val="08890191"/>
    <w:rsid w:val="089D4136"/>
    <w:rsid w:val="08D216FF"/>
    <w:rsid w:val="08D25BC3"/>
    <w:rsid w:val="08DB5331"/>
    <w:rsid w:val="08F35B1A"/>
    <w:rsid w:val="090911F3"/>
    <w:rsid w:val="092E32F4"/>
    <w:rsid w:val="09C13C17"/>
    <w:rsid w:val="09D45935"/>
    <w:rsid w:val="09D576B0"/>
    <w:rsid w:val="0A501430"/>
    <w:rsid w:val="0B3D464E"/>
    <w:rsid w:val="0BB57BDE"/>
    <w:rsid w:val="0BB677F8"/>
    <w:rsid w:val="0BB76CE5"/>
    <w:rsid w:val="0BE551E1"/>
    <w:rsid w:val="0C122745"/>
    <w:rsid w:val="0C2C03A4"/>
    <w:rsid w:val="0C6508DD"/>
    <w:rsid w:val="0C905674"/>
    <w:rsid w:val="0C986C2C"/>
    <w:rsid w:val="0CF6672B"/>
    <w:rsid w:val="0D4E1E94"/>
    <w:rsid w:val="0D9F68F2"/>
    <w:rsid w:val="0DD00F12"/>
    <w:rsid w:val="0E1030C3"/>
    <w:rsid w:val="0E3977C0"/>
    <w:rsid w:val="0E484420"/>
    <w:rsid w:val="0E7C55D3"/>
    <w:rsid w:val="0EB61F57"/>
    <w:rsid w:val="0ED17A27"/>
    <w:rsid w:val="0F824DA7"/>
    <w:rsid w:val="0F876EE8"/>
    <w:rsid w:val="0F8973F8"/>
    <w:rsid w:val="0F8F34B2"/>
    <w:rsid w:val="0FAC0BED"/>
    <w:rsid w:val="0FBE578D"/>
    <w:rsid w:val="0FF03B0A"/>
    <w:rsid w:val="101E0F26"/>
    <w:rsid w:val="102609F9"/>
    <w:rsid w:val="10410B40"/>
    <w:rsid w:val="10526AE6"/>
    <w:rsid w:val="107F4121"/>
    <w:rsid w:val="10995E99"/>
    <w:rsid w:val="10C624C4"/>
    <w:rsid w:val="10EA4312"/>
    <w:rsid w:val="10ED1D02"/>
    <w:rsid w:val="11635241"/>
    <w:rsid w:val="11765B39"/>
    <w:rsid w:val="11897500"/>
    <w:rsid w:val="11A25AB1"/>
    <w:rsid w:val="122325CD"/>
    <w:rsid w:val="124F01F8"/>
    <w:rsid w:val="12927343"/>
    <w:rsid w:val="12AC7619"/>
    <w:rsid w:val="12C777FF"/>
    <w:rsid w:val="12ED4198"/>
    <w:rsid w:val="136C4E31"/>
    <w:rsid w:val="13F107E3"/>
    <w:rsid w:val="14067E31"/>
    <w:rsid w:val="142B2B0E"/>
    <w:rsid w:val="143B729A"/>
    <w:rsid w:val="1443764E"/>
    <w:rsid w:val="14D27F76"/>
    <w:rsid w:val="15153410"/>
    <w:rsid w:val="15261D67"/>
    <w:rsid w:val="15327C84"/>
    <w:rsid w:val="154068D2"/>
    <w:rsid w:val="15BA1D21"/>
    <w:rsid w:val="15DF3AD4"/>
    <w:rsid w:val="162C3142"/>
    <w:rsid w:val="16414353"/>
    <w:rsid w:val="16694D67"/>
    <w:rsid w:val="168974AE"/>
    <w:rsid w:val="16D327A7"/>
    <w:rsid w:val="177425BE"/>
    <w:rsid w:val="17A14437"/>
    <w:rsid w:val="17A85BFD"/>
    <w:rsid w:val="17D20490"/>
    <w:rsid w:val="186218F4"/>
    <w:rsid w:val="189C026E"/>
    <w:rsid w:val="18B7286E"/>
    <w:rsid w:val="19014C10"/>
    <w:rsid w:val="19220F07"/>
    <w:rsid w:val="19222402"/>
    <w:rsid w:val="19404B90"/>
    <w:rsid w:val="19697608"/>
    <w:rsid w:val="1A2607C0"/>
    <w:rsid w:val="1A937147"/>
    <w:rsid w:val="1AB85F99"/>
    <w:rsid w:val="1AD73B80"/>
    <w:rsid w:val="1AD85240"/>
    <w:rsid w:val="1AFA70D2"/>
    <w:rsid w:val="1B064B68"/>
    <w:rsid w:val="1B1F3BAA"/>
    <w:rsid w:val="1B364B4A"/>
    <w:rsid w:val="1B6C68F1"/>
    <w:rsid w:val="1B92600A"/>
    <w:rsid w:val="1BA72F17"/>
    <w:rsid w:val="1C302A65"/>
    <w:rsid w:val="1C4C32A2"/>
    <w:rsid w:val="1C566235"/>
    <w:rsid w:val="1C5F3D22"/>
    <w:rsid w:val="1C760ACE"/>
    <w:rsid w:val="1C7E52E9"/>
    <w:rsid w:val="1CBF3E42"/>
    <w:rsid w:val="1D2065FF"/>
    <w:rsid w:val="1D24052A"/>
    <w:rsid w:val="1D3542E6"/>
    <w:rsid w:val="1D5F1562"/>
    <w:rsid w:val="1D8F62F3"/>
    <w:rsid w:val="1D9533C2"/>
    <w:rsid w:val="1DCF2D4E"/>
    <w:rsid w:val="1DCF7EE8"/>
    <w:rsid w:val="1DD0149F"/>
    <w:rsid w:val="1DE703D0"/>
    <w:rsid w:val="1E305BEE"/>
    <w:rsid w:val="1EA16490"/>
    <w:rsid w:val="1F1668F4"/>
    <w:rsid w:val="1F5D623B"/>
    <w:rsid w:val="1FCF35FD"/>
    <w:rsid w:val="1FF44F5B"/>
    <w:rsid w:val="1FF56C9F"/>
    <w:rsid w:val="208F58BF"/>
    <w:rsid w:val="20AF7135"/>
    <w:rsid w:val="20F452EF"/>
    <w:rsid w:val="218B0153"/>
    <w:rsid w:val="2205252E"/>
    <w:rsid w:val="22072A5D"/>
    <w:rsid w:val="22371E1A"/>
    <w:rsid w:val="22887EC8"/>
    <w:rsid w:val="22E25515"/>
    <w:rsid w:val="233F6CF3"/>
    <w:rsid w:val="23521739"/>
    <w:rsid w:val="235F22BC"/>
    <w:rsid w:val="23715840"/>
    <w:rsid w:val="23824062"/>
    <w:rsid w:val="23845379"/>
    <w:rsid w:val="2388396C"/>
    <w:rsid w:val="24702383"/>
    <w:rsid w:val="249C05B7"/>
    <w:rsid w:val="24AC665B"/>
    <w:rsid w:val="24F07BEB"/>
    <w:rsid w:val="2525367F"/>
    <w:rsid w:val="2531229E"/>
    <w:rsid w:val="256E180B"/>
    <w:rsid w:val="256F05EB"/>
    <w:rsid w:val="25D92D15"/>
    <w:rsid w:val="25FE2999"/>
    <w:rsid w:val="26233574"/>
    <w:rsid w:val="26410681"/>
    <w:rsid w:val="26430CF1"/>
    <w:rsid w:val="267A1E9C"/>
    <w:rsid w:val="269A4736"/>
    <w:rsid w:val="26A57107"/>
    <w:rsid w:val="26AE218A"/>
    <w:rsid w:val="26AF1816"/>
    <w:rsid w:val="26B31800"/>
    <w:rsid w:val="26D8052A"/>
    <w:rsid w:val="27546F7D"/>
    <w:rsid w:val="2757024B"/>
    <w:rsid w:val="27C35BEC"/>
    <w:rsid w:val="27D21201"/>
    <w:rsid w:val="27D7771A"/>
    <w:rsid w:val="27FC0898"/>
    <w:rsid w:val="281D44F4"/>
    <w:rsid w:val="28A23C1E"/>
    <w:rsid w:val="28C01A4F"/>
    <w:rsid w:val="292750BA"/>
    <w:rsid w:val="29A81042"/>
    <w:rsid w:val="29B822DE"/>
    <w:rsid w:val="29CA4207"/>
    <w:rsid w:val="29DD218D"/>
    <w:rsid w:val="29F666F3"/>
    <w:rsid w:val="2A0E1BBA"/>
    <w:rsid w:val="2A40115D"/>
    <w:rsid w:val="2A4B676E"/>
    <w:rsid w:val="2A4D6EE1"/>
    <w:rsid w:val="2A6D26BB"/>
    <w:rsid w:val="2A9A2657"/>
    <w:rsid w:val="2ACE394D"/>
    <w:rsid w:val="2B6D28ED"/>
    <w:rsid w:val="2B7E0DA6"/>
    <w:rsid w:val="2BB63A12"/>
    <w:rsid w:val="2BDC2093"/>
    <w:rsid w:val="2C0B0A09"/>
    <w:rsid w:val="2CE91DA9"/>
    <w:rsid w:val="2D2F5FC2"/>
    <w:rsid w:val="2D573AC0"/>
    <w:rsid w:val="2DAD428F"/>
    <w:rsid w:val="2DE2257A"/>
    <w:rsid w:val="2DF152F1"/>
    <w:rsid w:val="2DF45CF7"/>
    <w:rsid w:val="2E3F6F8A"/>
    <w:rsid w:val="2E667A5E"/>
    <w:rsid w:val="2F205664"/>
    <w:rsid w:val="2F3740ED"/>
    <w:rsid w:val="2F665499"/>
    <w:rsid w:val="2F745341"/>
    <w:rsid w:val="2F870EAF"/>
    <w:rsid w:val="2F944DE3"/>
    <w:rsid w:val="2F9916DA"/>
    <w:rsid w:val="2F9B42AA"/>
    <w:rsid w:val="2FB5420E"/>
    <w:rsid w:val="2FC43C1B"/>
    <w:rsid w:val="2FD10BFA"/>
    <w:rsid w:val="2FD420D1"/>
    <w:rsid w:val="2FFF2C47"/>
    <w:rsid w:val="30115E9C"/>
    <w:rsid w:val="30134B5A"/>
    <w:rsid w:val="302A28F2"/>
    <w:rsid w:val="302E63D9"/>
    <w:rsid w:val="30405F11"/>
    <w:rsid w:val="30633097"/>
    <w:rsid w:val="30852009"/>
    <w:rsid w:val="30912B39"/>
    <w:rsid w:val="30E7118B"/>
    <w:rsid w:val="3150690A"/>
    <w:rsid w:val="319C0EF6"/>
    <w:rsid w:val="31DD6E8D"/>
    <w:rsid w:val="32572F56"/>
    <w:rsid w:val="326C4834"/>
    <w:rsid w:val="328527CB"/>
    <w:rsid w:val="32B6338F"/>
    <w:rsid w:val="32CC05DC"/>
    <w:rsid w:val="33030984"/>
    <w:rsid w:val="3344327C"/>
    <w:rsid w:val="336B44CD"/>
    <w:rsid w:val="33890261"/>
    <w:rsid w:val="338C0607"/>
    <w:rsid w:val="33A4179D"/>
    <w:rsid w:val="33BE17A9"/>
    <w:rsid w:val="34345DAB"/>
    <w:rsid w:val="344626FF"/>
    <w:rsid w:val="34622D70"/>
    <w:rsid w:val="347C621F"/>
    <w:rsid w:val="348B1FC0"/>
    <w:rsid w:val="349B7728"/>
    <w:rsid w:val="34AE28E6"/>
    <w:rsid w:val="34C4026E"/>
    <w:rsid w:val="34D004C7"/>
    <w:rsid w:val="34DB1011"/>
    <w:rsid w:val="34E83962"/>
    <w:rsid w:val="34F304B6"/>
    <w:rsid w:val="35236707"/>
    <w:rsid w:val="36320A8E"/>
    <w:rsid w:val="36857837"/>
    <w:rsid w:val="36C81C87"/>
    <w:rsid w:val="36E87C4B"/>
    <w:rsid w:val="37314966"/>
    <w:rsid w:val="37564EC0"/>
    <w:rsid w:val="3769257D"/>
    <w:rsid w:val="376C5F71"/>
    <w:rsid w:val="37847A49"/>
    <w:rsid w:val="3788440F"/>
    <w:rsid w:val="378B5E4D"/>
    <w:rsid w:val="37B910B1"/>
    <w:rsid w:val="37C7415C"/>
    <w:rsid w:val="37E94E34"/>
    <w:rsid w:val="37F565A7"/>
    <w:rsid w:val="38196A86"/>
    <w:rsid w:val="38CC0757"/>
    <w:rsid w:val="38D6110C"/>
    <w:rsid w:val="38DF495E"/>
    <w:rsid w:val="3915649F"/>
    <w:rsid w:val="39535F2D"/>
    <w:rsid w:val="39553499"/>
    <w:rsid w:val="39682C9F"/>
    <w:rsid w:val="397877DC"/>
    <w:rsid w:val="39C831AC"/>
    <w:rsid w:val="3A3C6694"/>
    <w:rsid w:val="3A42547E"/>
    <w:rsid w:val="3A553541"/>
    <w:rsid w:val="3A766411"/>
    <w:rsid w:val="3AA92F9B"/>
    <w:rsid w:val="3AB83BA3"/>
    <w:rsid w:val="3AB944B1"/>
    <w:rsid w:val="3AEC4535"/>
    <w:rsid w:val="3B812B9D"/>
    <w:rsid w:val="3B83698F"/>
    <w:rsid w:val="3BDA1C52"/>
    <w:rsid w:val="3C0E55C5"/>
    <w:rsid w:val="3C271EB4"/>
    <w:rsid w:val="3C484829"/>
    <w:rsid w:val="3C771752"/>
    <w:rsid w:val="3C7D15E2"/>
    <w:rsid w:val="3CAF4488"/>
    <w:rsid w:val="3CB53599"/>
    <w:rsid w:val="3CB87DDB"/>
    <w:rsid w:val="3CE4478C"/>
    <w:rsid w:val="3D2172F8"/>
    <w:rsid w:val="3D2D7656"/>
    <w:rsid w:val="3D2F2463"/>
    <w:rsid w:val="3D4C282F"/>
    <w:rsid w:val="3D553315"/>
    <w:rsid w:val="3D5F3E68"/>
    <w:rsid w:val="3D8B5CBF"/>
    <w:rsid w:val="3DB01C3A"/>
    <w:rsid w:val="3DBD5F0B"/>
    <w:rsid w:val="3E300685"/>
    <w:rsid w:val="3E31466F"/>
    <w:rsid w:val="3E3B1D6B"/>
    <w:rsid w:val="3E515A90"/>
    <w:rsid w:val="3EA109E5"/>
    <w:rsid w:val="3EF62266"/>
    <w:rsid w:val="3F7D44BE"/>
    <w:rsid w:val="3F9A7759"/>
    <w:rsid w:val="3FD039FC"/>
    <w:rsid w:val="3FD61C37"/>
    <w:rsid w:val="3FF97501"/>
    <w:rsid w:val="3FFA647C"/>
    <w:rsid w:val="3FFC6A67"/>
    <w:rsid w:val="400D332B"/>
    <w:rsid w:val="406252C8"/>
    <w:rsid w:val="40B72457"/>
    <w:rsid w:val="40D70635"/>
    <w:rsid w:val="40E111D0"/>
    <w:rsid w:val="4110488F"/>
    <w:rsid w:val="41461923"/>
    <w:rsid w:val="4174383B"/>
    <w:rsid w:val="41B64E1E"/>
    <w:rsid w:val="41DA6101"/>
    <w:rsid w:val="422B6BEC"/>
    <w:rsid w:val="429026A4"/>
    <w:rsid w:val="42920CA6"/>
    <w:rsid w:val="42A258CA"/>
    <w:rsid w:val="42C46A15"/>
    <w:rsid w:val="42C732EE"/>
    <w:rsid w:val="42C77C1B"/>
    <w:rsid w:val="43407716"/>
    <w:rsid w:val="436B6D2E"/>
    <w:rsid w:val="43B43A5D"/>
    <w:rsid w:val="43B87048"/>
    <w:rsid w:val="44036C19"/>
    <w:rsid w:val="44BA41B2"/>
    <w:rsid w:val="44C32678"/>
    <w:rsid w:val="44CC2FA7"/>
    <w:rsid w:val="455429D9"/>
    <w:rsid w:val="457E2D97"/>
    <w:rsid w:val="459C4525"/>
    <w:rsid w:val="45CA541D"/>
    <w:rsid w:val="45F03B61"/>
    <w:rsid w:val="45FD4638"/>
    <w:rsid w:val="46C00CB1"/>
    <w:rsid w:val="46CB5056"/>
    <w:rsid w:val="46D9157A"/>
    <w:rsid w:val="46DA3884"/>
    <w:rsid w:val="4704717D"/>
    <w:rsid w:val="47BE38F4"/>
    <w:rsid w:val="47DD07FA"/>
    <w:rsid w:val="47FC3954"/>
    <w:rsid w:val="485809D0"/>
    <w:rsid w:val="485C5C06"/>
    <w:rsid w:val="48B74FD9"/>
    <w:rsid w:val="490E2746"/>
    <w:rsid w:val="49180694"/>
    <w:rsid w:val="4AA044E4"/>
    <w:rsid w:val="4B632233"/>
    <w:rsid w:val="4BBF0C21"/>
    <w:rsid w:val="4C0A7964"/>
    <w:rsid w:val="4C196BFC"/>
    <w:rsid w:val="4C1B4C26"/>
    <w:rsid w:val="4C2C766D"/>
    <w:rsid w:val="4C9269FB"/>
    <w:rsid w:val="4CE24F6A"/>
    <w:rsid w:val="4CF9679D"/>
    <w:rsid w:val="4D115B26"/>
    <w:rsid w:val="4DA30E0E"/>
    <w:rsid w:val="4DC55C4B"/>
    <w:rsid w:val="4DD8613D"/>
    <w:rsid w:val="4E8056FE"/>
    <w:rsid w:val="4E971DFD"/>
    <w:rsid w:val="4EA37821"/>
    <w:rsid w:val="4EF32423"/>
    <w:rsid w:val="4F253364"/>
    <w:rsid w:val="4F806F93"/>
    <w:rsid w:val="4FB667CB"/>
    <w:rsid w:val="505B5959"/>
    <w:rsid w:val="50701AD8"/>
    <w:rsid w:val="5074777F"/>
    <w:rsid w:val="509666E0"/>
    <w:rsid w:val="509848E3"/>
    <w:rsid w:val="50AC66F5"/>
    <w:rsid w:val="50C349DE"/>
    <w:rsid w:val="50D84C11"/>
    <w:rsid w:val="51094A28"/>
    <w:rsid w:val="51212B2F"/>
    <w:rsid w:val="512569F3"/>
    <w:rsid w:val="513B456D"/>
    <w:rsid w:val="51687E8A"/>
    <w:rsid w:val="51B84D85"/>
    <w:rsid w:val="51BE2D00"/>
    <w:rsid w:val="51D5017B"/>
    <w:rsid w:val="51DD435F"/>
    <w:rsid w:val="51FC48E9"/>
    <w:rsid w:val="52611553"/>
    <w:rsid w:val="526557FA"/>
    <w:rsid w:val="526D3D56"/>
    <w:rsid w:val="52AA4955"/>
    <w:rsid w:val="52DA71E9"/>
    <w:rsid w:val="538E4081"/>
    <w:rsid w:val="538F6376"/>
    <w:rsid w:val="53C34822"/>
    <w:rsid w:val="54026187"/>
    <w:rsid w:val="543633EF"/>
    <w:rsid w:val="54570BAC"/>
    <w:rsid w:val="545931A8"/>
    <w:rsid w:val="547422CA"/>
    <w:rsid w:val="55162181"/>
    <w:rsid w:val="55381D06"/>
    <w:rsid w:val="55465500"/>
    <w:rsid w:val="5595383B"/>
    <w:rsid w:val="55A33A34"/>
    <w:rsid w:val="55F862C5"/>
    <w:rsid w:val="56170651"/>
    <w:rsid w:val="56220634"/>
    <w:rsid w:val="56222E79"/>
    <w:rsid w:val="568C2F0A"/>
    <w:rsid w:val="569F715C"/>
    <w:rsid w:val="56A406D1"/>
    <w:rsid w:val="56B00FC6"/>
    <w:rsid w:val="56D5701A"/>
    <w:rsid w:val="56E37072"/>
    <w:rsid w:val="56EC212E"/>
    <w:rsid w:val="56F73FDE"/>
    <w:rsid w:val="575C69E3"/>
    <w:rsid w:val="5769293C"/>
    <w:rsid w:val="578A7299"/>
    <w:rsid w:val="57B57A60"/>
    <w:rsid w:val="57BC55F7"/>
    <w:rsid w:val="57E427B4"/>
    <w:rsid w:val="57F90832"/>
    <w:rsid w:val="58053CAC"/>
    <w:rsid w:val="58524AA4"/>
    <w:rsid w:val="58B12CDF"/>
    <w:rsid w:val="58D13B17"/>
    <w:rsid w:val="59171DE4"/>
    <w:rsid w:val="59832773"/>
    <w:rsid w:val="599526CA"/>
    <w:rsid w:val="59BD308D"/>
    <w:rsid w:val="59C17A68"/>
    <w:rsid w:val="5A313CFE"/>
    <w:rsid w:val="5A4B234E"/>
    <w:rsid w:val="5AF1153E"/>
    <w:rsid w:val="5AF20E08"/>
    <w:rsid w:val="5B413A7A"/>
    <w:rsid w:val="5B485EEF"/>
    <w:rsid w:val="5BE007C2"/>
    <w:rsid w:val="5C6C6487"/>
    <w:rsid w:val="5C724BBE"/>
    <w:rsid w:val="5C726720"/>
    <w:rsid w:val="5CAE513F"/>
    <w:rsid w:val="5CCB5C5E"/>
    <w:rsid w:val="5CCC7C7F"/>
    <w:rsid w:val="5CD82580"/>
    <w:rsid w:val="5CDF3E56"/>
    <w:rsid w:val="5D0F3309"/>
    <w:rsid w:val="5D2710E9"/>
    <w:rsid w:val="5D385D1F"/>
    <w:rsid w:val="5DF532ED"/>
    <w:rsid w:val="5E4044BD"/>
    <w:rsid w:val="5E486317"/>
    <w:rsid w:val="5E514E57"/>
    <w:rsid w:val="5E663FAA"/>
    <w:rsid w:val="5E6724FA"/>
    <w:rsid w:val="5E880CB2"/>
    <w:rsid w:val="5E967AB6"/>
    <w:rsid w:val="5EDE75D5"/>
    <w:rsid w:val="5EEB1990"/>
    <w:rsid w:val="5F0711EE"/>
    <w:rsid w:val="5F880C61"/>
    <w:rsid w:val="5FC778B1"/>
    <w:rsid w:val="60481BDC"/>
    <w:rsid w:val="604C0355"/>
    <w:rsid w:val="60562680"/>
    <w:rsid w:val="608D414C"/>
    <w:rsid w:val="60CF33B3"/>
    <w:rsid w:val="60E57176"/>
    <w:rsid w:val="611422F9"/>
    <w:rsid w:val="61303D31"/>
    <w:rsid w:val="618338B3"/>
    <w:rsid w:val="61B96FB1"/>
    <w:rsid w:val="625204CD"/>
    <w:rsid w:val="632322FB"/>
    <w:rsid w:val="635901F9"/>
    <w:rsid w:val="63691BF4"/>
    <w:rsid w:val="638D1F52"/>
    <w:rsid w:val="63AE06A0"/>
    <w:rsid w:val="63B25464"/>
    <w:rsid w:val="64672127"/>
    <w:rsid w:val="648F62AA"/>
    <w:rsid w:val="64B975EE"/>
    <w:rsid w:val="64C37BF6"/>
    <w:rsid w:val="65311EF0"/>
    <w:rsid w:val="65D93C8C"/>
    <w:rsid w:val="65FB15A5"/>
    <w:rsid w:val="66001225"/>
    <w:rsid w:val="66352916"/>
    <w:rsid w:val="66550C67"/>
    <w:rsid w:val="66635E80"/>
    <w:rsid w:val="667E1660"/>
    <w:rsid w:val="668A1206"/>
    <w:rsid w:val="66D10799"/>
    <w:rsid w:val="6746750A"/>
    <w:rsid w:val="67544F1D"/>
    <w:rsid w:val="67742D7E"/>
    <w:rsid w:val="678B2A99"/>
    <w:rsid w:val="67BA4FC8"/>
    <w:rsid w:val="67C048AE"/>
    <w:rsid w:val="681A64B6"/>
    <w:rsid w:val="683637C0"/>
    <w:rsid w:val="683C721A"/>
    <w:rsid w:val="68483852"/>
    <w:rsid w:val="68A42ACF"/>
    <w:rsid w:val="695E4E3F"/>
    <w:rsid w:val="69763CF2"/>
    <w:rsid w:val="69816274"/>
    <w:rsid w:val="699A7BDF"/>
    <w:rsid w:val="69A51FF0"/>
    <w:rsid w:val="69A9646B"/>
    <w:rsid w:val="69AF7706"/>
    <w:rsid w:val="69B329C3"/>
    <w:rsid w:val="69D26D86"/>
    <w:rsid w:val="6A0960AB"/>
    <w:rsid w:val="6A2F13BA"/>
    <w:rsid w:val="6A3B2362"/>
    <w:rsid w:val="6A502A48"/>
    <w:rsid w:val="6A7001C0"/>
    <w:rsid w:val="6AB20E19"/>
    <w:rsid w:val="6B2E46DA"/>
    <w:rsid w:val="6B793EEB"/>
    <w:rsid w:val="6C0A1D83"/>
    <w:rsid w:val="6C641D19"/>
    <w:rsid w:val="6C6600BF"/>
    <w:rsid w:val="6C75664C"/>
    <w:rsid w:val="6CA84730"/>
    <w:rsid w:val="6CC73F69"/>
    <w:rsid w:val="6D901832"/>
    <w:rsid w:val="6DA570EC"/>
    <w:rsid w:val="6E101B8D"/>
    <w:rsid w:val="6E2328D6"/>
    <w:rsid w:val="6E63503D"/>
    <w:rsid w:val="6E7B7408"/>
    <w:rsid w:val="6E7C5EFB"/>
    <w:rsid w:val="6E9542DD"/>
    <w:rsid w:val="6EE77C8E"/>
    <w:rsid w:val="6EF5390E"/>
    <w:rsid w:val="6EF67A7E"/>
    <w:rsid w:val="6F012FA0"/>
    <w:rsid w:val="6F1D1C87"/>
    <w:rsid w:val="6F5950DC"/>
    <w:rsid w:val="6F5B1073"/>
    <w:rsid w:val="6F6E77D1"/>
    <w:rsid w:val="6F7B1D31"/>
    <w:rsid w:val="6FC321B0"/>
    <w:rsid w:val="6FE74F37"/>
    <w:rsid w:val="700F31D1"/>
    <w:rsid w:val="70293003"/>
    <w:rsid w:val="702D3FD8"/>
    <w:rsid w:val="70726075"/>
    <w:rsid w:val="70C44FBE"/>
    <w:rsid w:val="70E00133"/>
    <w:rsid w:val="71394B95"/>
    <w:rsid w:val="71445B60"/>
    <w:rsid w:val="72234AA4"/>
    <w:rsid w:val="723D4B43"/>
    <w:rsid w:val="72AA278E"/>
    <w:rsid w:val="72B42AB8"/>
    <w:rsid w:val="73134658"/>
    <w:rsid w:val="73151433"/>
    <w:rsid w:val="733D0B73"/>
    <w:rsid w:val="7346053E"/>
    <w:rsid w:val="73491C0F"/>
    <w:rsid w:val="73654C83"/>
    <w:rsid w:val="73727A25"/>
    <w:rsid w:val="739F6719"/>
    <w:rsid w:val="73C404A7"/>
    <w:rsid w:val="74192D6C"/>
    <w:rsid w:val="74524C32"/>
    <w:rsid w:val="74801B39"/>
    <w:rsid w:val="74A9742D"/>
    <w:rsid w:val="74AE4AB8"/>
    <w:rsid w:val="74C80546"/>
    <w:rsid w:val="74E317E4"/>
    <w:rsid w:val="750F7709"/>
    <w:rsid w:val="75182A53"/>
    <w:rsid w:val="753D0BAD"/>
    <w:rsid w:val="759E49AA"/>
    <w:rsid w:val="75A059E4"/>
    <w:rsid w:val="75FC12BF"/>
    <w:rsid w:val="761542CC"/>
    <w:rsid w:val="7634035A"/>
    <w:rsid w:val="763C415A"/>
    <w:rsid w:val="76665C12"/>
    <w:rsid w:val="766A61C2"/>
    <w:rsid w:val="767413B9"/>
    <w:rsid w:val="76BC7F40"/>
    <w:rsid w:val="76D240D0"/>
    <w:rsid w:val="7761131C"/>
    <w:rsid w:val="77872462"/>
    <w:rsid w:val="77A90184"/>
    <w:rsid w:val="77A94A29"/>
    <w:rsid w:val="77F17B5B"/>
    <w:rsid w:val="77F24592"/>
    <w:rsid w:val="78125687"/>
    <w:rsid w:val="782D5087"/>
    <w:rsid w:val="78351855"/>
    <w:rsid w:val="783B25EA"/>
    <w:rsid w:val="78922804"/>
    <w:rsid w:val="78CE57A2"/>
    <w:rsid w:val="792F77D6"/>
    <w:rsid w:val="799747A5"/>
    <w:rsid w:val="79A506A4"/>
    <w:rsid w:val="79A669E4"/>
    <w:rsid w:val="79D97847"/>
    <w:rsid w:val="79DB0AFC"/>
    <w:rsid w:val="7A4236A4"/>
    <w:rsid w:val="7A513C22"/>
    <w:rsid w:val="7A5C3FD5"/>
    <w:rsid w:val="7A8743DB"/>
    <w:rsid w:val="7A8901DE"/>
    <w:rsid w:val="7AAD6FA5"/>
    <w:rsid w:val="7AC314BE"/>
    <w:rsid w:val="7ACB4A0A"/>
    <w:rsid w:val="7AEA4D25"/>
    <w:rsid w:val="7B0A6CF0"/>
    <w:rsid w:val="7B5F6208"/>
    <w:rsid w:val="7BBA15A2"/>
    <w:rsid w:val="7BC40A3A"/>
    <w:rsid w:val="7BF103A9"/>
    <w:rsid w:val="7C08202E"/>
    <w:rsid w:val="7C3144A6"/>
    <w:rsid w:val="7C661FCE"/>
    <w:rsid w:val="7C94426B"/>
    <w:rsid w:val="7CE068A2"/>
    <w:rsid w:val="7D0F37C1"/>
    <w:rsid w:val="7DA33CAF"/>
    <w:rsid w:val="7DAF6FC4"/>
    <w:rsid w:val="7DB9188C"/>
    <w:rsid w:val="7E1A3157"/>
    <w:rsid w:val="7E224060"/>
    <w:rsid w:val="7E350DC4"/>
    <w:rsid w:val="7E3B7D18"/>
    <w:rsid w:val="7E531A52"/>
    <w:rsid w:val="7E544EB6"/>
    <w:rsid w:val="7E6472DE"/>
    <w:rsid w:val="7E6F088B"/>
    <w:rsid w:val="7E8079B5"/>
    <w:rsid w:val="7E8D5847"/>
    <w:rsid w:val="7EAF0B77"/>
    <w:rsid w:val="7EC267E5"/>
    <w:rsid w:val="7EC725FA"/>
    <w:rsid w:val="7F032C71"/>
    <w:rsid w:val="7F1135E0"/>
    <w:rsid w:val="7F245B2B"/>
    <w:rsid w:val="7F4C693C"/>
    <w:rsid w:val="7F6B2922"/>
    <w:rsid w:val="7FD129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黑体"/>
      <w:kern w:val="2"/>
      <w:sz w:val="21"/>
      <w:szCs w:val="22"/>
      <w:lang w:val="en-US" w:eastAsia="zh-CN" w:bidi="ar-SA"/>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Message Header"/>
    <w:basedOn w:val="1"/>
    <w:unhideWhenUsed/>
    <w:qFormat/>
    <w:uiPriority w:val="99"/>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Cambria" w:hAnsi="Cambria" w:eastAsia="宋体" w:cs="Times New Roman"/>
      <w:sz w:val="24"/>
      <w:szCs w:val="24"/>
    </w:rPr>
  </w:style>
  <w:style w:type="paragraph" w:styleId="3">
    <w:name w:val="Normal Indent"/>
    <w:basedOn w:val="1"/>
    <w:unhideWhenUsed/>
    <w:qFormat/>
    <w:uiPriority w:val="99"/>
    <w:pPr>
      <w:ind w:firstLine="420" w:firstLineChars="200"/>
    </w:pPr>
  </w:style>
  <w:style w:type="paragraph" w:styleId="4">
    <w:name w:val="toc 3"/>
    <w:basedOn w:val="1"/>
    <w:next w:val="1"/>
    <w:qFormat/>
    <w:uiPriority w:val="39"/>
    <w:pPr>
      <w:ind w:left="840" w:leftChars="400"/>
    </w:p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qFormat/>
    <w:uiPriority w:val="39"/>
  </w:style>
  <w:style w:type="paragraph" w:styleId="8">
    <w:name w:val="toc 4"/>
    <w:basedOn w:val="1"/>
    <w:next w:val="1"/>
    <w:qFormat/>
    <w:uiPriority w:val="0"/>
    <w:pPr>
      <w:ind w:left="1260" w:leftChars="600"/>
    </w:pPr>
  </w:style>
  <w:style w:type="paragraph" w:styleId="9">
    <w:name w:val="toc 2"/>
    <w:basedOn w:val="1"/>
    <w:next w:val="1"/>
    <w:qFormat/>
    <w:uiPriority w:val="39"/>
    <w:pPr>
      <w:ind w:left="420" w:leftChars="200"/>
    </w:pPr>
  </w:style>
  <w:style w:type="paragraph" w:styleId="10">
    <w:name w:val="Title"/>
    <w:basedOn w:val="1"/>
    <w:next w:val="1"/>
    <w:qFormat/>
    <w:uiPriority w:val="0"/>
    <w:pPr>
      <w:spacing w:before="240" w:after="60"/>
      <w:jc w:val="center"/>
      <w:outlineLvl w:val="0"/>
    </w:pPr>
    <w:rPr>
      <w:rFonts w:ascii="Cambria" w:hAnsi="Cambria" w:cs="Times New Roman"/>
      <w:b/>
      <w:kern w:val="28"/>
      <w:sz w:val="32"/>
      <w:szCs w:val="20"/>
    </w:rPr>
  </w:style>
  <w:style w:type="character" w:styleId="13">
    <w:name w:val="Hyperlink"/>
    <w:unhideWhenUsed/>
    <w:qFormat/>
    <w:uiPriority w:val="99"/>
    <w:rPr>
      <w:color w:val="0563C1"/>
      <w:u w:val="single"/>
    </w:rPr>
  </w:style>
  <w:style w:type="character" w:customStyle="1" w:styleId="14">
    <w:name w:val="font31"/>
    <w:basedOn w:val="12"/>
    <w:qFormat/>
    <w:uiPriority w:val="0"/>
    <w:rPr>
      <w:rFonts w:hint="eastAsia" w:ascii="仿宋" w:hAnsi="仿宋" w:eastAsia="仿宋" w:cs="仿宋"/>
      <w:b/>
      <w:color w:val="000000"/>
      <w:sz w:val="12"/>
      <w:szCs w:val="12"/>
      <w:u w:val="none"/>
    </w:rPr>
  </w:style>
  <w:style w:type="paragraph" w:customStyle="1" w:styleId="15">
    <w:name w:val="正文缩进1"/>
    <w:basedOn w:val="1"/>
    <w:qFormat/>
    <w:uiPriority w:val="0"/>
    <w:pPr>
      <w:ind w:firstLine="420" w:firstLineChars="200"/>
    </w:pPr>
  </w:style>
  <w:style w:type="paragraph" w:customStyle="1" w:styleId="16">
    <w:name w:val="WPSOffice手动目录 1"/>
    <w:qFormat/>
    <w:uiPriority w:val="0"/>
    <w:pPr>
      <w:ind w:leftChars="0"/>
    </w:pPr>
    <w:rPr>
      <w:rFonts w:ascii="Times New Roman" w:hAnsi="Times New Roman" w:eastAsia="宋体" w:cs="Times New Roman"/>
      <w:sz w:val="20"/>
      <w:szCs w:val="20"/>
    </w:rPr>
  </w:style>
  <w:style w:type="paragraph" w:customStyle="1" w:styleId="17">
    <w:name w:val="Body text|1"/>
    <w:basedOn w:val="1"/>
    <w:qFormat/>
    <w:uiPriority w:val="0"/>
    <w:pPr>
      <w:widowControl w:val="0"/>
      <w:shd w:val="clear" w:color="auto" w:fill="auto"/>
      <w:spacing w:line="338" w:lineRule="auto"/>
      <w:ind w:firstLine="400"/>
    </w:pPr>
    <w:rPr>
      <w:rFonts w:ascii="宋体" w:hAnsi="宋体" w:eastAsia="宋体" w:cs="宋体"/>
      <w:sz w:val="20"/>
      <w:szCs w:val="20"/>
      <w:u w:val="none"/>
      <w:shd w:val="clear" w:color="auto" w:fill="auto"/>
      <w:lang w:val="zh-TW" w:eastAsia="zh-TW" w:bidi="zh-TW"/>
    </w:rPr>
  </w:style>
  <w:style w:type="character" w:customStyle="1" w:styleId="18">
    <w:name w:val="font11"/>
    <w:basedOn w:val="12"/>
    <w:qFormat/>
    <w:uiPriority w:val="0"/>
    <w:rPr>
      <w:rFonts w:hint="eastAsia" w:ascii="楷体" w:hAnsi="楷体" w:eastAsia="楷体" w:cs="楷体"/>
      <w:color w:val="000000"/>
      <w:sz w:val="18"/>
      <w:szCs w:val="1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Pages>
  <Words>9521</Words>
  <Characters>10871</Characters>
  <Lines>0</Lines>
  <Paragraphs>0</Paragraphs>
  <TotalTime>45</TotalTime>
  <ScaleCrop>false</ScaleCrop>
  <LinksUpToDate>false</LinksUpToDate>
  <CharactersWithSpaces>11164</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2020-09-19T02:01:00Z</dcterms:created>
  <dc:creator>Administrator</dc:creator>
  <cp:lastModifiedBy>lcxlzl</cp:lastModifiedBy>
  <cp:lastPrinted>2023-12-20T00:56:18Z</cp:lastPrinted>
  <dcterms:modified xsi:type="dcterms:W3CDTF">2023-12-20T01:03:56Z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3AADF55FE54147C7B6D55B58303179A6_13</vt:lpwstr>
  </property>
</Properties>
</file>