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r>
        <w:rPr>
          <w:rFonts w:ascii="黑体" w:hAnsi="宋体" w:eastAsia="黑体"/>
          <w:color w:val="002060"/>
          <w:sz w:val="72"/>
          <w:szCs w:val="72"/>
        </w:rPr>
        <w:drawing>
          <wp:anchor distT="0" distB="0" distL="114300" distR="114300" simplePos="0" relativeHeight="251664384" behindDoc="1" locked="0" layoutInCell="1" allowOverlap="1">
            <wp:simplePos x="0" y="0"/>
            <wp:positionH relativeFrom="column">
              <wp:posOffset>-994410</wp:posOffset>
            </wp:positionH>
            <wp:positionV relativeFrom="paragraph">
              <wp:posOffset>-1349375</wp:posOffset>
            </wp:positionV>
            <wp:extent cx="7576820" cy="10796905"/>
            <wp:effectExtent l="0" t="0" r="5080" b="4445"/>
            <wp:wrapNone/>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pPr>
        <w:widowControl/>
        <w:jc w:val="center"/>
        <w:rPr>
          <w:rFonts w:ascii="黑体" w:hAnsi="宋体" w:eastAsia="黑体"/>
          <w:color w:val="002060"/>
          <w:sz w:val="72"/>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-1049655</wp:posOffset>
                </wp:positionH>
                <wp:positionV relativeFrom="paragraph">
                  <wp:posOffset>549275</wp:posOffset>
                </wp:positionV>
                <wp:extent cx="7571740" cy="2111375"/>
                <wp:effectExtent l="0" t="0" r="0" b="0"/>
                <wp:wrapNone/>
                <wp:docPr id="2" name="文本框 8"/>
                <wp:cNvGraphicFramePr/>
                <a:graphic xmlns:a="http://schemas.openxmlformats.org/drawingml/2006/main">
                  <a:graphicData uri="http://schemas.microsoft.com/office/word/2010/wordprocessingShape">
                    <wps:wsp>
                      <wps:cNvSpPr/>
                      <wps:spPr>
                        <a:xfrm>
                          <a:off x="0" y="0"/>
                          <a:ext cx="7571740" cy="2111375"/>
                        </a:xfrm>
                        <a:prstGeom prst="rect">
                          <a:avLst/>
                        </a:prstGeom>
                        <a:noFill/>
                        <a:ln>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无极县大陈镇</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wps:txbx>
                      <wps:bodyPr upright="1"/>
                    </wps:wsp>
                  </a:graphicData>
                </a:graphic>
              </wp:anchor>
            </w:drawing>
          </mc:Choice>
          <mc:Fallback>
            <w:pict>
              <v:rect id="文本框 8" o:spid="_x0000_s1026" o:spt="1" style="position:absolute;left:0pt;margin-left:-82.65pt;margin-top:43.25pt;height:166.25pt;width:596.2pt;z-index:251670528;mso-width-relative:page;mso-height-relative:page;" filled="f" stroked="f" coordsize="21600,21600" o:gfxdata="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WAAAA&#10;ZHJzL1BLAQIUABQAAAAIAIdO4kB1zyyw3QAAAAwBAAAPAAAAAAAAAAEAIAAAADgAAABkcnMvZG93&#10;bnJldi54bWxQSwECFAAUAAAACACHTuJAWvFOGawBAABTAwAADgAAAAAAAAABACAAAABCAQAAZHJz&#10;L2Uyb0RvYy54bWxQSwUGAAAAAAYABgBZAQAAYAU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无极县大陈镇</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无极县大陈镇</w:t>
      </w:r>
      <w:r>
        <w:rPr>
          <w:rFonts w:eastAsia="黑体"/>
          <w:sz w:val="32"/>
          <w:szCs w:val="32"/>
        </w:rPr>
        <w:t>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无极县大陈镇</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无极县大陈镇</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-1019175</wp:posOffset>
            </wp:positionH>
            <wp:positionV relativeFrom="paragraph">
              <wp:posOffset>-1346200</wp:posOffset>
            </wp:positionV>
            <wp:extent cx="7585710" cy="10727055"/>
            <wp:effectExtent l="0" t="0" r="15240" b="17145"/>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-1229995</wp:posOffset>
                </wp:positionH>
                <wp:positionV relativeFrom="paragraph">
                  <wp:posOffset>3290570</wp:posOffset>
                </wp:positionV>
                <wp:extent cx="7793355" cy="1037590"/>
                <wp:effectExtent l="0" t="0" r="0" b="0"/>
                <wp:wrapNone/>
                <wp:docPr id="3" name="文本框 118"/>
                <wp:cNvGraphicFramePr/>
                <a:graphic xmlns:a="http://schemas.openxmlformats.org/drawingml/2006/main">
                  <a:graphicData uri="http://schemas.microsoft.com/office/word/2010/wordprocessingShape">
                    <wps:wsp>
                      <wps:cNvSpPr/>
                      <wps:spPr>
                        <a:xfrm>
                          <a:off x="0" y="0"/>
                          <a:ext cx="7793355" cy="1037590"/>
                        </a:xfrm>
                        <a:prstGeom prst="rect">
                          <a:avLst/>
                        </a:prstGeom>
                        <a:noFill/>
                        <a:ln>
                          <a:noFill/>
                        </a:ln>
                        <a:effectLst/>
                      </wps:spPr>
                      <wps:txbx>
                        <w:txbxContent>
                          <w:p>
                            <w:pPr>
                              <w:widowControl/>
                              <w:jc w:val="center"/>
                              <w:rPr>
                                <w:color w:val="FDEFBE"/>
                                <w:sz w:val="96"/>
                                <w:szCs w:val="96"/>
                              </w:rPr>
                            </w:pPr>
                            <w:r>
                              <w:rPr>
                                <w:rFonts w:hint="eastAsia" w:ascii="黑体" w:hAnsi="宋体" w:eastAsia="黑体"/>
                                <w:color w:val="FDEFBE"/>
                                <w:sz w:val="96"/>
                                <w:szCs w:val="96"/>
                              </w:rPr>
                              <w:t>第一部分  部门概况</w:t>
                            </w:r>
                          </w:p>
                        </w:txbxContent>
                      </wps:txbx>
                      <wps:bodyPr upright="1"/>
                    </wps:wsp>
                  </a:graphicData>
                </a:graphic>
              </wp:anchor>
            </w:drawing>
          </mc:Choice>
          <mc:Fallback>
            <w:pict>
              <v:rect id="文本框 118" o:spid="_x0000_s1026" o:spt="1" style="position:absolute;left:0pt;margin-left:-96.85pt;margin-top:259.1pt;height:81.7pt;width:613.65pt;z-index:251671552;mso-width-relative:page;mso-height-relative:page;" filled="f" stroked="f" coordsize="21600,21600" o:gfxdata="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W&#10;AAAAZHJzL1BLAQIUABQAAAAIAIdO4kCFo1SQ3gAAAA0BAAAPAAAAAAAAAAEAIAAAADgAAABkcnMv&#10;ZG93bnJldi54bWxQSwECFAAUAAAACACHTuJAoikoe64BAABVAwAADgAAAAAAAAABACAAAABDAQAA&#10;ZHJzL2Uyb0RvYy54bWxQSwUGAAAAAAYABgBZAQAAYwUAAAAA&#10;">
                <v:fill on="f" focussize="0,0"/>
                <v:stroke on="f"/>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mc:Fallback>
        </mc:AlternateConten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tbl>
      <w:tblPr>
        <w:tblStyle w:val="10"/>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vAlign w:val="center"/>
          </w:tcPr>
          <w:p>
            <w:pPr>
              <w:spacing w:line="300" w:lineRule="exact"/>
              <w:jc w:val="center"/>
              <w:rPr>
                <w:rFonts w:ascii="宋体" w:hAnsi="宋体" w:cs="宋体"/>
                <w:b/>
                <w:szCs w:val="21"/>
              </w:rPr>
            </w:pPr>
            <w:r>
              <w:rPr>
                <w:rFonts w:hint="eastAsia" w:ascii="宋体" w:hAnsi="宋体" w:cs="宋体"/>
                <w:b/>
                <w:szCs w:val="21"/>
              </w:rPr>
              <w:t>职责活动</w:t>
            </w:r>
          </w:p>
        </w:tc>
        <w:tc>
          <w:tcPr>
            <w:tcW w:w="6881" w:type="dxa"/>
            <w:vMerge w:val="restart"/>
            <w:vAlign w:val="center"/>
          </w:tcPr>
          <w:p>
            <w:pPr>
              <w:spacing w:line="300" w:lineRule="exact"/>
              <w:jc w:val="center"/>
              <w:rPr>
                <w:rFonts w:ascii="宋体" w:hAnsi="宋体" w:cs="宋体"/>
                <w:b/>
                <w:szCs w:val="21"/>
              </w:rPr>
            </w:pPr>
            <w:r>
              <w:rPr>
                <w:rFonts w:hint="eastAsia" w:ascii="宋体" w:hAnsi="宋体" w:cs="宋体"/>
                <w:b/>
                <w:szCs w:val="21"/>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vAlign w:val="center"/>
          </w:tcPr>
          <w:p>
            <w:pPr>
              <w:spacing w:line="300" w:lineRule="exact"/>
              <w:outlineLvl w:val="0"/>
              <w:rPr>
                <w:rFonts w:ascii="宋体" w:hAnsi="宋体" w:cs="宋体"/>
                <w:szCs w:val="21"/>
              </w:rPr>
            </w:pPr>
          </w:p>
        </w:tc>
        <w:tc>
          <w:tcPr>
            <w:tcW w:w="6881" w:type="dxa"/>
            <w:vMerge w:val="continue"/>
            <w:vAlign w:val="center"/>
          </w:tcPr>
          <w:p>
            <w:pPr>
              <w:spacing w:line="300" w:lineRule="exact"/>
              <w:outlineLvl w:val="0"/>
              <w:rPr>
                <w:rFonts w:ascii="宋体" w:hAnsi="宋体" w:cs="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政务管理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处理机关日常事务，保证镇政府值班工作，及时报告重要情况，传达和督促落实乡党委、政府领导指示。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综合业务、事务管理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应急管理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社会治安综合治理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协调维护社会治安稳定</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做好社会治安综合治理工作，做好司法、宗教工作，打击邪教；做好群众 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经济发展</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民生改善</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加强基础设施建设，落实强农惠农措施，搞好技术推广应用。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2"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农业生产</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农业技术推广农业教育与技能培训，开展粮食等作物高产创建。</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开展农业新技术推广、示范。"通过推广优良品种，辐射带动大面积的平衡增产，提高单产水平。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加强土地使用管理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土地管理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社会救助政策及管理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农村居民最低生活保障</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农村五保供养</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临时生活救助</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环境保护与治理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环境管理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食品安全管理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安全生产管理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预算管理、财务管理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合理安排预算</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严格票据管理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村财镇管、涉农资金</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严格票据管理</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坚持抽查制度、定期核查、以收定支。</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8"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计划生育</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提供各类计划生育技术服务，建立利益导向机制，开展出生人口性别比治理以及流动人口计划生育管理等各项工作。落实计生相关法律法规，业务宣传工作，,落实计划生育一票否决制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4"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计划生育奖励扶持政策</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vAlign w:val="center"/>
          </w:tcPr>
          <w:p>
            <w:pPr>
              <w:spacing w:line="300" w:lineRule="exact"/>
              <w:ind w:left="-418" w:leftChars="-200" w:hanging="2"/>
              <w:jc w:val="center"/>
              <w:rPr>
                <w:rFonts w:ascii="宋体" w:hAnsi="宋体" w:cs="宋体"/>
                <w:b/>
                <w:szCs w:val="21"/>
              </w:rPr>
            </w:pPr>
            <w:r>
              <w:rPr>
                <w:rFonts w:hint="eastAsia" w:ascii="宋体" w:hAnsi="宋体" w:cs="宋体"/>
                <w:b/>
                <w:szCs w:val="21"/>
              </w:rPr>
              <w:t>计划生育咨询服务、计划生育保健及优生服务</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文教卫生</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提供公共服务</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美丽乡村建设</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vAlign w:val="center"/>
          </w:tcPr>
          <w:p>
            <w:pPr>
              <w:spacing w:line="300" w:lineRule="exact"/>
              <w:jc w:val="center"/>
              <w:rPr>
                <w:rFonts w:ascii="宋体" w:hAnsi="宋体" w:cs="宋体"/>
                <w:b/>
                <w:szCs w:val="21"/>
              </w:rPr>
            </w:pPr>
            <w:r>
              <w:rPr>
                <w:rFonts w:hint="eastAsia" w:ascii="宋体" w:hAnsi="宋体" w:cs="宋体"/>
                <w:b/>
                <w:szCs w:val="21"/>
              </w:rPr>
              <w:t>新农村建设</w:t>
            </w:r>
          </w:p>
        </w:tc>
        <w:tc>
          <w:tcPr>
            <w:tcW w:w="6881" w:type="dxa"/>
            <w:vAlign w:val="center"/>
          </w:tcPr>
          <w:p>
            <w:pPr>
              <w:spacing w:line="300" w:lineRule="exact"/>
              <w:jc w:val="center"/>
              <w:rPr>
                <w:rFonts w:ascii="宋体" w:hAnsi="宋体" w:cs="宋体"/>
                <w:szCs w:val="21"/>
              </w:rPr>
            </w:pPr>
            <w:r>
              <w:rPr>
                <w:rFonts w:hint="eastAsia" w:ascii="宋体" w:hAnsi="宋体" w:cs="宋体"/>
                <w:szCs w:val="21"/>
              </w:rPr>
              <w:t>完成区域内污水处理、垃圾处理、厕所改造、村庄绿化、危房改造、饮水安全、道路硬化基础设施建设和农村卫生长效机制管理。</w:t>
            </w:r>
          </w:p>
        </w:tc>
      </w:tr>
    </w:tbl>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无极县大陈镇人民政府</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-1017905</wp:posOffset>
            </wp:positionH>
            <wp:positionV relativeFrom="paragraph">
              <wp:posOffset>-1321435</wp:posOffset>
            </wp:positionV>
            <wp:extent cx="7571105" cy="10680065"/>
            <wp:effectExtent l="0" t="0" r="10795" b="6985"/>
            <wp:wrapNone/>
            <wp:docPr id="1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6"/>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-936625</wp:posOffset>
                </wp:positionH>
                <wp:positionV relativeFrom="paragraph">
                  <wp:posOffset>1527810</wp:posOffset>
                </wp:positionV>
                <wp:extent cx="7571740" cy="2020570"/>
                <wp:effectExtent l="0" t="0" r="0" b="0"/>
                <wp:wrapNone/>
                <wp:docPr id="4" name="文本框 17"/>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upright="1"/>
                    </wps:wsp>
                  </a:graphicData>
                </a:graphic>
              </wp:anchor>
            </w:drawing>
          </mc:Choice>
          <mc:Fallback>
            <w:pict>
              <v:rect id="文本框 17" o:spid="_x0000_s1026" o:spt="1" style="position:absolute;left:0pt;margin-left:-73.75pt;margin-top:120.3pt;height:159.1pt;width:596.2pt;z-index:251672576;mso-width-relative:page;mso-height-relative:page;" filled="f" stroked="f" coordsize="21600,21600" o:gfxdata="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FgAA&#10;AGRycy9QSwECFAAUAAAACACHTuJADhP8sd4AAAANAQAADwAAAAAAAAABACAAAAA4AAAAZHJzL2Rv&#10;d25yZXYueG1sUEsBAhQAFAAAAAgAh07iQAoEGv6sAQAAVAMAAA4AAAAAAAAAAQAgAAAAQwEAAGRy&#10;cy9lMm9Eb2MueG1sUEsFBgAAAAAGAAYAWQEAAGE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mc:Fallback>
        </mc:AlternateConten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866.26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757.88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49.19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56.00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866.26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866.26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866.26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866.26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40" w:type="dxa"/>
        <w:jc w:val="center"/>
        <w:tblLayout w:type="fixed"/>
        <w:tblCellMar>
          <w:top w:w="0" w:type="dxa"/>
          <w:left w:w="0" w:type="dxa"/>
          <w:bottom w:w="0" w:type="dxa"/>
          <w:right w:w="0" w:type="dxa"/>
        </w:tblCellMar>
      </w:tblPr>
      <w:tblGrid>
        <w:gridCol w:w="337"/>
        <w:gridCol w:w="179"/>
        <w:gridCol w:w="257"/>
        <w:gridCol w:w="150"/>
        <w:gridCol w:w="116"/>
        <w:gridCol w:w="1324"/>
        <w:gridCol w:w="535"/>
        <w:gridCol w:w="261"/>
        <w:gridCol w:w="464"/>
        <w:gridCol w:w="355"/>
        <w:gridCol w:w="602"/>
        <w:gridCol w:w="218"/>
        <w:gridCol w:w="338"/>
        <w:gridCol w:w="480"/>
        <w:gridCol w:w="257"/>
        <w:gridCol w:w="562"/>
        <w:gridCol w:w="551"/>
        <w:gridCol w:w="924"/>
        <w:gridCol w:w="930"/>
      </w:tblGrid>
      <w:tr>
        <w:tblPrEx>
          <w:tblCellMar>
            <w:top w:w="0" w:type="dxa"/>
            <w:left w:w="0" w:type="dxa"/>
            <w:bottom w:w="0" w:type="dxa"/>
            <w:right w:w="0" w:type="dxa"/>
          </w:tblCellMar>
        </w:tblPrEx>
        <w:trPr>
          <w:trHeight w:val="716" w:hRule="atLeast"/>
          <w:jc w:val="center"/>
        </w:trPr>
        <w:tc>
          <w:tcPr>
            <w:tcW w:w="8840" w:type="dxa"/>
            <w:gridSpan w:val="19"/>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45" w:hRule="atLeast"/>
          <w:jc w:val="center"/>
        </w:trPr>
        <w:tc>
          <w:tcPr>
            <w:tcW w:w="33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3"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2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05"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05" w:hRule="atLeast"/>
          <w:jc w:val="center"/>
        </w:trPr>
        <w:tc>
          <w:tcPr>
            <w:tcW w:w="2898"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05"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481" w:hRule="atLeast"/>
          <w:jc w:val="center"/>
        </w:trPr>
        <w:tc>
          <w:tcPr>
            <w:tcW w:w="2898" w:type="dxa"/>
            <w:gridSpan w:val="7"/>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725" w:type="dxa"/>
            <w:gridSpan w:val="2"/>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57"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56"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737"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1113"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4"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30"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759" w:hRule="atLeast"/>
          <w:jc w:val="center"/>
        </w:trPr>
        <w:tc>
          <w:tcPr>
            <w:tcW w:w="92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975" w:type="dxa"/>
            <w:gridSpan w:val="3"/>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725" w:type="dxa"/>
            <w:gridSpan w:val="2"/>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57"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56"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37"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1113"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4"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30"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571" w:hRule="atLeast"/>
          <w:jc w:val="center"/>
        </w:trPr>
        <w:tc>
          <w:tcPr>
            <w:tcW w:w="2898"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72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5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5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73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11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463" w:hRule="atLeast"/>
          <w:jc w:val="center"/>
        </w:trPr>
        <w:tc>
          <w:tcPr>
            <w:tcW w:w="2898"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725"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866.26</w:t>
            </w:r>
          </w:p>
        </w:tc>
        <w:tc>
          <w:tcPr>
            <w:tcW w:w="957"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866.26</w:t>
            </w:r>
          </w:p>
        </w:tc>
        <w:tc>
          <w:tcPr>
            <w:tcW w:w="556"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37"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1113"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4"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3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5"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732.88</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732.88</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22"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支付破产或改制企业职工安置费</w:t>
            </w:r>
          </w:p>
        </w:tc>
        <w:tc>
          <w:tcPr>
            <w:tcW w:w="72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95" w:hRule="atLeast"/>
          <w:jc w:val="center"/>
        </w:trPr>
        <w:tc>
          <w:tcPr>
            <w:tcW w:w="8840" w:type="dxa"/>
            <w:gridSpan w:val="1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0" w:type="dxa"/>
        <w:tblLayout w:type="fixed"/>
        <w:tblCellMar>
          <w:top w:w="0" w:type="dxa"/>
          <w:left w:w="0" w:type="dxa"/>
          <w:bottom w:w="0" w:type="dxa"/>
          <w:right w:w="0" w:type="dxa"/>
        </w:tblCellMar>
      </w:tblPr>
      <w:tblGrid>
        <w:gridCol w:w="290"/>
        <w:gridCol w:w="289"/>
        <w:gridCol w:w="303"/>
        <w:gridCol w:w="283"/>
        <w:gridCol w:w="217"/>
        <w:gridCol w:w="1117"/>
        <w:gridCol w:w="647"/>
        <w:gridCol w:w="1118"/>
        <w:gridCol w:w="1120"/>
        <w:gridCol w:w="1118"/>
        <w:gridCol w:w="794"/>
        <w:gridCol w:w="326"/>
        <w:gridCol w:w="294"/>
        <w:gridCol w:w="1084"/>
      </w:tblGrid>
      <w:tr>
        <w:tblPrEx>
          <w:tblCellMar>
            <w:top w:w="0" w:type="dxa"/>
            <w:left w:w="0" w:type="dxa"/>
            <w:bottom w:w="0" w:type="dxa"/>
            <w:right w:w="0" w:type="dxa"/>
          </w:tblCellMar>
        </w:tblPrEx>
        <w:trPr>
          <w:trHeight w:val="798" w:hRule="atLeast"/>
        </w:trPr>
        <w:tc>
          <w:tcPr>
            <w:tcW w:w="9000" w:type="dxa"/>
            <w:gridSpan w:val="14"/>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46"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18"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120"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18"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9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2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16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98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18"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20"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8"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9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2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146"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146"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 w:val="18"/>
                <w:szCs w:val="18"/>
              </w:rPr>
              <w:t>866.26</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582.31</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283.94</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582.31</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175.57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757.88</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582.31</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175.57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732.88</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582.31</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150.57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支付破产或改制企业职工安置费</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4"/>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863.07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757.88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757.88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49.19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49.19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56.00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56.00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866.26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866.26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863.07</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866.26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866.26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863.07</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0" w:type="dxa"/>
        <w:tblLayout w:type="fixed"/>
        <w:tblCellMar>
          <w:top w:w="0" w:type="dxa"/>
          <w:left w:w="0" w:type="dxa"/>
          <w:bottom w:w="0" w:type="dxa"/>
          <w:right w:w="0" w:type="dxa"/>
        </w:tblCellMar>
      </w:tblPr>
      <w:tblGrid>
        <w:gridCol w:w="317"/>
        <w:gridCol w:w="319"/>
        <w:gridCol w:w="228"/>
        <w:gridCol w:w="129"/>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10"/>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b/>
                <w:color w:val="000000"/>
                <w:szCs w:val="21"/>
              </w:rPr>
            </w:pPr>
            <w:r>
              <w:rPr>
                <w:rFonts w:ascii="ËÎÌå" w:hAnsi="ËÎÌå" w:eastAsia="ËÎÌå"/>
                <w:b/>
                <w:color w:val="000000"/>
                <w:sz w:val="22"/>
              </w:rPr>
              <w:t>863.07</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b/>
                <w:color w:val="000000"/>
                <w:szCs w:val="21"/>
              </w:rPr>
            </w:pPr>
            <w:r>
              <w:rPr>
                <w:rFonts w:ascii="ËÎÌå" w:hAnsi="ËÎÌå" w:eastAsia="ËÎÌå"/>
                <w:b/>
                <w:color w:val="000000"/>
                <w:sz w:val="22"/>
              </w:rPr>
              <w:t>582.31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ascii="宋体" w:hAnsi="宋体"/>
                <w:b/>
                <w:color w:val="000000"/>
                <w:sz w:val="22"/>
              </w:rPr>
              <w:t>280.76</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757.88</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582.31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175.57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757.88</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582.31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175.57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732.88</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582.31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150.57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25.00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25.00</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49.19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49.19</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49.19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49.19</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49.19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49.19</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56.00</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56.00</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ascii="ËÎÌå" w:hAnsi="ËÎÌå" w:eastAsia="ËÎÌå"/>
                <w:color w:val="000000"/>
                <w:sz w:val="22"/>
              </w:rPr>
              <w:t>56.00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56.00</w:t>
            </w:r>
          </w:p>
        </w:tc>
      </w:tr>
      <w:tr>
        <w:tblPrEx>
          <w:tblCellMar>
            <w:top w:w="0" w:type="dxa"/>
            <w:left w:w="0" w:type="dxa"/>
            <w:bottom w:w="0" w:type="dxa"/>
            <w:right w:w="0" w:type="dxa"/>
          </w:tblCellMar>
        </w:tblPrEx>
        <w:trPr>
          <w:trHeight w:val="368" w:hRule="atLeast"/>
        </w:trPr>
        <w:tc>
          <w:tcPr>
            <w:tcW w:w="8860" w:type="dxa"/>
            <w:gridSpan w:val="10"/>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384.59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193.32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164.06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88.34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82.02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5.17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388.99</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193.32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0" w:type="dxa"/>
        <w:tblLayout w:type="fixed"/>
        <w:tblCellMar>
          <w:top w:w="0" w:type="dxa"/>
          <w:left w:w="0" w:type="dxa"/>
          <w:bottom w:w="0" w:type="dxa"/>
          <w:right w:w="0" w:type="dxa"/>
        </w:tblCellMar>
      </w:tblPr>
      <w:tblGrid>
        <w:gridCol w:w="296"/>
        <w:gridCol w:w="191"/>
        <w:gridCol w:w="284"/>
        <w:gridCol w:w="195"/>
        <w:gridCol w:w="669"/>
        <w:gridCol w:w="561"/>
        <w:gridCol w:w="981"/>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2"/>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7"/>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196"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8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771"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425"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77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196"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196"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ascii="宋体" w:hAnsi="宋体"/>
                <w:b/>
                <w:color w:val="000000"/>
                <w:sz w:val="22"/>
              </w:rPr>
              <w:t>3.19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ascii="宋体" w:hAnsi="宋体"/>
                <w:b/>
                <w:color w:val="000000"/>
                <w:sz w:val="22"/>
              </w:rPr>
              <w:t>3.19</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ascii="宋体" w:hAnsi="宋体"/>
                <w:b/>
                <w:color w:val="000000"/>
                <w:sz w:val="22"/>
              </w:rPr>
              <w:t>3.19</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支付破产或改制企业职工安置费</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3.19</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2"/>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r>
        <w:rPr>
          <w:rFonts w:hint="eastAsia" w:ascii="宋体" w:hAnsi="宋体" w:cs="宋体"/>
          <w:sz w:val="28"/>
          <w:szCs w:val="28"/>
        </w:rPr>
        <w:t>本部门本年度无相关收入（或支出、收支及结转结余等）情况</w:t>
      </w:r>
    </w:p>
    <w:tbl>
      <w:tblPr>
        <w:tblStyle w:val="10"/>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611"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202.74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202.74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202.74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63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39.38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39.38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39.38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5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163.36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163.36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163.36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199.58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199.58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199.58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36.73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36.73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36.73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162.85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162.85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ascii="宋体" w:hAnsi="宋体"/>
                <w:color w:val="000000"/>
                <w:sz w:val="22"/>
              </w:rPr>
              <w:t>162.85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
      <w:pPr>
        <w:tabs>
          <w:tab w:val="left" w:pos="1086"/>
        </w:tabs>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-1003300</wp:posOffset>
            </wp:positionH>
            <wp:positionV relativeFrom="paragraph">
              <wp:posOffset>-1332230</wp:posOffset>
            </wp:positionV>
            <wp:extent cx="7550150" cy="10680065"/>
            <wp:effectExtent l="0" t="0" r="12700" b="6985"/>
            <wp:wrapNone/>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73600" behindDoc="0" locked="0" layoutInCell="1" allowOverlap="1">
                <wp:simplePos x="0" y="0"/>
                <wp:positionH relativeFrom="column">
                  <wp:posOffset>-993775</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rect id="文本框 5" o:spid="_x0000_s1026" o:spt="1" style="position:absolute;left:0pt;margin-left:-78.25pt;margin-top:232.8pt;height:159.1pt;width:596.2pt;z-index:251673600;mso-width-relative:page;mso-height-relative:page;" filled="f" stroked="f" coordsize="21600,21600" o:gfxdata="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WAAAA&#10;ZHJzL1BLAQIUABQAAAAIAIdO4kDwFAVW3gAAAA0BAAAPAAAAAAAAAAEAIAAAADgAAABkcnMvZG93&#10;bnJldi54bWxQSwECFAAUAAAACACHTuJAHhRNs6sBAABTAwAADgAAAAAAAAABACAAAABDAQAAZHJz&#10;L2Uyb0RvYy54bWxQSwUGAAAAAAYABgBZAQAAYAU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本部门2018年度收支总计（含结转和结余）866.26万元。与2017年度决算相比，收支各增加447.99万元，增长107.11%，主要原因是项目支出增加。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本部门2018年度本年收入合计866.26万元，其中：财政拨款收入866.26万元，占100%；无事业收入、经营收入及其他收入。如图所示：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59264" behindDoc="0" locked="0" layoutInCell="1" allowOverlap="1">
            <wp:simplePos x="0" y="0"/>
            <wp:positionH relativeFrom="column">
              <wp:posOffset>824230</wp:posOffset>
            </wp:positionH>
            <wp:positionV relativeFrom="paragraph">
              <wp:posOffset>83820</wp:posOffset>
            </wp:positionV>
            <wp:extent cx="4399915" cy="2561590"/>
            <wp:effectExtent l="0" t="0" r="635" b="10160"/>
            <wp:wrapSquare wrapText="bothSides"/>
            <wp:docPr id="6" name="图片框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框 1041"/>
                    <pic:cNvPicPr>
                      <a:picLocks noChangeAspect="1"/>
                    </pic:cNvPicPr>
                  </pic:nvPicPr>
                  <pic:blipFill>
                    <a:blip r:embed="rId8"/>
                    <a:stretch>
                      <a:fillRect/>
                    </a:stretch>
                  </pic:blipFill>
                  <pic:spPr>
                    <a:xfrm>
                      <a:off x="0" y="0"/>
                      <a:ext cx="4399915" cy="2561590"/>
                    </a:xfrm>
                    <a:prstGeom prst="rect">
                      <a:avLst/>
                    </a:prstGeom>
                    <a:noFill/>
                    <a:ln>
                      <a:noFill/>
                    </a:ln>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本部门2018年度本年支出合计866.26万元，其中：基本支出582.31万元，占67.22%；项目支出283.94万元，占32.78%；无经营支出。如图所示：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0288" behindDoc="0" locked="0" layoutInCell="1" allowOverlap="1">
            <wp:simplePos x="0" y="0"/>
            <wp:positionH relativeFrom="column">
              <wp:posOffset>836295</wp:posOffset>
            </wp:positionH>
            <wp:positionV relativeFrom="paragraph">
              <wp:posOffset>-292100</wp:posOffset>
            </wp:positionV>
            <wp:extent cx="4228465" cy="2524125"/>
            <wp:effectExtent l="0" t="0" r="635" b="9525"/>
            <wp:wrapSquare wrapText="bothSides"/>
            <wp:docPr id="7" name="图片框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框 1043"/>
                    <pic:cNvPicPr>
                      <a:picLocks noChangeAspect="1"/>
                    </pic:cNvPicPr>
                  </pic:nvPicPr>
                  <pic:blipFill>
                    <a:blip r:embed="rId9"/>
                    <a:stretch>
                      <a:fillRect/>
                    </a:stretch>
                  </pic:blipFill>
                  <pic:spPr>
                    <a:xfrm>
                      <a:off x="0" y="0"/>
                      <a:ext cx="4228465" cy="2524125"/>
                    </a:xfrm>
                    <a:prstGeom prst="rect">
                      <a:avLst/>
                    </a:prstGeom>
                    <a:noFill/>
                    <a:ln>
                      <a:noFill/>
                    </a:ln>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866.26万元,比2017年度增加447.99万元，增长107.11%，主要是征地工作任务增加，预算增加；本年支出866.26万元，增加447.99万元，增长107.11%，主要是人员增多，行政运行支出增加，征地工作任务增加，项目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863.07万元，比上年增加444.8万元，主要是人员增多，征地任务增加，预算增加，拨款增加；本年支出757.88万元，比上年增加339.61万元，增长81.19%，主要是人员类行政运行费用增加。政府性基金预算财政拨款本年收入3.19万元，比上年增加3.19万元，增长319%，主要原因是增加政府性基金项目；本年支出3.19万元，比上年增加3.19万元，增长319%，主要</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是增加政府性基金项目。</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1312" behindDoc="1" locked="0" layoutInCell="1" allowOverlap="1">
            <wp:simplePos x="0" y="0"/>
            <wp:positionH relativeFrom="column">
              <wp:posOffset>454660</wp:posOffset>
            </wp:positionH>
            <wp:positionV relativeFrom="paragraph">
              <wp:posOffset>10160</wp:posOffset>
            </wp:positionV>
            <wp:extent cx="4580890" cy="2990215"/>
            <wp:effectExtent l="0" t="0" r="10160" b="635"/>
            <wp:wrapNone/>
            <wp:docPr id="1" name="图片框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框 1045"/>
                    <pic:cNvPicPr>
                      <a:picLocks noChangeAspect="1"/>
                    </pic:cNvPicPr>
                  </pic:nvPicPr>
                  <pic:blipFill>
                    <a:blip r:embed="rId10"/>
                    <a:stretch>
                      <a:fillRect/>
                    </a:stretch>
                  </pic:blipFill>
                  <pic:spPr>
                    <a:xfrm>
                      <a:off x="0" y="0"/>
                      <a:ext cx="4580890" cy="299021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866.26万元，完成年初预算的201.78%,比年初预算增加436.95万元，决算数大于预算数主要原因是拨款增加；本年支出866.26万元，完成年初预算的201.78%,比年初预算增加436.95万元，决算数大于预算数主要原因是主要是项目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863.07万元，完成年初预算201.04%，比年初预算增加433.76万元，主要是财政拨款增加；支出863.07万元，完成年初预算201.04%，比年初预算增加433.76万元，主要是项目支出增加。政府性基金预算财政拨款本年收入3.19万元，完成年初预算100%，比年初预算增加3.19万元，主要是增加项目；支出3.19万元，完成年初预算100%，比年初预算增加3.19万元，主要是增加项目，支出增加。</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anchor distT="0" distB="0" distL="114300" distR="114300" simplePos="0" relativeHeight="251662336" behindDoc="0" locked="0" layoutInCell="1" allowOverlap="1">
            <wp:simplePos x="0" y="0"/>
            <wp:positionH relativeFrom="column">
              <wp:posOffset>210820</wp:posOffset>
            </wp:positionH>
            <wp:positionV relativeFrom="paragraph">
              <wp:posOffset>353695</wp:posOffset>
            </wp:positionV>
            <wp:extent cx="4581525" cy="3495675"/>
            <wp:effectExtent l="19050" t="0" r="9525" b="0"/>
            <wp:wrapSquare wrapText="bothSides"/>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11"/>
                    <a:stretch>
                      <a:fillRect/>
                    </a:stretch>
                  </pic:blipFill>
                  <pic:spPr>
                    <a:xfrm>
                      <a:off x="0" y="0"/>
                      <a:ext cx="4581525" cy="349567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年度财政拨款支出866.26万元，主要用于以下方面：一般公共服务支出757.88万元，占87.49%；社会保障和就业支出 49.19万元，占5.68%；节能环保支出56.00万元，占 6.46%;城乡社区支出3.19万元，占 0.37%。如图所示: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63360" behindDoc="0" locked="0" layoutInCell="1" allowOverlap="1">
            <wp:simplePos x="0" y="0"/>
            <wp:positionH relativeFrom="column">
              <wp:posOffset>492125</wp:posOffset>
            </wp:positionH>
            <wp:positionV relativeFrom="paragraph">
              <wp:posOffset>38100</wp:posOffset>
            </wp:positionV>
            <wp:extent cx="4580890" cy="3237865"/>
            <wp:effectExtent l="0" t="0" r="10160" b="635"/>
            <wp:wrapSquare wrapText="bothSides"/>
            <wp:docPr id="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5"/>
                    <pic:cNvPicPr>
                      <a:picLocks noChangeAspect="1"/>
                    </pic:cNvPicPr>
                  </pic:nvPicPr>
                  <pic:blipFill>
                    <a:blip r:embed="rId12"/>
                    <a:stretch>
                      <a:fillRect/>
                    </a:stretch>
                  </pic:blipFill>
                  <pic:spPr>
                    <a:xfrm>
                      <a:off x="0" y="0"/>
                      <a:ext cx="4580890" cy="3237865"/>
                    </a:xfrm>
                    <a:prstGeom prst="rect">
                      <a:avLst/>
                    </a:prstGeom>
                    <a:noFill/>
                    <a:ln>
                      <a:noFill/>
                    </a:ln>
                  </pic:spPr>
                </pic:pic>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年度一般公共预算财政拨款基本支出582.31万元，其中：人员经费 388.99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193.32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“三公”经费支出共计2万元，</w:t>
      </w:r>
      <w:r>
        <w:rPr>
          <w:rFonts w:hint="eastAsia" w:ascii="仿宋_GB2312" w:eastAsia="仿宋_GB2312" w:cs="DengXian-Regular"/>
          <w:b/>
          <w:bCs/>
          <w:sz w:val="32"/>
          <w:szCs w:val="32"/>
        </w:rPr>
        <w:t>较年初预算减少1万元，降低33.33%，</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本部门2018年度因公出国（境）团组0个、共0人。因公出国（境）费支出与年初预算增加持平，无增减变化,主要是未发生因公出国（境）业务。</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（二）公务用车购置及运行维护费支出2万元。</w:t>
      </w:r>
      <w:r>
        <w:rPr>
          <w:rFonts w:hint="eastAsia" w:ascii="仿宋_GB2312" w:eastAsia="仿宋_GB2312" w:cs="DengXian-Regular"/>
          <w:sz w:val="32"/>
          <w:szCs w:val="32"/>
        </w:rPr>
        <w:t>本部门2018年度公务用车购置及运行维护费较年初预算减少1万元，降低33.33%,主要是认真贯彻落实中央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本部门2018年度公务用车购置量0辆，发生“公务用车购置”经费支出0万元。公务用车购置费支出与年初预算持平，无增减变化,主要是未发生公务用车购置经费支出。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本部门2018年度单位公务用车保有量1辆。公车运行维护费2万元，支出较年初预算减少1万元，降低33.33%,主要是认真贯彻落实中央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本部门2018年度公务接待共0批次、0人次。公务接待费支出与年初预算持平，无增减变化，主要是未发生公务接待。</w:t>
      </w:r>
    </w:p>
    <w:p>
      <w:pPr>
        <w:pStyle w:val="3"/>
        <w:spacing w:before="0" w:after="0" w:line="580" w:lineRule="exact"/>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shd w:val="clear" w:color="auto" w:fill="FFFFFF"/>
        </w:rPr>
        <w:t>。</w:t>
      </w:r>
      <w:r>
        <w:rPr>
          <w:rFonts w:hint="eastAsia" w:ascii="仿宋_GB2312" w:eastAsia="仿宋_GB2312" w:cs="DengXian-Regular"/>
          <w:sz w:val="32"/>
          <w:szCs w:val="32"/>
        </w:rPr>
        <w:t>根据预算绩效管理要求，本单位组织对2018年度项目支出全面开展绩效自评，涉及</w:t>
      </w:r>
      <w:r>
        <w:rPr>
          <w:rFonts w:hint="eastAsia" w:ascii="仿宋_GB2312" w:hAnsi="宋体" w:eastAsia="仿宋_GB2312"/>
          <w:sz w:val="32"/>
          <w:szCs w:val="32"/>
        </w:rPr>
        <w:t>大陈镇人民政府老区建设项目高陵村通村及村内新建道路工程</w:t>
      </w:r>
      <w:r>
        <w:rPr>
          <w:rFonts w:hint="eastAsia" w:ascii="仿宋_GB2312" w:eastAsia="仿宋_GB2312" w:cs="DengXian-Regular"/>
          <w:sz w:val="32"/>
          <w:szCs w:val="32"/>
        </w:rPr>
        <w:t>1个项目，涉及资金100万元。从评价情况看，评价结果为优秀的项目有1个，良好的项目有0个，一般的项目有0个。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本部门项目支出符合单位职责和相关管理规定，绩效目标合理，项目较好的完成了目标任务，达到了预期目标。</w:t>
      </w:r>
    </w:p>
    <w:p>
      <w:pPr>
        <w:spacing w:line="520" w:lineRule="exact"/>
        <w:ind w:firstLine="640" w:firstLineChars="200"/>
        <w:rPr>
          <w:rFonts w:ascii="仿宋_GB2312" w:eastAsia="仿宋_GB2312" w:cs="DengXian-Regular"/>
          <w:sz w:val="32"/>
          <w:szCs w:val="32"/>
          <w:shd w:val="clear" w:color="auto" w:fill="FFFFFF"/>
        </w:rPr>
      </w:pPr>
      <w:r>
        <w:rPr>
          <w:rFonts w:hint="eastAsia" w:ascii="仿宋_GB2312" w:eastAsia="仿宋_GB2312" w:cs="DengXian-Regular"/>
          <w:sz w:val="32"/>
          <w:szCs w:val="32"/>
        </w:rPr>
        <w:t>本部门</w:t>
      </w:r>
      <w:r>
        <w:rPr>
          <w:rFonts w:hint="eastAsia" w:ascii="仿宋_GB2312" w:hAnsi="宋体" w:eastAsia="仿宋_GB2312"/>
          <w:sz w:val="32"/>
          <w:szCs w:val="32"/>
        </w:rPr>
        <w:t>老区建设项目高陵村通村及村内新建道路工程</w:t>
      </w:r>
      <w:r>
        <w:rPr>
          <w:rFonts w:hint="eastAsia" w:ascii="仿宋_GB2312" w:eastAsia="仿宋_GB2312" w:cs="DengXian-Regular"/>
          <w:sz w:val="32"/>
          <w:szCs w:val="32"/>
        </w:rPr>
        <w:t>项目绩效自评：根据年初设定的绩效目标，</w:t>
      </w:r>
      <w:r>
        <w:rPr>
          <w:rFonts w:hint="eastAsia" w:ascii="仿宋_GB2312" w:hAnsi="宋体" w:eastAsia="仿宋_GB2312"/>
          <w:sz w:val="32"/>
          <w:szCs w:val="32"/>
        </w:rPr>
        <w:t>老区建设项目高陵村通村及村内新建道路工程</w:t>
      </w:r>
      <w:r>
        <w:rPr>
          <w:rFonts w:hint="eastAsia" w:ascii="仿宋_GB2312" w:eastAsia="仿宋_GB2312" w:cs="DengXian-Regular"/>
          <w:sz w:val="32"/>
          <w:szCs w:val="32"/>
        </w:rPr>
        <w:t>目标绩效自评结果为优秀。项目全年预算数为100万元，执行数为95万元，</w:t>
      </w:r>
      <w:r>
        <w:rPr>
          <w:rFonts w:hint="eastAsia" w:ascii="仿宋_GB2312" w:hAnsi="宋体" w:eastAsia="仿宋_GB2312"/>
          <w:sz w:val="32"/>
          <w:szCs w:val="32"/>
        </w:rPr>
        <w:t>5万质保金待拨付，</w:t>
      </w:r>
      <w:r>
        <w:rPr>
          <w:rFonts w:hint="eastAsia" w:ascii="仿宋_GB2312" w:eastAsia="仿宋_GB2312" w:cs="DengXian-Regular"/>
          <w:sz w:val="32"/>
          <w:szCs w:val="32"/>
        </w:rPr>
        <w:t>完成预算的95%。主要产出和效果是：1、经济效益。高陵村道路硬化后，方便了村内种植业运输，降低了运输、人工成本。2、社会效益。方便了村内4100人的出行。3、可持续影响指标。主要工程为道路硬化，可以长期使用。发现问题是</w:t>
      </w:r>
      <w:r>
        <w:rPr>
          <w:rFonts w:hint="eastAsia" w:ascii="仿宋_GB2312" w:hAnsi="宋体" w:eastAsia="仿宋_GB2312"/>
          <w:sz w:val="32"/>
          <w:szCs w:val="32"/>
        </w:rPr>
        <w:t>施工过程中与村民出现分歧，原因是没有完全做好个别村民思想工作</w:t>
      </w:r>
      <w:r>
        <w:rPr>
          <w:rFonts w:hint="eastAsia" w:ascii="仿宋_GB2312" w:eastAsia="仿宋_GB2312" w:cs="DengXian-Regular"/>
          <w:sz w:val="32"/>
          <w:szCs w:val="32"/>
        </w:rPr>
        <w:t>。下一步改进措施是</w:t>
      </w:r>
      <w:r>
        <w:rPr>
          <w:rFonts w:hint="eastAsia" w:ascii="仿宋_GB2312" w:hAnsi="宋体" w:eastAsia="仿宋_GB2312"/>
          <w:sz w:val="32"/>
          <w:szCs w:val="32"/>
        </w:rPr>
        <w:t>在以后的工作中提前做村民工作，提高工作效率。</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本部门2018年度机关运行经费支出193.32万元，比年初预算数增加165.32万元，增长590.43%。主要原因是支出增加。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本部门2018年度政府采购支出总额199.58万元，从采购类型来看，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36.73</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162.85</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6辆，比上年增加0辆，主要是无。其中，副部（省）级及以上领导用车0辆，主要领导干部用车1辆，机要通信用车0辆，应急保障用车0辆，执法执勤用车0辆，特种专业技术用车0辆，离退休干部用车0辆，其他用车5辆，其他用车主要是车已报废正在走手续；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1、本部门2018年度国有资本经营预算财政拨款支出无收支及结转结余情况，故国有资本经营预算财政拨款支出决算表以空表列示。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-1003300</wp:posOffset>
            </wp:positionH>
            <wp:positionV relativeFrom="paragraph">
              <wp:posOffset>-1332230</wp:posOffset>
            </wp:positionV>
            <wp:extent cx="7550150" cy="10680065"/>
            <wp:effectExtent l="0" t="0" r="12700" b="6985"/>
            <wp:wrapNone/>
            <wp:docPr id="1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1"/>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74624" behindDoc="0" locked="0" layoutInCell="1" allowOverlap="1">
                <wp:simplePos x="0" y="0"/>
                <wp:positionH relativeFrom="column">
                  <wp:posOffset>-993775</wp:posOffset>
                </wp:positionH>
                <wp:positionV relativeFrom="paragraph">
                  <wp:posOffset>2956560</wp:posOffset>
                </wp:positionV>
                <wp:extent cx="7571740" cy="2020570"/>
                <wp:effectExtent l="0" t="0" r="0" b="0"/>
                <wp:wrapNone/>
                <wp:docPr id="10" name="文本框 22"/>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rect id="文本框 22" o:spid="_x0000_s1026" o:spt="1" style="position:absolute;left:0pt;margin-left:-78.25pt;margin-top:232.8pt;height:159.1pt;width:596.2pt;z-index:251674624;mso-width-relative:page;mso-height-relative:page;" filled="f" stroked="f" coordsize="21600,21600" o:gfxdata="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FgAA&#10;AGRycy9QSwECFAAUAAAACACHTuJA8BQFVt4AAAANAQAADwAAAAAAAAABACAAAAA4AAAAZHJzL2Rv&#10;d25yZXYueG1sUEsBAhQAFAAAAAgAh07iQD0z75+sAQAAVQMAAA4AAAAAAAAAAQAgAAAAQwEAAGRy&#10;cy9lMm9Eb2MueG1sUEsFBgAAAAAGAAYAWQEAAGE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drawing>
          <wp:anchor distT="0" distB="0" distL="114300" distR="114300" simplePos="0" relativeHeight="251669504" behindDoc="1" locked="0" layoutInCell="1" allowOverlap="1">
            <wp:simplePos x="0" y="0"/>
            <wp:positionH relativeFrom="column">
              <wp:posOffset>-984885</wp:posOffset>
            </wp:positionH>
            <wp:positionV relativeFrom="paragraph">
              <wp:posOffset>-1349375</wp:posOffset>
            </wp:positionV>
            <wp:extent cx="7590155" cy="10735945"/>
            <wp:effectExtent l="0" t="0" r="10795" b="8255"/>
            <wp:wrapNone/>
            <wp:docPr id="16"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1"/>
                    <pic:cNvPicPr>
                      <a:picLocks noChangeAspect="1"/>
                    </pic:cNvPicPr>
                  </pic:nvPicPr>
                  <pic:blipFill>
                    <a:blip r:embed="rId13"/>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ËÎÌå">
    <w:altName w:val="C059"/>
    <w:panose1 w:val="00000000000000000000"/>
    <w:charset w:val="00"/>
    <w:family w:val="auto"/>
    <w:pitch w:val="default"/>
    <w:sig w:usb0="00000000" w:usb1="00000000" w:usb2="00000000" w:usb3="00000000" w:csb0="00000001" w:csb1="00000000"/>
  </w:font>
  <w:font w:name="C059">
    <w:panose1 w:val="00000500000000000000"/>
    <w:charset w:val="00"/>
    <w:family w:val="auto"/>
    <w:pitch w:val="default"/>
    <w:sig w:usb0="00000287" w:usb1="00000800" w:usb2="00000000" w:usb3="00000000" w:csb0="6000009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ACF"/>
    <w:rsid w:val="000703E3"/>
    <w:rsid w:val="00264B38"/>
    <w:rsid w:val="00283B59"/>
    <w:rsid w:val="003F4F64"/>
    <w:rsid w:val="00485290"/>
    <w:rsid w:val="00696086"/>
    <w:rsid w:val="00710EB4"/>
    <w:rsid w:val="00785ACF"/>
    <w:rsid w:val="008815D6"/>
    <w:rsid w:val="00AA0B5C"/>
    <w:rsid w:val="28D13A76"/>
    <w:rsid w:val="2AD321A5"/>
    <w:rsid w:val="402B56DC"/>
    <w:rsid w:val="FFF6DE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style>
  <w:style w:type="character" w:customStyle="1" w:styleId="18">
    <w:name w:val="页脚 Char"/>
    <w:link w:val="6"/>
    <w:semiHidden/>
    <w:qFormat/>
    <w:uiPriority w:val="0"/>
    <w:rPr>
      <w:sz w:val="18"/>
      <w:szCs w:val="18"/>
    </w:rPr>
  </w:style>
  <w:style w:type="character" w:customStyle="1" w:styleId="19">
    <w:name w:val="页眉 Char"/>
    <w:link w:val="7"/>
    <w:semiHidden/>
    <w:qFormat/>
    <w:uiPriority w:val="0"/>
    <w:rPr>
      <w:sz w:val="18"/>
      <w:szCs w:val="18"/>
    </w:rPr>
  </w:style>
  <w:style w:type="character" w:customStyle="1" w:styleId="20">
    <w:name w:val="副标题 Char"/>
    <w:link w:val="8"/>
    <w:semiHidden/>
    <w:qFormat/>
    <w:uiPriority w:val="0"/>
    <w:rPr>
      <w:rFonts w:ascii="Calibri" w:hAnsi="Calibri" w:eastAsia="宋体" w:cs="黑体"/>
      <w:i/>
      <w:iCs/>
      <w:color w:val="F0A22E"/>
      <w:spacing w:val="15"/>
      <w:kern w:val="0"/>
      <w:sz w:val="24"/>
      <w:szCs w:val="24"/>
    </w:rPr>
  </w:style>
  <w:style w:type="character" w:customStyle="1" w:styleId="21">
    <w:name w:val="标题 Char"/>
    <w:link w:val="9"/>
    <w:semiHidden/>
    <w:qFormat/>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qFormat/>
    <w:uiPriority w:val="0"/>
    <w:rPr>
      <w:sz w:val="18"/>
      <w:szCs w:val="18"/>
    </w:rPr>
  </w:style>
  <w:style w:type="paragraph" w:customStyle="1" w:styleId="23">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qFormat/>
    <w:uiPriority w:val="0"/>
    <w:pPr>
      <w:ind w:firstLine="420" w:firstLineChars="200"/>
    </w:pPr>
  </w:style>
  <w:style w:type="character" w:customStyle="1" w:styleId="25">
    <w:name w:val="批注框文本 Char Char Char Char"/>
    <w:link w:val="22"/>
    <w:semiHidden/>
    <w:qFormat/>
    <w:uiPriority w:val="0"/>
    <w:rPr>
      <w:rFonts w:ascii="Times New Roman" w:hAnsi="Times New Roman" w:eastAsia="宋体" w:cs="Times New Roman"/>
      <w:sz w:val="18"/>
      <w:szCs w:val="18"/>
    </w:rPr>
  </w:style>
  <w:style w:type="character" w:customStyle="1" w:styleId="26">
    <w:name w:val="无间隔 Char"/>
    <w:link w:val="23"/>
    <w:semiHidden/>
    <w:qFormat/>
    <w:uiPriority w:val="0"/>
    <w:rPr>
      <w:kern w:val="0"/>
      <w:sz w:val="22"/>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1945</Words>
  <Characters>11093</Characters>
  <Lines>92</Lines>
  <Paragraphs>26</Paragraphs>
  <TotalTime>6</TotalTime>
  <ScaleCrop>false</ScaleCrop>
  <LinksUpToDate>false</LinksUpToDate>
  <CharactersWithSpaces>13012</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2019-09-01T00:40:00Z</dcterms:created>
  <dc:creator>User</dc:creator>
  <cp:lastModifiedBy>caizhengju</cp:lastModifiedBy>
  <cp:lastPrinted>2019-08-05T17:01:00Z</cp:lastPrinted>
  <dcterms:modified xsi:type="dcterms:W3CDTF">2024-01-02T16:13:08Z</dcterms:modified>
  <dc:subject>石家庄市xxx部门</dc:subject>
  <dc:title>刘玉石</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5BAA4DC459F5CE3B94C5936570ADC0CA</vt:lpwstr>
  </property>
</Properties>
</file>