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r>
        <w:rPr>
          <w:rFonts w:ascii="黑体" w:hAnsi="宋体" w:eastAsia="黑体"/>
          <w:color w:val="002060"/>
          <w:sz w:val="72"/>
          <w:szCs w:val="72"/>
        </w:rPr>
        <w:drawing>
          <wp:anchor distT="0" distB="0" distL="114300" distR="114300" simplePos="0" relativeHeight="251664384" behindDoc="1" locked="0" layoutInCell="1" allowOverlap="1">
            <wp:simplePos x="0" y="0"/>
            <wp:positionH relativeFrom="column">
              <wp:posOffset>-1043940</wp:posOffset>
            </wp:positionH>
            <wp:positionV relativeFrom="paragraph">
              <wp:posOffset>-1313180</wp:posOffset>
            </wp:positionV>
            <wp:extent cx="7576820" cy="10796905"/>
            <wp:effectExtent l="0" t="0" r="5080" b="4445"/>
            <wp:wrapNone/>
            <wp:docPr id="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7"/>
                    <pic:cNvPicPr>
                      <a:picLocks noChangeAspect="1"/>
                    </pic:cNvPicPr>
                  </pic:nvPicPr>
                  <pic:blipFill>
                    <a:blip r:embed="rId6"/>
                    <a:stretch>
                      <a:fillRect/>
                    </a:stretch>
                  </pic:blipFill>
                  <pic:spPr>
                    <a:xfrm>
                      <a:off x="0" y="0"/>
                      <a:ext cx="7576820" cy="10796905"/>
                    </a:xfrm>
                    <a:prstGeom prst="rect">
                      <a:avLst/>
                    </a:prstGeom>
                    <a:noFill/>
                    <a:ln>
                      <a:noFill/>
                    </a:ln>
                  </pic:spPr>
                </pic:pic>
              </a:graphicData>
            </a:graphic>
          </wp:anchor>
        </w:drawing>
      </w:r>
    </w:p>
    <w:p>
      <w:pPr>
        <w:widowControl/>
        <w:jc w:val="center"/>
        <w:rPr>
          <w:rFonts w:ascii="黑体" w:hAnsi="宋体" w:eastAsia="黑体"/>
          <w:color w:val="002060"/>
          <w:sz w:val="72"/>
          <w:szCs w:val="72"/>
        </w:rPr>
      </w:pPr>
      <w:r>
        <w:rPr>
          <w:sz w:val="72"/>
        </w:rPr>
        <mc:AlternateContent>
          <mc:Choice Requires="wps">
            <w:drawing>
              <wp:anchor distT="0" distB="0" distL="114300" distR="114300" simplePos="0" relativeHeight="251659264" behindDoc="0" locked="0" layoutInCell="1" allowOverlap="1">
                <wp:simplePos x="0" y="0"/>
                <wp:positionH relativeFrom="column">
                  <wp:posOffset>-1051560</wp:posOffset>
                </wp:positionH>
                <wp:positionV relativeFrom="paragraph">
                  <wp:posOffset>549275</wp:posOffset>
                </wp:positionV>
                <wp:extent cx="7571740" cy="2111375"/>
                <wp:effectExtent l="0" t="0" r="0" b="0"/>
                <wp:wrapNone/>
                <wp:docPr id="1" name="文本框 8"/>
                <wp:cNvGraphicFramePr/>
                <a:graphic xmlns:a="http://schemas.openxmlformats.org/drawingml/2006/main">
                  <a:graphicData uri="http://schemas.microsoft.com/office/word/2010/wordprocessingShape">
                    <wps:wsp>
                      <wps:cNvSpPr/>
                      <wps:spPr>
                        <a:xfrm>
                          <a:off x="0" y="0"/>
                          <a:ext cx="7571740" cy="2111375"/>
                        </a:xfrm>
                        <a:prstGeom prst="rect">
                          <a:avLst/>
                        </a:prstGeom>
                        <a:noFill/>
                        <a:ln>
                          <a:noFill/>
                        </a:ln>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无极县北苏镇</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wps:txbx>
                      <wps:bodyPr upright="1"/>
                    </wps:wsp>
                  </a:graphicData>
                </a:graphic>
              </wp:anchor>
            </w:drawing>
          </mc:Choice>
          <mc:Fallback>
            <w:pict>
              <v:rect id="文本框 8" o:spid="_x0000_s1026" o:spt="1" style="position:absolute;left:0pt;margin-left:-82.8pt;margin-top:43.25pt;height:166.25pt;width:596.2pt;z-index:251659264;mso-width-relative:page;mso-height-relative:page;" filled="f" stroked="f" coordsize="21600,21600" o:gfxdata="UEsFBgAAAAAAAAAAAAAAAAAAAAAAAFBLAwQKAAAAAACHTuJAAAAAAAAAAAAAAAAABAAAAGRycy9Q&#10;SwMEFAAAAAgAh07iQDrwr4TcAAAADAEAAA8AAABkcnMvZG93bnJldi54bWxNj1FrwjAUhd8H+w/h&#10;DvYyNKnM4GpTH4QxGQOxbj7H5tqWNTe1ia3794tP2+PlfpzznWx1tS0bsPeNIwXJVABDKp1pqFLw&#10;uX+dLID5oMno1hEq+EEPq/z+LtOpcSPtcChCxWII+VQrqEPoUs59WaPVfuo6pPg7ud7qEM++4qbX&#10;Ywy3LZ8JIbnVDcWGWne4rrH8Li5WwVhuh8P+441vnw4bR+fNeV18vSv1+JCIJbCA1/AHw00/qkMe&#10;nY7uQsazVsEkkXMZWQULOQd2I8RMxjVHBc/JiwCeZ/z/iPwXUEsDBBQAAAAIAIdO4kDRxxgXpgEA&#10;AEUDAAAOAAAAZHJzL2Uyb0RvYy54bWytUktu2zAU3BfoHQjua1pOUweC5WyMZBO0AdIegKZIiwB/&#10;eKQt+QLJDbrqpvuey+foI6U6bbrJIhvq/TRvZsjV9WANOUiI2ruGVrM5JdIJ32q3a+i3rzcfriiJ&#10;ibuWG+9kQ48y0uv1+3erPtRy4TtvWgkEQVys+9DQLqVQMxZFJy2PMx+kw6byYHnCFHasBd4jujVs&#10;MZ9/Yr2HNoAXMkasbsYmnRDhNYBeKS3kxou9lS6NqCANTygpdjpEui5slZIifVEqykRMQ1FpKicu&#10;wXibT7Ze8XoHPHRaTBT4ayi80GS5drj0DLXhiZM96P+grBbgo1dpJrxlo5DiCKqo5i+8eeh4kEUL&#10;Wh3D2fT4drDi8+EeiG7xJVDiuMULP31/Ov34dfr5SK6yPX2INU49hHuYsohh1joosPmLKshQLD2e&#10;LZVDIgKLy8tltfyIbgvsLaqqulheZlT2/HuAmG6ltyQHDQW8s2IlP9zFNI7+GcnbnL/RxmCd18b9&#10;U0DMXGGZ8cgxR2nYDhPxrW+PqHYfQO86XFUVJnkI3S2cppeQr+/vvIA+v/71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BYAAABkcnMvUEsB&#10;AhQAFAAAAAgAh07iQDrwr4TcAAAADAEAAA8AAAAAAAAAAQAgAAAAOAAAAGRycy9kb3ducmV2Lnht&#10;bFBLAQIUABQAAAAIAIdO4kDRxxgXpgEAAEUDAAAOAAAAAAAAAAEAIAAAAEEBAABkcnMvZTJvRG9j&#10;LnhtbFBLBQYAAAAABgAGAFkBAABZBQ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无极县北苏镇</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v:textbox>
              </v:rect>
            </w:pict>
          </mc:Fallback>
        </mc:AlternateConten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楷体" w:hAnsi="楷体" w:eastAsia="楷体" w:cs="楷体"/>
          <w:b/>
          <w:sz w:val="40"/>
          <w:szCs w:val="40"/>
        </w:rPr>
      </w:pPr>
    </w:p>
    <w:p>
      <w:pPr>
        <w:widowControl/>
        <w:jc w:val="center"/>
        <w:sectPr>
          <w:pgSz w:w="11906" w:h="16838"/>
          <w:pgMar w:top="2098" w:right="1474" w:bottom="1985" w:left="1588" w:header="851" w:footer="992" w:gutter="0"/>
          <w:cols w:space="720"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w:t>
      </w:r>
      <w:r>
        <w:rPr>
          <w:rFonts w:hint="eastAsia" w:eastAsia="黑体"/>
          <w:sz w:val="32"/>
          <w:szCs w:val="32"/>
        </w:rPr>
        <w:t>无极县北苏镇</w:t>
      </w:r>
      <w:r>
        <w:rPr>
          <w:rFonts w:eastAsia="黑体"/>
          <w:sz w:val="32"/>
          <w:szCs w:val="32"/>
        </w:rPr>
        <w:t>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w:t>
      </w:r>
      <w:r>
        <w:rPr>
          <w:rFonts w:hint="eastAsia" w:eastAsia="黑体"/>
          <w:sz w:val="32"/>
          <w:szCs w:val="32"/>
        </w:rPr>
        <w:t>无极县北苏镇</w:t>
      </w:r>
      <w:r>
        <w:rPr>
          <w:rFonts w:eastAsia="黑体"/>
          <w:sz w:val="32"/>
          <w:szCs w:val="32"/>
        </w:rPr>
        <w:t>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无极县北苏镇</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-1021080</wp:posOffset>
            </wp:positionH>
            <wp:positionV relativeFrom="paragraph">
              <wp:posOffset>-1824355</wp:posOffset>
            </wp:positionV>
            <wp:extent cx="7585710" cy="10727055"/>
            <wp:effectExtent l="0" t="0" r="15240" b="17145"/>
            <wp:wrapNone/>
            <wp:docPr id="7"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2"/>
                    <pic:cNvPicPr>
                      <a:picLocks noChangeAspect="1"/>
                    </pic:cNvPicPr>
                  </pic:nvPicPr>
                  <pic:blipFill>
                    <a:blip r:embed="rId7"/>
                    <a:stretch>
                      <a:fillRect/>
                    </a:stretch>
                  </pic:blipFill>
                  <pic:spPr>
                    <a:xfrm>
                      <a:off x="0" y="0"/>
                      <a:ext cx="7585710" cy="10727055"/>
                    </a:xfrm>
                    <a:prstGeom prst="rect">
                      <a:avLst/>
                    </a:prstGeom>
                    <a:noFill/>
                    <a:ln>
                      <a:noFill/>
                    </a:ln>
                  </pic:spPr>
                </pic:pic>
              </a:graphicData>
            </a:graphic>
          </wp:anchor>
        </w:drawing>
      </w:r>
      <w:r>
        <w:rPr>
          <w:sz w:val="72"/>
        </w:rPr>
        <mc:AlternateContent>
          <mc:Choice Requires="wps">
            <w:drawing>
              <wp:anchor distT="0" distB="0" distL="114300" distR="114300" simplePos="0" relativeHeight="251663360" behindDoc="0" locked="0" layoutInCell="1" allowOverlap="1">
                <wp:simplePos x="0" y="0"/>
                <wp:positionH relativeFrom="column">
                  <wp:posOffset>-1231900</wp:posOffset>
                </wp:positionH>
                <wp:positionV relativeFrom="paragraph">
                  <wp:posOffset>3290570</wp:posOffset>
                </wp:positionV>
                <wp:extent cx="7793355" cy="1037590"/>
                <wp:effectExtent l="0" t="0" r="0" b="0"/>
                <wp:wrapNone/>
                <wp:docPr id="5" name="文本框 118"/>
                <wp:cNvGraphicFramePr/>
                <a:graphic xmlns:a="http://schemas.openxmlformats.org/drawingml/2006/main">
                  <a:graphicData uri="http://schemas.microsoft.com/office/word/2010/wordprocessingShape">
                    <wps:wsp>
                      <wps:cNvSpPr/>
                      <wps:spPr>
                        <a:xfrm>
                          <a:off x="0" y="0"/>
                          <a:ext cx="7793355" cy="1037590"/>
                        </a:xfrm>
                        <a:prstGeom prst="rect">
                          <a:avLst/>
                        </a:prstGeom>
                        <a:noFill/>
                        <a:ln>
                          <a:noFill/>
                        </a:ln>
                      </wps:spPr>
                      <wps:txbx>
                        <w:txbxContent>
                          <w:p>
                            <w:pPr>
                              <w:widowControl/>
                              <w:jc w:val="center"/>
                              <w:rPr>
                                <w:color w:val="FDEFBE"/>
                                <w:sz w:val="96"/>
                                <w:szCs w:val="96"/>
                              </w:rPr>
                            </w:pPr>
                            <w:r>
                              <w:rPr>
                                <w:rFonts w:hint="eastAsia" w:ascii="黑体" w:hAnsi="宋体" w:eastAsia="黑体"/>
                                <w:color w:val="FDEFBE"/>
                                <w:sz w:val="96"/>
                                <w:szCs w:val="96"/>
                              </w:rPr>
                              <w:t>第一部分部门概况</w:t>
                            </w:r>
                          </w:p>
                        </w:txbxContent>
                      </wps:txbx>
                      <wps:bodyPr upright="1"/>
                    </wps:wsp>
                  </a:graphicData>
                </a:graphic>
              </wp:anchor>
            </w:drawing>
          </mc:Choice>
          <mc:Fallback>
            <w:pict>
              <v:rect id="文本框 118" o:spid="_x0000_s1026" o:spt="1" style="position:absolute;left:0pt;margin-left:-97pt;margin-top:259.1pt;height:81.7pt;width:613.65pt;z-index:251663360;mso-width-relative:page;mso-height-relative:page;" filled="f" stroked="f" coordsize="21600,21600" o:gfxdata="UEsFBgAAAAAAAAAAAAAAAAAAAAAAAFBLAwQKAAAAAACHTuJAAAAAAAAAAAAAAAAABAAAAGRycy9Q&#10;SwMEFAAAAAgAh07iQIIaPeLeAAAADQEAAA8AAABkcnMvZG93bnJldi54bWxNj0FLw0AUhO+C/2F5&#10;ghdpd9NoSGM2PRTEIkIxtT1vs88kmH2bZrdJ/fduT3ocZpj5Jl9dTMdGHFxrSUI0F8CQKqtbqiV8&#10;7l5mKTDnFWnVWUIJP+hgVdze5CrTdqIPHEtfs1BCLlMSGu/7jHNXNWiUm9seKXhfdjDKBznUXA9q&#10;CuWm4wshEm5US2GhUT2uG6y+y7ORMFXb8bB7f+Xbh8PG0mlzWpf7Nynv7yLxDMzjxf+F4Yof0KEI&#10;TEd7Ju1YJ2EWLR/DGS/hKUoXwK4REccxsKOEJI0S4EXO/78ofgFQSwMEFAAAAAgAh07iQKPRlEGp&#10;AQAARwMAAA4AAABkcnMvZTJvRG9jLnhtbK1SS27bMBDdF+gdCO5jSjFcJ4LlbIx0U7QB0h6ApkiL&#10;AH/g0JZ8gfYGXXXTfc/lc3RIq06bbrLIhpoZPr2Z94aru9EacpARtHctrWcVJdIJ32m3a+mXz/dX&#10;N5RA4q7jxjvZ0qMEerd++2Y1hEZe+96bTkaCJA6aIbS0Tyk0jIHopeUw80E6vFQ+Wp4wjTvWRT4g&#10;uzXsuqrescHHLkQvJABWN+dLOjHGlxB6pbSQGy/2Vrp0Zo3S8ISSoNcB6LpMq5QU6ZNSIBMxLUWl&#10;qZzYBONtPtl6xZtd5KHXYhqBv2SEZ5os1w6bXqg2PHGyj/o/KqtF9OBVmglv2VlIcQRV1NUzbx57&#10;HmTRglZDuJgOr0crPh4eItFdSxeUOG5x4afv304/fp1+fiV1fZMNGgI0iHsMD3HKAMOsdlTR5i/q&#10;IGMx9XgxVY6JCCwul7fz+QLZBd7V1Xy5uC22s6ffQ4T0XnpLctDSiFsrZvLDB0jYEqF/ILmb8/fa&#10;mLI54/4pIDBXWJ74PGOO0rgdp8G3vjui3n2IetdjqzrrK3D0tzSa3kJe4N95QT29//Vv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FgAAAGRy&#10;cy9QSwECFAAUAAAACACHTuJAgho94t4AAAANAQAADwAAAAAAAAABACAAAAA4AAAAZHJzL2Rvd25y&#10;ZXYueG1sUEsBAhQAFAAAAAgAh07iQKPRlEGpAQAARwMAAA4AAAAAAAAAAQAgAAAAQwEAAGRycy9l&#10;Mm9Eb2MueG1sUEsFBgAAAAAGAAYAWQEAAF4FAAAAAA==&#10;">
                <v:fill on="f" focussize="0,0"/>
                <v:stroke on="f"/>
                <v:imagedata o:title=""/>
                <o:lock v:ext="edit" aspectratio="f"/>
                <v:textbox>
                  <w:txbxContent>
                    <w:p>
                      <w:pPr>
                        <w:widowControl/>
                        <w:jc w:val="center"/>
                        <w:rPr>
                          <w:color w:val="FDEFBE"/>
                          <w:sz w:val="96"/>
                          <w:szCs w:val="96"/>
                        </w:rPr>
                      </w:pPr>
                      <w:r>
                        <w:rPr>
                          <w:rFonts w:hint="eastAsia" w:ascii="黑体" w:hAnsi="宋体" w:eastAsia="黑体"/>
                          <w:color w:val="FDEFBE"/>
                          <w:sz w:val="96"/>
                          <w:szCs w:val="96"/>
                        </w:rPr>
                        <w:t>第一部分部门概况</w:t>
                      </w:r>
                    </w:p>
                  </w:txbxContent>
                </v:textbox>
              </v:rect>
            </w:pict>
          </mc:Fallback>
        </mc:AlternateContent>
      </w:r>
    </w:p>
    <w:p/>
    <w:p/>
    <w:p/>
    <w:p/>
    <w:p/>
    <w:p/>
    <w:p/>
    <w:p/>
    <w:p/>
    <w:p/>
    <w:p/>
    <w:p/>
    <w:p/>
    <w:p/>
    <w:p>
      <w:pPr>
        <w:pStyle w:val="2"/>
        <w:spacing w:before="0" w:after="0" w:line="600" w:lineRule="exact"/>
        <w:jc w:val="left"/>
        <w:rPr>
          <w:rFonts w:ascii="黑体" w:hAnsi="Cambria" w:eastAsia="黑体" w:cs="黑体"/>
          <w:b w:val="0"/>
          <w:bCs w:val="0"/>
          <w:kern w:val="0"/>
          <w:sz w:val="32"/>
          <w:szCs w:val="32"/>
        </w:rPr>
      </w:pPr>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一、部门职责</w:t>
      </w:r>
    </w:p>
    <w:p>
      <w:pPr>
        <w:ind w:firstLine="640" w:firstLineChars="200"/>
        <w:rPr>
          <w:sz w:val="32"/>
        </w:rPr>
      </w:pPr>
      <w:r>
        <w:rPr>
          <w:rFonts w:hint="eastAsia"/>
          <w:sz w:val="32"/>
        </w:rPr>
        <w:t>宣传、贯彻、执行党的路线方针政策和国家的法律、法规,执行本级人民代表大会的决议和上级国家行政机关的决定和命令,其主要职能为:</w:t>
      </w:r>
    </w:p>
    <w:p>
      <w:pPr>
        <w:ind w:firstLine="640" w:firstLineChars="200"/>
        <w:rPr>
          <w:sz w:val="32"/>
        </w:rPr>
      </w:pPr>
      <w:r>
        <w:rPr>
          <w:rFonts w:hint="eastAsia"/>
          <w:sz w:val="32"/>
        </w:rPr>
        <w:t>1.</w:t>
      </w:r>
      <w:r>
        <w:rPr>
          <w:rFonts w:hint="eastAsia"/>
          <w:sz w:val="32"/>
        </w:rPr>
        <w:tab/>
      </w:r>
      <w:r>
        <w:rPr>
          <w:rFonts w:hint="eastAsia"/>
          <w:sz w:val="32"/>
        </w:rPr>
        <w:t>促进经济发展</w:t>
      </w:r>
    </w:p>
    <w:p>
      <w:pPr>
        <w:ind w:firstLine="640" w:firstLineChars="200"/>
        <w:rPr>
          <w:sz w:val="32"/>
        </w:rPr>
      </w:pPr>
      <w:r>
        <w:rPr>
          <w:rFonts w:hint="eastAsia"/>
          <w:sz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ind w:firstLine="640" w:firstLineChars="200"/>
        <w:rPr>
          <w:sz w:val="32"/>
        </w:rPr>
      </w:pPr>
      <w:r>
        <w:rPr>
          <w:rFonts w:hint="eastAsia"/>
          <w:sz w:val="32"/>
        </w:rPr>
        <w:t>2.加强社会管理</w:t>
      </w:r>
    </w:p>
    <w:p>
      <w:pPr>
        <w:ind w:firstLine="640" w:firstLineChars="200"/>
        <w:rPr>
          <w:sz w:val="32"/>
        </w:rPr>
      </w:pPr>
      <w:r>
        <w:rPr>
          <w:rFonts w:hint="eastAsia"/>
          <w:sz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ind w:firstLine="640" w:firstLineChars="200"/>
        <w:rPr>
          <w:sz w:val="32"/>
        </w:rPr>
      </w:pPr>
      <w:r>
        <w:rPr>
          <w:rFonts w:hint="eastAsia"/>
          <w:sz w:val="32"/>
        </w:rPr>
        <w:t>3.提供公共服务</w:t>
      </w:r>
    </w:p>
    <w:p>
      <w:pPr>
        <w:ind w:firstLine="640" w:firstLineChars="200"/>
        <w:rPr>
          <w:sz w:val="32"/>
        </w:rPr>
      </w:pPr>
      <w:r>
        <w:rPr>
          <w:rFonts w:hint="eastAsia"/>
          <w:sz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ind w:firstLine="640" w:firstLineChars="200"/>
        <w:rPr>
          <w:sz w:val="32"/>
        </w:rPr>
      </w:pPr>
      <w:r>
        <w:rPr>
          <w:rFonts w:hint="eastAsia"/>
          <w:sz w:val="32"/>
        </w:rPr>
        <w:t>4.维护农村稳定</w:t>
      </w:r>
    </w:p>
    <w:p>
      <w:pPr>
        <w:ind w:firstLine="640" w:firstLineChars="200"/>
        <w:rPr>
          <w:sz w:val="32"/>
        </w:rPr>
      </w:pPr>
      <w:r>
        <w:rPr>
          <w:rFonts w:hint="eastAsia"/>
          <w:sz w:val="32"/>
        </w:rPr>
        <w:t>主要包括:（1）做好社会治安综合</w:t>
      </w:r>
      <w:r>
        <w:rPr>
          <w:rFonts w:hint="eastAsia"/>
          <w:sz w:val="32"/>
          <w:lang w:eastAsia="zh-CN"/>
        </w:rPr>
        <w:t>治理</w:t>
      </w:r>
      <w:r>
        <w:rPr>
          <w:rFonts w:hint="eastAsia"/>
          <w:sz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从决算编报单位构成看，纳入2018 年度本部门决算汇编范围的独立核算单位（以下简称“单位”）共1 个，具体情况如下：</w:t>
      </w:r>
    </w:p>
    <w:tbl>
      <w:tblPr>
        <w:tblStyle w:val="10"/>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3485" w:type="dxa"/>
          </w:tcPr>
          <w:p>
            <w:pPr>
              <w:spacing w:after="0"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无极县北苏镇人民政府</w:t>
            </w:r>
          </w:p>
        </w:tc>
        <w:tc>
          <w:tcPr>
            <w:tcW w:w="244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bl>
    <w:p>
      <w:pPr>
        <w:spacing w:after="0" w:line="560" w:lineRule="exact"/>
        <w:rPr>
          <w:rFonts w:ascii="仿宋_GB2312" w:hAnsi="Cambria" w:eastAsia="仿宋_GB2312" w:cs="ArialUnicodeMS"/>
          <w:kern w:val="0"/>
          <w:sz w:val="32"/>
          <w:szCs w:val="3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sectPr>
          <w:pgSz w:w="11906" w:h="16838"/>
          <w:pgMar w:top="2098" w:right="1474" w:bottom="1984" w:left="1588" w:header="851" w:footer="992" w:gutter="0"/>
          <w:cols w:space="720" w:num="1"/>
          <w:docGrid w:type="lines" w:linePitch="312" w:charSpace="0"/>
        </w:sectPr>
      </w:pPr>
    </w:p>
    <w:p>
      <w:pPr>
        <w:widowControl/>
        <w:spacing w:line="560" w:lineRule="exact"/>
        <w:jc w:val="center"/>
        <w:rPr>
          <w:rFonts w:ascii="黑体" w:hAnsi="Cambria" w:eastAsia="黑体" w:cs="MS-UIGothic,Bold"/>
          <w:bCs/>
          <w:kern w:val="0"/>
          <w:sz w:val="52"/>
          <w:szCs w:val="52"/>
        </w:rPr>
      </w:pPr>
      <w:r>
        <w:rPr>
          <w:rFonts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-1019810</wp:posOffset>
            </wp:positionH>
            <wp:positionV relativeFrom="paragraph">
              <wp:posOffset>-1323340</wp:posOffset>
            </wp:positionV>
            <wp:extent cx="7571105" cy="10680065"/>
            <wp:effectExtent l="0" t="0" r="10795" b="6985"/>
            <wp:wrapNone/>
            <wp:docPr id="8"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6"/>
                    <pic:cNvPicPr>
                      <a:picLocks noChangeAspect="1"/>
                    </pic:cNvPicPr>
                  </pic:nvPicPr>
                  <pic:blipFill>
                    <a:blip r:embed="rId7"/>
                    <a:stretch>
                      <a:fillRect/>
                    </a:stretch>
                  </pic:blipFill>
                  <pic:spPr>
                    <a:xfrm>
                      <a:off x="0" y="0"/>
                      <a:ext cx="7571105" cy="10680065"/>
                    </a:xfrm>
                    <a:prstGeom prst="rect">
                      <a:avLst/>
                    </a:prstGeom>
                    <a:noFill/>
                    <a:ln>
                      <a:noFill/>
                    </a:ln>
                  </pic:spPr>
                </pic:pic>
              </a:graphicData>
            </a:graphic>
          </wp:anchor>
        </w:drawing>
      </w:r>
    </w:p>
    <w:p>
      <w:pPr>
        <w:widowControl/>
        <w:spacing w:line="560" w:lineRule="exact"/>
        <w:jc w:val="center"/>
        <w:rPr>
          <w:rFonts w:ascii="黑体" w:hAnsi="Cambria" w:eastAsia="黑体" w:cs="MS-UIGothic,Bold"/>
          <w:bCs/>
          <w:kern w:val="0"/>
          <w:sz w:val="52"/>
          <w:szCs w:val="52"/>
        </w:rPr>
      </w:pPr>
    </w:p>
    <w:p>
      <w:pPr>
        <w:rPr>
          <w:rFonts w:ascii="宋体" w:hAnsi="宋体" w:cs="ArialUnicodeMS"/>
          <w:color w:val="000000"/>
          <w:kern w:val="0"/>
        </w:rPr>
      </w:pPr>
    </w:p>
    <w:p>
      <w:pPr>
        <w:sectPr>
          <w:pgSz w:w="11906" w:h="16838"/>
          <w:pgMar w:top="2098" w:right="1474" w:bottom="1984" w:left="1588" w:header="851" w:footer="992" w:gutter="0"/>
          <w:cols w:space="720" w:num="1"/>
          <w:docGrid w:type="lines" w:linePitch="312" w:charSpace="0"/>
        </w:sectPr>
      </w:pPr>
      <w:r>
        <w:rPr>
          <w:sz w:val="72"/>
        </w:rPr>
        <mc:AlternateContent>
          <mc:Choice Requires="wps">
            <w:drawing>
              <wp:anchor distT="0" distB="0" distL="114300" distR="114300" simplePos="0" relativeHeight="251660288" behindDoc="0" locked="0" layoutInCell="1" allowOverlap="1">
                <wp:simplePos x="0" y="0"/>
                <wp:positionH relativeFrom="column">
                  <wp:posOffset>-938530</wp:posOffset>
                </wp:positionH>
                <wp:positionV relativeFrom="paragraph">
                  <wp:posOffset>1527810</wp:posOffset>
                </wp:positionV>
                <wp:extent cx="7571740" cy="2020570"/>
                <wp:effectExtent l="0" t="0" r="0" b="0"/>
                <wp:wrapNone/>
                <wp:docPr id="2" name="文本框 17"/>
                <wp:cNvGraphicFramePr/>
                <a:graphic xmlns:a="http://schemas.openxmlformats.org/drawingml/2006/main">
                  <a:graphicData uri="http://schemas.microsoft.com/office/word/2010/wordprocessingShape">
                    <wps:wsp>
                      <wps:cNvSpPr/>
                      <wps:spPr>
                        <a:xfrm>
                          <a:off x="0" y="0"/>
                          <a:ext cx="7571740" cy="2020570"/>
                        </a:xfrm>
                        <a:prstGeom prst="rect">
                          <a:avLst/>
                        </a:prstGeom>
                        <a:noFill/>
                        <a:ln>
                          <a:noFill/>
                        </a:ln>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wps:txbx>
                      <wps:bodyPr upright="1"/>
                    </wps:wsp>
                  </a:graphicData>
                </a:graphic>
              </wp:anchor>
            </w:drawing>
          </mc:Choice>
          <mc:Fallback>
            <w:pict>
              <v:rect id="文本框 17" o:spid="_x0000_s1026" o:spt="1" style="position:absolute;left:0pt;margin-left:-73.9pt;margin-top:120.3pt;height:159.1pt;width:596.2pt;z-index:251660288;mso-width-relative:page;mso-height-relative:page;" filled="f" stroked="f" coordsize="21600,21600" o:gfxdata="UEsFBgAAAAAAAAAAAAAAAAAAAAAAAFBLAwQKAAAAAACHTuJAAAAAAAAAAAAAAAAABAAAAGRycy9Q&#10;SwMEFAAAAAgAh07iQK9/nFLdAAAADQEAAA8AAABkcnMvZG93bnJldi54bWxNj0FLw0AQhe+C/2EZ&#10;wYu0uylpDTGTHgpiEaGYas/bZEyC2dk0u03qv3d70ts85vHe97L1xXRipMG1lhGiuQJBXNqq5Rrh&#10;Y/88S0A4r7nSnWVC+CEH6/z2JtNpZSd+p7HwtQgh7FKN0Hjfp1K6siGj3dz2xOH3ZQejfZBDLatB&#10;TyHcdHKh1Eoa3XJoaHRPm4bK7+JsEKZyNx72by9y93DYWj5tT5vi8xXx/i5STyA8XfyfGa74AR3y&#10;wHS0Z66c6BBmUfwY2D3CIlYrEFeLiuNwHRGWyyQBmWfy/4r8F1BLAwQUAAAACACHTuJARDAEG6cB&#10;AABGAwAADgAAAGRycy9lMm9Eb2MueG1srVLNjtMwEL4j8Q6W79RJxBIUNd1LtVwQrLTwAK5jN5b8&#10;p7HbpC8Ab8CJC3eeq8/B2A1dWC574OLMjL98M983Xt/O1pCjhKi962m9qiiRTvhBu31PP3+6e/WW&#10;kpi4G7jxTvb0JCO93bx8sZ5CJxs/ejNIIEjiYjeFno4phY6xKEZpeVz5IB1eKg+WJ0xhzwbgE7Jb&#10;w5qqesMmD0MAL2SMWN1eLunCCM8h9EppIbdeHKx06cIK0vCEkuKoQ6SbMq1SUqSPSkWZiOkpKk3l&#10;xCYY7/LJNmve7YGHUYtlBP6cEZ5oslw7bHql2vLEyQH0P1RWC/DRq7QS3rKLkOIIqqirJ948jDzI&#10;ogWtjuFqevx/tOLD8R6IHnraUOK4xYWfv309f/95/vGF1G32ZwqxQ9hDuIclixhmsbMCm78og8zF&#10;09PVUzknIrDY3rR1+xrtFnjXVE110xbX2ePvAWJ6J70lOegp4NKKl/z4PiZsidDfkNzN+TttTFmc&#10;cX8VEJgrLE98mTFHad7Ny+A7P5xQ7iGA3o/Yqs76ChztLY2Wp5D392deUI/Pf/ML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FgAAAGRycy9Q&#10;SwECFAAUAAAACACHTuJAr3+cUt0AAAANAQAADwAAAAAAAAABACAAAAA4AAAAZHJzL2Rvd25yZXYu&#10;eG1sUEsBAhQAFAAAAAgAh07iQEQwBBunAQAARgMAAA4AAAAAAAAAAQAgAAAAQgEAAGRycy9lMm9E&#10;b2MueG1sUEsFBgAAAAAGAAYAWQEAAFsFA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rect>
            </w:pict>
          </mc:Fallback>
        </mc:AlternateContent>
      </w:r>
    </w:p>
    <w:tbl>
      <w:tblPr>
        <w:tblStyle w:val="10"/>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2446.34</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1031.53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13.00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11.11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351.50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2446.34</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1407.14</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226.14</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1265.33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2672.47</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2672.47</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40" w:type="dxa"/>
        <w:jc w:val="center"/>
        <w:tblLayout w:type="fixed"/>
        <w:tblCellMar>
          <w:top w:w="0" w:type="dxa"/>
          <w:left w:w="0" w:type="dxa"/>
          <w:bottom w:w="0" w:type="dxa"/>
          <w:right w:w="0" w:type="dxa"/>
        </w:tblCellMar>
      </w:tblPr>
      <w:tblGrid>
        <w:gridCol w:w="337"/>
        <w:gridCol w:w="179"/>
        <w:gridCol w:w="257"/>
        <w:gridCol w:w="150"/>
        <w:gridCol w:w="116"/>
        <w:gridCol w:w="1324"/>
        <w:gridCol w:w="535"/>
        <w:gridCol w:w="261"/>
        <w:gridCol w:w="530"/>
        <w:gridCol w:w="289"/>
        <w:gridCol w:w="602"/>
        <w:gridCol w:w="218"/>
        <w:gridCol w:w="338"/>
        <w:gridCol w:w="480"/>
        <w:gridCol w:w="257"/>
        <w:gridCol w:w="562"/>
        <w:gridCol w:w="551"/>
        <w:gridCol w:w="924"/>
        <w:gridCol w:w="930"/>
      </w:tblGrid>
      <w:tr>
        <w:tblPrEx>
          <w:tblCellMar>
            <w:top w:w="0" w:type="dxa"/>
            <w:left w:w="0" w:type="dxa"/>
            <w:bottom w:w="0" w:type="dxa"/>
            <w:right w:w="0" w:type="dxa"/>
          </w:tblCellMar>
        </w:tblPrEx>
        <w:trPr>
          <w:trHeight w:val="716" w:hRule="atLeast"/>
          <w:jc w:val="center"/>
        </w:trPr>
        <w:tc>
          <w:tcPr>
            <w:tcW w:w="8840" w:type="dxa"/>
            <w:gridSpan w:val="19"/>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45" w:hRule="atLeast"/>
          <w:jc w:val="center"/>
        </w:trPr>
        <w:tc>
          <w:tcPr>
            <w:tcW w:w="33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23"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24"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3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61"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9"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9"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405"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05" w:hRule="atLeast"/>
          <w:jc w:val="center"/>
        </w:trPr>
        <w:tc>
          <w:tcPr>
            <w:tcW w:w="2898" w:type="dxa"/>
            <w:gridSpan w:val="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1"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9"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9"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405"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481" w:hRule="atLeast"/>
          <w:jc w:val="center"/>
        </w:trPr>
        <w:tc>
          <w:tcPr>
            <w:tcW w:w="2898" w:type="dxa"/>
            <w:gridSpan w:val="7"/>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791" w:type="dxa"/>
            <w:gridSpan w:val="2"/>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89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556"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737"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1113"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4"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30"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759" w:hRule="atLeast"/>
          <w:jc w:val="center"/>
        </w:trPr>
        <w:tc>
          <w:tcPr>
            <w:tcW w:w="92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975" w:type="dxa"/>
            <w:gridSpan w:val="3"/>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791" w:type="dxa"/>
            <w:gridSpan w:val="2"/>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89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56"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37"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1113"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4"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30"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571" w:hRule="atLeast"/>
          <w:jc w:val="center"/>
        </w:trPr>
        <w:tc>
          <w:tcPr>
            <w:tcW w:w="2898" w:type="dxa"/>
            <w:gridSpan w:val="7"/>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79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9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556"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737"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1113"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463" w:hRule="atLeast"/>
          <w:jc w:val="center"/>
        </w:trPr>
        <w:tc>
          <w:tcPr>
            <w:tcW w:w="2898" w:type="dxa"/>
            <w:gridSpan w:val="7"/>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79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2446.34</w:t>
            </w:r>
          </w:p>
        </w:tc>
        <w:tc>
          <w:tcPr>
            <w:tcW w:w="89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2446.34</w:t>
            </w:r>
          </w:p>
        </w:tc>
        <w:tc>
          <w:tcPr>
            <w:tcW w:w="556"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737"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1113"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4"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30"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7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2070.72</w:t>
            </w:r>
          </w:p>
        </w:tc>
        <w:tc>
          <w:tcPr>
            <w:tcW w:w="8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2070.72</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7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2070.72</w:t>
            </w:r>
          </w:p>
        </w:tc>
        <w:tc>
          <w:tcPr>
            <w:tcW w:w="8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2070.72</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5"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7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1559.86</w:t>
            </w:r>
          </w:p>
        </w:tc>
        <w:tc>
          <w:tcPr>
            <w:tcW w:w="8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1559.86</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2010399</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其他政府办公厅（室）及相关机构事务</w:t>
            </w:r>
          </w:p>
        </w:tc>
        <w:tc>
          <w:tcPr>
            <w:tcW w:w="7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510.86</w:t>
            </w:r>
          </w:p>
        </w:tc>
        <w:tc>
          <w:tcPr>
            <w:tcW w:w="8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510.86</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社会保障及就业支出</w:t>
            </w:r>
          </w:p>
        </w:tc>
        <w:tc>
          <w:tcPr>
            <w:tcW w:w="7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13.00</w:t>
            </w:r>
          </w:p>
        </w:tc>
        <w:tc>
          <w:tcPr>
            <w:tcW w:w="8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13.00</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7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7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7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11.11</w:t>
            </w:r>
          </w:p>
        </w:tc>
        <w:tc>
          <w:tcPr>
            <w:tcW w:w="8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11.11</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7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11.11</w:t>
            </w:r>
          </w:p>
        </w:tc>
        <w:tc>
          <w:tcPr>
            <w:tcW w:w="8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11.11</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7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11.11</w:t>
            </w:r>
          </w:p>
        </w:tc>
        <w:tc>
          <w:tcPr>
            <w:tcW w:w="8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11.11</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22"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7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351.50</w:t>
            </w:r>
          </w:p>
        </w:tc>
        <w:tc>
          <w:tcPr>
            <w:tcW w:w="8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351.50</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7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351.50</w:t>
            </w:r>
          </w:p>
        </w:tc>
        <w:tc>
          <w:tcPr>
            <w:tcW w:w="8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351.50</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44" w:hRule="atLeast"/>
          <w:jc w:val="center"/>
        </w:trPr>
        <w:tc>
          <w:tcPr>
            <w:tcW w:w="77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2120801</w:t>
            </w:r>
          </w:p>
        </w:tc>
        <w:tc>
          <w:tcPr>
            <w:tcW w:w="2125"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征地和拆迁补偿支出</w:t>
            </w:r>
          </w:p>
        </w:tc>
        <w:tc>
          <w:tcPr>
            <w:tcW w:w="7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351.50</w:t>
            </w:r>
          </w:p>
        </w:tc>
        <w:tc>
          <w:tcPr>
            <w:tcW w:w="89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351.50</w:t>
            </w:r>
          </w:p>
        </w:tc>
        <w:tc>
          <w:tcPr>
            <w:tcW w:w="55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3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95" w:hRule="atLeast"/>
          <w:jc w:val="center"/>
        </w:trPr>
        <w:tc>
          <w:tcPr>
            <w:tcW w:w="8840" w:type="dxa"/>
            <w:gridSpan w:val="19"/>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9000" w:type="dxa"/>
        <w:tblInd w:w="0" w:type="dxa"/>
        <w:tblLayout w:type="fixed"/>
        <w:tblCellMar>
          <w:top w:w="0" w:type="dxa"/>
          <w:left w:w="0" w:type="dxa"/>
          <w:bottom w:w="0" w:type="dxa"/>
          <w:right w:w="0" w:type="dxa"/>
        </w:tblCellMar>
      </w:tblPr>
      <w:tblGrid>
        <w:gridCol w:w="290"/>
        <w:gridCol w:w="289"/>
        <w:gridCol w:w="303"/>
        <w:gridCol w:w="283"/>
        <w:gridCol w:w="217"/>
        <w:gridCol w:w="1117"/>
        <w:gridCol w:w="647"/>
        <w:gridCol w:w="1118"/>
        <w:gridCol w:w="1120"/>
        <w:gridCol w:w="1118"/>
        <w:gridCol w:w="794"/>
        <w:gridCol w:w="326"/>
        <w:gridCol w:w="294"/>
        <w:gridCol w:w="1084"/>
      </w:tblGrid>
      <w:tr>
        <w:tblPrEx>
          <w:tblCellMar>
            <w:top w:w="0" w:type="dxa"/>
            <w:left w:w="0" w:type="dxa"/>
            <w:bottom w:w="0" w:type="dxa"/>
            <w:right w:w="0" w:type="dxa"/>
          </w:tblCellMar>
        </w:tblPrEx>
        <w:trPr>
          <w:trHeight w:val="798" w:hRule="atLeast"/>
        </w:trPr>
        <w:tc>
          <w:tcPr>
            <w:tcW w:w="9000" w:type="dxa"/>
            <w:gridSpan w:val="14"/>
            <w:tcBorders>
              <w:top w:val="nil"/>
              <w:left w:val="nil"/>
              <w:bottom w:val="nil"/>
              <w:right w:val="nil"/>
            </w:tcBorders>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3146" w:type="dxa"/>
            <w:gridSpan w:val="7"/>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18"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120"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18"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794"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620"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165"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98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18"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20"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18"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794"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620"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3146" w:type="dxa"/>
            <w:gridSpan w:val="7"/>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3146" w:type="dxa"/>
            <w:gridSpan w:val="7"/>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1407.14</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612.47</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794.67</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1031.53</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612.47</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419.07</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1031.53</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612.47</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419.07</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1012.50</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612.47</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400.04</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2010399</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其他政府办公厅（室）及相关机构事务</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19.03</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19.03</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社会保障及就业支出</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13.00</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13.00</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11.11</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11.11</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11.11</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11.11</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11.11</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11.11</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351.50</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351.50</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351.50</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351.50</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2120801</w:t>
            </w:r>
          </w:p>
        </w:tc>
        <w:tc>
          <w:tcPr>
            <w:tcW w:w="2264"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征地和拆迁补偿支出</w:t>
            </w: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351.50</w:t>
            </w:r>
          </w:p>
        </w:tc>
        <w:tc>
          <w:tcPr>
            <w:tcW w:w="11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351.50</w:t>
            </w:r>
          </w:p>
        </w:tc>
        <w:tc>
          <w:tcPr>
            <w:tcW w:w="79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4"/>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420" w:firstLineChars="200"/>
        <w:jc w:val="left"/>
        <w:sectPr>
          <w:pgSz w:w="11906" w:h="16838"/>
          <w:pgMar w:top="2098" w:right="1474" w:bottom="1984" w:left="1588" w:header="851" w:footer="992" w:gutter="0"/>
          <w:cols w:space="720" w:num="1"/>
          <w:docGrid w:type="lines" w:linePitch="312" w:charSpace="0"/>
        </w:sectPr>
      </w:pPr>
    </w:p>
    <w:tbl>
      <w:tblPr>
        <w:tblStyle w:val="10"/>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2094.83</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1031.53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1031.53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351.50</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13.00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13.00</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11.11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11.11</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351.50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351.50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2446.34</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1407.14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1407.14</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351.50</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226.14</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1265.33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1265.33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226.14</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2672.47</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2672.47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2320.97</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351.50</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60" w:type="dxa"/>
        <w:tblInd w:w="0" w:type="dxa"/>
        <w:tblLayout w:type="fixed"/>
        <w:tblCellMar>
          <w:top w:w="0" w:type="dxa"/>
          <w:left w:w="0" w:type="dxa"/>
          <w:bottom w:w="0" w:type="dxa"/>
          <w:right w:w="0" w:type="dxa"/>
        </w:tblCellMar>
      </w:tblPr>
      <w:tblGrid>
        <w:gridCol w:w="317"/>
        <w:gridCol w:w="319"/>
        <w:gridCol w:w="228"/>
        <w:gridCol w:w="129"/>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10"/>
            <w:tcBorders>
              <w:top w:val="nil"/>
              <w:left w:val="nil"/>
              <w:bottom w:val="nil"/>
              <w:right w:val="nil"/>
            </w:tcBorders>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6"/>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4"/>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4"/>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4"/>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b/>
                <w:color w:val="000000"/>
                <w:szCs w:val="21"/>
              </w:rPr>
            </w:pPr>
            <w:r>
              <w:rPr>
                <w:rFonts w:hint="eastAsia" w:ascii="宋体" w:hAnsi="宋体" w:cs="宋体"/>
                <w:b/>
                <w:color w:val="000000"/>
                <w:szCs w:val="21"/>
              </w:rPr>
              <w:t>1055.64</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b/>
                <w:color w:val="000000"/>
                <w:szCs w:val="21"/>
              </w:rPr>
            </w:pPr>
            <w:r>
              <w:rPr>
                <w:rFonts w:hint="eastAsia" w:ascii="宋体" w:hAnsi="宋体" w:cs="宋体"/>
                <w:b/>
                <w:color w:val="000000"/>
                <w:szCs w:val="21"/>
              </w:rPr>
              <w:t>612.47</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b/>
                <w:color w:val="000000"/>
                <w:szCs w:val="21"/>
              </w:rPr>
            </w:pPr>
            <w:r>
              <w:rPr>
                <w:rFonts w:hint="eastAsia" w:ascii="宋体" w:hAnsi="宋体" w:cs="宋体"/>
                <w:b/>
                <w:color w:val="000000"/>
                <w:szCs w:val="21"/>
              </w:rPr>
              <w:t>443.17</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hint="eastAsia" w:ascii="宋体" w:hAnsi="宋体" w:cs="宋体"/>
                <w:color w:val="000000"/>
                <w:szCs w:val="21"/>
              </w:rPr>
              <w:t>1031.63</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hint="eastAsia" w:ascii="宋体" w:hAnsi="宋体" w:cs="宋体"/>
                <w:color w:val="000000"/>
                <w:szCs w:val="21"/>
              </w:rPr>
              <w:t>612.47</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419.07</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hint="eastAsia" w:ascii="宋体" w:hAnsi="宋体" w:cs="宋体"/>
                <w:color w:val="000000"/>
                <w:szCs w:val="21"/>
              </w:rPr>
              <w:t>1031.53</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hint="eastAsia" w:ascii="宋体" w:hAnsi="宋体" w:cs="宋体"/>
                <w:color w:val="000000"/>
                <w:szCs w:val="21"/>
              </w:rPr>
              <w:t>612.47</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419.07</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hint="eastAsia" w:ascii="宋体" w:hAnsi="宋体" w:cs="宋体"/>
                <w:color w:val="000000"/>
                <w:szCs w:val="21"/>
              </w:rPr>
              <w:t>1012.50</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hint="eastAsia" w:ascii="宋体" w:hAnsi="宋体" w:cs="宋体"/>
                <w:color w:val="000000"/>
                <w:szCs w:val="21"/>
              </w:rPr>
              <w:t>612.47</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400.04</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2010399</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其他政府办公厅（室）及相关机构事务</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hint="eastAsia" w:ascii="宋体" w:hAnsi="宋体" w:cs="宋体"/>
                <w:color w:val="000000"/>
                <w:szCs w:val="21"/>
              </w:rPr>
              <w:t>19.03</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19.03</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社会保障及就业支出</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hint="eastAsia" w:ascii="宋体" w:hAnsi="宋体" w:cs="宋体"/>
                <w:color w:val="000000"/>
                <w:szCs w:val="21"/>
              </w:rPr>
              <w:t>13.00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13.00</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hint="eastAsia" w:ascii="宋体" w:hAnsi="宋体" w:cs="宋体"/>
                <w:color w:val="000000"/>
                <w:szCs w:val="21"/>
              </w:rPr>
              <w:t>11.11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11.11</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11.11</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hint="eastAsia" w:ascii="宋体" w:hAnsi="宋体" w:cs="宋体"/>
                <w:color w:val="000000"/>
                <w:szCs w:val="21"/>
              </w:rPr>
              <w:t>11.11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11.11</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11.11</w:t>
            </w:r>
          </w:p>
        </w:tc>
      </w:tr>
      <w:tr>
        <w:tblPrEx>
          <w:tblCellMar>
            <w:top w:w="0" w:type="dxa"/>
            <w:left w:w="0" w:type="dxa"/>
            <w:bottom w:w="0" w:type="dxa"/>
            <w:right w:w="0" w:type="dxa"/>
          </w:tblCellMar>
        </w:tblPrEx>
        <w:trPr>
          <w:trHeight w:val="368" w:hRule="atLeast"/>
        </w:trPr>
        <w:tc>
          <w:tcPr>
            <w:tcW w:w="86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22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1919" w:type="dxa"/>
            <w:gridSpan w:val="2"/>
            <w:tcBorders>
              <w:top w:val="nil"/>
              <w:left w:val="nil"/>
              <w:bottom w:val="single" w:color="000000" w:sz="4" w:space="0"/>
              <w:right w:val="single" w:color="000000" w:sz="4" w:space="0"/>
            </w:tcBorders>
            <w:tcMar>
              <w:top w:w="15" w:type="dxa"/>
              <w:left w:w="15" w:type="dxa"/>
              <w:right w:w="15" w:type="dxa"/>
            </w:tcMar>
          </w:tcPr>
          <w:p>
            <w:pPr>
              <w:autoSpaceDE w:val="0"/>
              <w:autoSpaceDN w:val="0"/>
              <w:jc w:val="right"/>
              <w:rPr>
                <w:rFonts w:ascii="宋体" w:hAnsi="宋体" w:cs="宋体"/>
                <w:color w:val="000000"/>
                <w:szCs w:val="21"/>
              </w:rPr>
            </w:pPr>
            <w:r>
              <w:rPr>
                <w:rFonts w:hint="eastAsia" w:ascii="宋体" w:hAnsi="宋体" w:cs="宋体"/>
                <w:color w:val="000000"/>
                <w:szCs w:val="21"/>
              </w:rPr>
              <w:t>11.11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11.11</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11.11</w:t>
            </w:r>
          </w:p>
        </w:tc>
      </w:tr>
      <w:tr>
        <w:tblPrEx>
          <w:tblCellMar>
            <w:top w:w="0" w:type="dxa"/>
            <w:left w:w="0" w:type="dxa"/>
            <w:bottom w:w="0" w:type="dxa"/>
            <w:right w:w="0" w:type="dxa"/>
          </w:tblCellMar>
        </w:tblPrEx>
        <w:trPr>
          <w:trHeight w:val="368" w:hRule="atLeast"/>
        </w:trPr>
        <w:tc>
          <w:tcPr>
            <w:tcW w:w="8860" w:type="dxa"/>
            <w:gridSpan w:val="10"/>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433.88</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87.65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352.74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0.50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0.01</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74.11</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0.50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7.03</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63.64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90.94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6.62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68.05</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16.26</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524.81</w:t>
            </w:r>
          </w:p>
        </w:tc>
        <w:tc>
          <w:tcPr>
            <w:tcW w:w="5328"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87.65</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widowControl/>
        <w:spacing w:after="0" w:line="560" w:lineRule="exact"/>
        <w:jc w:val="left"/>
        <w:rPr>
          <w:rFonts w:ascii="宋体" w:hAnsi="宋体" w:cs="宋体"/>
          <w:color w:val="000000"/>
          <w:kern w:val="0"/>
          <w:szCs w:val="21"/>
        </w:rPr>
        <w:sectPr>
          <w:pgSz w:w="11906" w:h="16838"/>
          <w:pgMar w:top="2098" w:right="1474" w:bottom="1984" w:left="1588" w:header="851" w:footer="992" w:gutter="0"/>
          <w:cols w:space="720" w:num="1"/>
          <w:docGrid w:type="lines" w:linePitch="312" w:charSpace="0"/>
        </w:sectPr>
      </w:pPr>
    </w:p>
    <w:tbl>
      <w:tblPr>
        <w:tblStyle w:val="10"/>
        <w:tblW w:w="8860" w:type="dxa"/>
        <w:tblInd w:w="0" w:type="dxa"/>
        <w:tblLayout w:type="fixed"/>
        <w:tblCellMar>
          <w:top w:w="0" w:type="dxa"/>
          <w:left w:w="0" w:type="dxa"/>
          <w:bottom w:w="0" w:type="dxa"/>
          <w:right w:w="0" w:type="dxa"/>
        </w:tblCellMar>
      </w:tblPr>
      <w:tblGrid>
        <w:gridCol w:w="296"/>
        <w:gridCol w:w="191"/>
        <w:gridCol w:w="284"/>
        <w:gridCol w:w="195"/>
        <w:gridCol w:w="669"/>
        <w:gridCol w:w="561"/>
        <w:gridCol w:w="981"/>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2"/>
            <w:tcBorders>
              <w:top w:val="nil"/>
              <w:left w:val="nil"/>
              <w:bottom w:val="nil"/>
              <w:right w:val="nil"/>
            </w:tcBorders>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7"/>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196"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98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771"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425" w:type="dxa"/>
            <w:gridSpan w:val="3"/>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98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771"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425"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8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771"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425"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8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196"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98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196"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98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b/>
                <w:color w:val="000000"/>
                <w:szCs w:val="21"/>
              </w:rPr>
            </w:pPr>
            <w:r>
              <w:rPr>
                <w:rFonts w:hint="eastAsia" w:ascii="宋体" w:hAnsi="宋体" w:cs="宋体"/>
                <w:b/>
                <w:color w:val="000000"/>
                <w:szCs w:val="21"/>
              </w:rPr>
              <w:t>351.50</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b/>
                <w:color w:val="000000"/>
                <w:szCs w:val="21"/>
              </w:rPr>
            </w:pPr>
            <w:r>
              <w:rPr>
                <w:rFonts w:hint="eastAsia" w:ascii="宋体" w:hAnsi="宋体" w:cs="宋体"/>
                <w:b/>
                <w:color w:val="000000"/>
                <w:szCs w:val="21"/>
              </w:rPr>
              <w:t>351.50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b/>
                <w:color w:val="000000"/>
                <w:szCs w:val="21"/>
              </w:rPr>
            </w:pPr>
            <w:r>
              <w:rPr>
                <w:rFonts w:hint="eastAsia" w:ascii="宋体" w:hAnsi="宋体" w:cs="宋体"/>
                <w:b/>
                <w:color w:val="000000"/>
                <w:szCs w:val="21"/>
              </w:rPr>
              <w:t>351.50</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77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142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98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351.50</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351.50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351.50</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77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142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98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351.50</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351.50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351.50</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77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2120801</w:t>
            </w:r>
          </w:p>
        </w:tc>
        <w:tc>
          <w:tcPr>
            <w:tcW w:w="142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征地和拆迁补偿支出</w:t>
            </w:r>
          </w:p>
        </w:tc>
        <w:tc>
          <w:tcPr>
            <w:tcW w:w="98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351.50</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351.50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351.50</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2"/>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p>
        </w:tc>
      </w:tr>
    </w:tbl>
    <w:p>
      <w:pPr>
        <w:widowControl/>
        <w:spacing w:after="0" w:line="560" w:lineRule="exact"/>
        <w:ind w:firstLine="440" w:firstLineChars="200"/>
        <w:jc w:val="left"/>
        <w:rPr>
          <w:rFonts w:ascii="宋体" w:hAnsi="宋体" w:cs="宋体"/>
          <w:color w:val="000000"/>
          <w:kern w:val="0"/>
          <w:sz w:val="22"/>
          <w:szCs w:val="22"/>
        </w:rPr>
        <w:sectPr>
          <w:pgSz w:w="11906" w:h="16838"/>
          <w:pgMar w:top="2098" w:right="1474" w:bottom="1984" w:left="1588" w:header="851" w:footer="992" w:gutter="0"/>
          <w:cols w:space="720" w:num="1"/>
          <w:docGrid w:type="lines" w:linePitch="312" w:charSpace="0"/>
        </w:sectPr>
      </w:pPr>
      <w:r>
        <w:rPr>
          <w:rFonts w:hint="eastAsia" w:ascii="宋体" w:hAnsi="宋体" w:cs="宋体"/>
          <w:color w:val="000000"/>
          <w:kern w:val="0"/>
          <w:sz w:val="22"/>
          <w:szCs w:val="22"/>
        </w:rPr>
        <w:t>本部门本年度无相关收入（或支出、收支及结转结余等）情况，按要求空表列示。</w:t>
      </w:r>
    </w:p>
    <w:tbl>
      <w:tblPr>
        <w:tblStyle w:val="10"/>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611"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63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55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264.68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264.68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264.68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263.83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263.83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263.83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w:t>
            </w:r>
          </w:p>
        </w:tc>
      </w:tr>
    </w:tbl>
    <w:p/>
    <w:p/>
    <w:p>
      <w:pPr>
        <w:tabs>
          <w:tab w:val="left" w:pos="1086"/>
        </w:tabs>
        <w:jc w:val="left"/>
        <w:sectPr>
          <w:pgSz w:w="11906" w:h="16838"/>
          <w:pgMar w:top="2098" w:right="1474" w:bottom="1984" w:left="1588" w:header="851" w:footer="992" w:gutter="0"/>
          <w:cols w:space="720" w:num="1"/>
          <w:docGrid w:type="lines" w:linePitch="312" w:charSpace="0"/>
        </w:sectPr>
      </w:pP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-1005205</wp:posOffset>
            </wp:positionH>
            <wp:positionV relativeFrom="paragraph">
              <wp:posOffset>-1334135</wp:posOffset>
            </wp:positionV>
            <wp:extent cx="7550150" cy="10680065"/>
            <wp:effectExtent l="0" t="0" r="12700" b="6985"/>
            <wp:wrapNone/>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1"/>
                    </pic:cNvPicPr>
                  </pic:nvPicPr>
                  <pic:blipFill>
                    <a:blip r:embed="rId7"/>
                    <a:stretch>
                      <a:fillRect/>
                    </a:stretch>
                  </pic:blipFill>
                  <pic:spPr>
                    <a:xfrm>
                      <a:off x="0" y="0"/>
                      <a:ext cx="7550150" cy="10680065"/>
                    </a:xfrm>
                    <a:prstGeom prst="rect">
                      <a:avLst/>
                    </a:prstGeom>
                    <a:noFill/>
                    <a:ln>
                      <a:noFill/>
                    </a:ln>
                  </pic:spPr>
                </pic:pic>
              </a:graphicData>
            </a:graphic>
          </wp:anchor>
        </w:drawing>
      </w:r>
      <w:r>
        <w:rPr>
          <w:sz w:val="72"/>
        </w:rPr>
        <mc:AlternateContent>
          <mc:Choice Requires="wps">
            <w:drawing>
              <wp:anchor distT="0" distB="0" distL="114300" distR="114300" simplePos="0" relativeHeight="251661312" behindDoc="0" locked="0" layoutInCell="1" allowOverlap="1">
                <wp:simplePos x="0" y="0"/>
                <wp:positionH relativeFrom="column">
                  <wp:posOffset>-995680</wp:posOffset>
                </wp:positionH>
                <wp:positionV relativeFrom="paragraph">
                  <wp:posOffset>2956560</wp:posOffset>
                </wp:positionV>
                <wp:extent cx="7571740" cy="2020570"/>
                <wp:effectExtent l="0" t="0" r="0" b="0"/>
                <wp:wrapNone/>
                <wp:docPr id="3" name="文本框 5"/>
                <wp:cNvGraphicFramePr/>
                <a:graphic xmlns:a="http://schemas.openxmlformats.org/drawingml/2006/main">
                  <a:graphicData uri="http://schemas.microsoft.com/office/word/2010/wordprocessingShape">
                    <wps:wsp>
                      <wps:cNvSpPr/>
                      <wps:spPr>
                        <a:xfrm>
                          <a:off x="0" y="0"/>
                          <a:ext cx="7571740" cy="2020570"/>
                        </a:xfrm>
                        <a:prstGeom prst="rect">
                          <a:avLst/>
                        </a:prstGeom>
                        <a:noFill/>
                        <a:ln>
                          <a:noFill/>
                        </a:ln>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wps:txbx>
                      <wps:bodyPr upright="1"/>
                    </wps:wsp>
                  </a:graphicData>
                </a:graphic>
              </wp:anchor>
            </w:drawing>
          </mc:Choice>
          <mc:Fallback>
            <w:pict>
              <v:rect id="文本框 5" o:spid="_x0000_s1026" o:spt="1" style="position:absolute;left:0pt;margin-left:-78.4pt;margin-top:232.8pt;height:159.1pt;width:596.2pt;z-index:251661312;mso-width-relative:page;mso-height-relative:page;" filled="f" stroked="f" coordsize="21600,21600" o:gfxdata="UEsFBgAAAAAAAAAAAAAAAAAAAAAAAFBLAwQKAAAAAACHTuJAAAAAAAAAAAAAAAAABAAAAGRycy9Q&#10;SwMEFAAAAAgAh07iQFF4ZbXdAAAADQEAAA8AAABkcnMvZG93bnJldi54bWxNj8FOwzAQRO9I/IO1&#10;SFxQa4fSNArZ9FAJUSGkipT27MYmiYjXaewm5e9xTnDb0Y5m3mTrq2nZoHvXWEKI5gKYptKqhiqE&#10;z/3LLAHmvCQlW0sa4Uc7WOe3N5lMlR3pQw+Fr1gIIZdKhNr7LuXclbU20s1tpyn8vmxvpA+yr7jq&#10;5RjCTcsfhYi5kQ2Fhlp2elPr8ru4GISx3A3H/fsr3z0ct5bO2/OmOLwh3t9F4hmY11f/Z4YJP6BD&#10;HphO9kLKsRZhFi3jwO4RnuJlDGyyiMV0nRBWySIBnmf8/4r8F1BLAwQUAAAACACHTuJAeccoIKcB&#10;AABFAwAADgAAAGRycy9lMm9Eb2MueG1srVJLjhMxEN0jcQfLe+JOIAS10plNNGwQjDRwAMftTlvy&#10;T1VOunMBuAErNuw5V85B2enJwLCZBRt3Vfn1q3qvvL4ZnWVHDWiCb/h8VnGmvQqt8fuGf/l8++od&#10;Z5ikb6UNXjf8pJHfbF6+WA+x1ovQB9tqYETisR5iw/uUYi0Eql47ibMQtafLLoCTiVLYixbkQOzO&#10;ikVVvRVDgDZCUBqRqtvLJZ8Y4TmEoeuM0tugDk77dGEFbWUiSdibiHxTpu06rdKnrkOdmG04KU3l&#10;pCYU7/IpNmtZ70HG3qhpBPmcEZ5octJ4anql2sok2QHMP1TOKAgYujRTwYmLkOIIqZhXT7y572XU&#10;RQtZjfFqOv4/WvXxeAfMtA1/zZmXjhZ+/v7t/OPX+edXtsz2DBFrQt3HO5gypDBrHTtw+Usq2Fgs&#10;PV0t1WNiioqr5Wq+ekNuK7pbVItquSqmi8ffI2B6r4NjOWg40M6KlfL4ARO1JOgDJHfz4dZYW/Zm&#10;/V8FAuaKyBNfZsxRGnfjNPgutCdSe4hg9j21mmd9BU7ulkbTS8jr+zMvqMfXv/kN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FgAAAGRycy9Q&#10;SwECFAAUAAAACACHTuJAUXhltd0AAAANAQAADwAAAAAAAAABACAAAAA4AAAAZHJzL2Rvd25yZXYu&#10;eG1sUEsBAhQAFAAAAAgAh07iQHnHKCCnAQAARQMAAA4AAAAAAAAAAQAgAAAAQgEAAGRycy9lMm9E&#10;b2MueG1sUEsFBgAAAAAGAAYAWQEAAFsFA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rect>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本部门2018年度收支总计（含结转和结余）2672.47万元。与2017年度决算相比，收支各增加904.36万元，增长51.15%，主要原因是行政运行支出增加，项目支出增加。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本部门2018年度本年收入合计2446.34万元，其中：财政拨款收入2466.34万元，占100%；无事业收入、经营收入及其他收入。如图所示：</w:t>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70528" behindDoc="1" locked="0" layoutInCell="1" allowOverlap="1">
            <wp:simplePos x="0" y="0"/>
            <wp:positionH relativeFrom="column">
              <wp:posOffset>553720</wp:posOffset>
            </wp:positionH>
            <wp:positionV relativeFrom="paragraph">
              <wp:posOffset>245745</wp:posOffset>
            </wp:positionV>
            <wp:extent cx="4343400" cy="2657475"/>
            <wp:effectExtent l="0" t="0" r="0" b="9525"/>
            <wp:wrapTight wrapText="bothSides">
              <wp:wrapPolygon>
                <wp:start x="-47" y="0"/>
                <wp:lineTo x="-47" y="21523"/>
                <wp:lineTo x="21600" y="21523"/>
                <wp:lineTo x="21600" y="0"/>
                <wp:lineTo x="-47" y="0"/>
              </wp:wrapPolygon>
            </wp:wrapTight>
            <wp:docPr id="12" name="图片 19" descr="图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9" descr="图一"/>
                    <pic:cNvPicPr>
                      <a:picLocks noChangeAspect="1"/>
                    </pic:cNvPicPr>
                  </pic:nvPicPr>
                  <pic:blipFill>
                    <a:blip r:embed="rId8"/>
                    <a:stretch>
                      <a:fillRect/>
                    </a:stretch>
                  </pic:blipFill>
                  <pic:spPr>
                    <a:xfrm>
                      <a:off x="0" y="0"/>
                      <a:ext cx="4343400" cy="2657475"/>
                    </a:xfrm>
                    <a:prstGeom prst="rect">
                      <a:avLst/>
                    </a:prstGeom>
                    <a:noFill/>
                    <a:ln>
                      <a:noFill/>
                    </a:ln>
                  </pic:spPr>
                </pic:pic>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本部门2018年度本年支出合计1407.14万元，其中：基本支出612.47万元，占43.53%；项目支出794.67万元，占56.47%；无经营支出。如图所示：</w:t>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71552" behindDoc="1" locked="0" layoutInCell="1" allowOverlap="1">
            <wp:simplePos x="0" y="0"/>
            <wp:positionH relativeFrom="column">
              <wp:posOffset>925195</wp:posOffset>
            </wp:positionH>
            <wp:positionV relativeFrom="paragraph">
              <wp:posOffset>77470</wp:posOffset>
            </wp:positionV>
            <wp:extent cx="4010025" cy="2419350"/>
            <wp:effectExtent l="0" t="0" r="9525" b="0"/>
            <wp:wrapTight wrapText="bothSides">
              <wp:wrapPolygon>
                <wp:start x="-51" y="0"/>
                <wp:lineTo x="-51" y="21515"/>
                <wp:lineTo x="21600" y="21515"/>
                <wp:lineTo x="21600" y="0"/>
                <wp:lineTo x="-51" y="0"/>
              </wp:wrapPolygon>
            </wp:wrapTight>
            <wp:docPr id="13" name="图片 21" descr="图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21" descr="图二"/>
                    <pic:cNvPicPr>
                      <a:picLocks noChangeAspect="1"/>
                    </pic:cNvPicPr>
                  </pic:nvPicPr>
                  <pic:blipFill>
                    <a:blip r:embed="rId9"/>
                    <a:stretch>
                      <a:fillRect/>
                    </a:stretch>
                  </pic:blipFill>
                  <pic:spPr>
                    <a:xfrm>
                      <a:off x="0" y="0"/>
                      <a:ext cx="4010025" cy="2419350"/>
                    </a:xfrm>
                    <a:prstGeom prst="rect">
                      <a:avLst/>
                    </a:prstGeom>
                    <a:noFill/>
                    <a:ln>
                      <a:noFill/>
                    </a:ln>
                  </pic:spPr>
                </pic:pic>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本部门2018年度财政拨款本年收入2446.34万元,比2017年度增加678.23万元，增长38.36%，主要是预算增加；本年支出1407.14万元，减少134.84万元，减少8.74%，主要是其他政府办公室及相关机构事务支出减少。</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2094.83万元，比上年增加636.65万元；主要是预算增加，拨款增加；本年支出1055.64万元，比上年减少17.64万元，减少1.43%，主要是农林水支出减少。政府性基金预算财政拨款本年收入351.50万元，比上年增加41.57万元，增长13.41%，主要原因是增加政府性基金项目；本年支出351.50万元，比上年增加41.57万元，增长13.41%，主要是增加政府性基金项目。</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72576" behindDoc="1" locked="0" layoutInCell="1" allowOverlap="1">
            <wp:simplePos x="0" y="0"/>
            <wp:positionH relativeFrom="column">
              <wp:posOffset>543560</wp:posOffset>
            </wp:positionH>
            <wp:positionV relativeFrom="paragraph">
              <wp:posOffset>-93980</wp:posOffset>
            </wp:positionV>
            <wp:extent cx="4591050" cy="2847975"/>
            <wp:effectExtent l="0" t="0" r="0" b="9525"/>
            <wp:wrapTight wrapText="bothSides">
              <wp:wrapPolygon>
                <wp:start x="-45" y="0"/>
                <wp:lineTo x="-45" y="21528"/>
                <wp:lineTo x="21600" y="21528"/>
                <wp:lineTo x="21600" y="0"/>
                <wp:lineTo x="-45" y="0"/>
              </wp:wrapPolygon>
            </wp:wrapTight>
            <wp:docPr id="14" name="图片 23" descr="图三"/>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3" descr="图三"/>
                    <pic:cNvPicPr>
                      <a:picLocks noChangeAspect="1"/>
                    </pic:cNvPicPr>
                  </pic:nvPicPr>
                  <pic:blipFill>
                    <a:blip r:embed="rId10"/>
                    <a:stretch>
                      <a:fillRect/>
                    </a:stretch>
                  </pic:blipFill>
                  <pic:spPr>
                    <a:xfrm>
                      <a:off x="0" y="0"/>
                      <a:ext cx="4591050" cy="2847975"/>
                    </a:xfrm>
                    <a:prstGeom prst="rect">
                      <a:avLst/>
                    </a:prstGeom>
                    <a:noFill/>
                    <a:ln>
                      <a:noFill/>
                    </a:ln>
                  </pic:spPr>
                </pic:pic>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仿宋_GB2312" w:eastAsia="仿宋_GB2312" w:cs="DengXian-Bold"/>
          <w:b/>
          <w:bCs/>
          <w:color w:val="FF0000"/>
          <w:sz w:val="32"/>
          <w:szCs w:val="32"/>
          <w:shd w:val="pct10" w:color="auto" w:fill="FFFFFF"/>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2446.34万元，完成年初预算的479.26%,比年初预算增加2024.02万元，决算数大于预算数主要原因是人员经费和日常公用经费及项目支出预估过少；本年支出1407.14万元，完成年初预算的233.19%,比年初预算增加984.82万元，决算数大于预算数主要原因是主要是人员经费和日常公用经费及项目支出预估过少。</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其中，一般公共预算财政拨款本年收入2094.83万元，完成年初预算396.03%，比年初预算增加1672.51万元，主要</w:t>
      </w:r>
      <w:r>
        <w:rPr>
          <w:rFonts w:hint="eastAsia" w:ascii="仿宋_GB2312" w:eastAsia="仿宋_GB2312" w:cs="DengXian-Regular"/>
          <w:sz w:val="32"/>
          <w:szCs w:val="32"/>
          <w:lang w:eastAsia="zh-CN"/>
        </w:rPr>
        <w:t>是</w:t>
      </w:r>
      <w:r>
        <w:rPr>
          <w:rFonts w:hint="eastAsia" w:ascii="仿宋_GB2312" w:eastAsia="仿宋_GB2312" w:cs="DengXian-Regular"/>
          <w:sz w:val="32"/>
          <w:szCs w:val="32"/>
        </w:rPr>
        <w:t>人员经费和日常公用经费及项目支出预估过少；支出1055.64万元，完成年初预算149.96%，比年初预算增加633.32万元，主要</w:t>
      </w:r>
      <w:r>
        <w:rPr>
          <w:rFonts w:hint="eastAsia" w:ascii="仿宋_GB2312" w:eastAsia="仿宋_GB2312" w:cs="DengXian-Regular"/>
          <w:sz w:val="32"/>
          <w:szCs w:val="32"/>
          <w:lang w:eastAsia="zh-CN"/>
        </w:rPr>
        <w:t>是</w:t>
      </w:r>
      <w:r>
        <w:rPr>
          <w:rFonts w:hint="eastAsia" w:ascii="仿宋_GB2312" w:eastAsia="仿宋_GB2312" w:cs="DengXian-Regular"/>
          <w:sz w:val="32"/>
          <w:szCs w:val="32"/>
        </w:rPr>
        <w:t>人员经费和日常公用经费及项目支出预估过少。政府性基金预算财政拨款本年收入351.50万元，完成年初预算100%，比年初预算增加351.50万元，主要是本部门2018年度有相关收入情况，上年度没有；支出351.50万元，完成年初预算100%，比年初预算增加351.50万元，主要是本部门2018年度有相关收入情况，上年度</w:t>
      </w:r>
      <w:r>
        <w:drawing>
          <wp:anchor distT="0" distB="0" distL="114300" distR="114300" simplePos="0" relativeHeight="251674624" behindDoc="1" locked="0" layoutInCell="1" allowOverlap="1">
            <wp:simplePos x="0" y="0"/>
            <wp:positionH relativeFrom="column">
              <wp:posOffset>410210</wp:posOffset>
            </wp:positionH>
            <wp:positionV relativeFrom="paragraph">
              <wp:posOffset>1211580</wp:posOffset>
            </wp:positionV>
            <wp:extent cx="4592955" cy="3500120"/>
            <wp:effectExtent l="0" t="0" r="17145" b="5080"/>
            <wp:wrapTight wrapText="bothSides">
              <wp:wrapPolygon>
                <wp:start x="-45" y="0"/>
                <wp:lineTo x="-45" y="21541"/>
                <wp:lineTo x="21600" y="21541"/>
                <wp:lineTo x="21600" y="0"/>
                <wp:lineTo x="-45" y="0"/>
              </wp:wrapPolygon>
            </wp:wrapTight>
            <wp:docPr id="16" name="图片 27" descr="图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27" descr="图六"/>
                    <pic:cNvPicPr>
                      <a:picLocks noChangeAspect="1"/>
                    </pic:cNvPicPr>
                  </pic:nvPicPr>
                  <pic:blipFill>
                    <a:blip r:embed="rId11"/>
                    <a:stretch>
                      <a:fillRect/>
                    </a:stretch>
                  </pic:blipFill>
                  <pic:spPr>
                    <a:xfrm>
                      <a:off x="0" y="0"/>
                      <a:ext cx="4592955" cy="3500120"/>
                    </a:xfrm>
                    <a:prstGeom prst="rect">
                      <a:avLst/>
                    </a:prstGeom>
                    <a:noFill/>
                    <a:ln>
                      <a:noFill/>
                    </a:ln>
                  </pic:spPr>
                </pic:pic>
              </a:graphicData>
            </a:graphic>
          </wp:anchor>
        </w:drawing>
      </w:r>
      <w:r>
        <w:rPr>
          <w:rFonts w:hint="eastAsia" w:ascii="仿宋_GB2312" w:eastAsia="仿宋_GB2312" w:cs="DengXian-Regular"/>
          <w:sz w:val="32"/>
          <w:szCs w:val="32"/>
        </w:rPr>
        <w:t>没有。</w:t>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年度财政拨款支出1407.14万元，主要用于以下方面：一般公共服务支出1031.53万元，占73.31%；社会保障和就业支出13.00万元，占0.92%；节能环保支出11.11万元，占0.79%;城乡社区支出351.50万元，占24.98%。如图所示:</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73600" behindDoc="1" locked="0" layoutInCell="1" allowOverlap="1">
            <wp:simplePos x="0" y="0"/>
            <wp:positionH relativeFrom="column">
              <wp:posOffset>649605</wp:posOffset>
            </wp:positionH>
            <wp:positionV relativeFrom="paragraph">
              <wp:posOffset>-231140</wp:posOffset>
            </wp:positionV>
            <wp:extent cx="4410075" cy="3095625"/>
            <wp:effectExtent l="0" t="0" r="9525" b="9525"/>
            <wp:wrapTight wrapText="bothSides">
              <wp:wrapPolygon>
                <wp:start x="-47" y="0"/>
                <wp:lineTo x="-47" y="21534"/>
                <wp:lineTo x="21600" y="21534"/>
                <wp:lineTo x="21600" y="0"/>
                <wp:lineTo x="-47" y="0"/>
              </wp:wrapPolygon>
            </wp:wrapTight>
            <wp:docPr id="15" name="图片 25" descr="图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5" descr="图五"/>
                    <pic:cNvPicPr>
                      <a:picLocks noChangeAspect="1"/>
                    </pic:cNvPicPr>
                  </pic:nvPicPr>
                  <pic:blipFill>
                    <a:blip r:embed="rId12"/>
                    <a:stretch>
                      <a:fillRect/>
                    </a:stretch>
                  </pic:blipFill>
                  <pic:spPr>
                    <a:xfrm>
                      <a:off x="0" y="0"/>
                      <a:ext cx="4410075" cy="3095625"/>
                    </a:xfrm>
                    <a:prstGeom prst="rect">
                      <a:avLst/>
                    </a:prstGeom>
                    <a:noFill/>
                    <a:ln>
                      <a:noFill/>
                    </a:ln>
                  </pic:spPr>
                </pic:pic>
              </a:graphicData>
            </a:graphic>
          </wp:anchor>
        </w:drawing>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612.46万元，其中：人员经费524.81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87.65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adjustRightInd w:val="0"/>
        <w:snapToGrid w:val="0"/>
        <w:spacing w:after="0" w:line="580" w:lineRule="exact"/>
        <w:ind w:firstLine="643" w:firstLineChars="200"/>
        <w:rPr>
          <w:rFonts w:ascii="仿宋" w:hAnsi="仿宋" w:eastAsia="仿宋"/>
          <w:b/>
          <w:bCs/>
          <w:sz w:val="32"/>
        </w:rPr>
      </w:pPr>
      <w:r>
        <w:rPr>
          <w:rFonts w:hint="eastAsia" w:ascii="仿宋" w:hAnsi="仿宋" w:eastAsia="仿宋"/>
          <w:b/>
          <w:sz w:val="32"/>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本部门2018年度“三公”经费支出共计2万元，</w:t>
      </w:r>
      <w:r>
        <w:rPr>
          <w:rFonts w:hint="eastAsia" w:ascii="仿宋_GB2312" w:eastAsia="仿宋_GB2312" w:cs="DengXian-Regular"/>
          <w:b/>
          <w:bCs/>
          <w:sz w:val="32"/>
          <w:szCs w:val="32"/>
        </w:rPr>
        <w:t>较年初预算减少1万元，降低33.33%，</w:t>
      </w:r>
      <w:r>
        <w:rPr>
          <w:rFonts w:hint="eastAsia" w:ascii="仿宋_GB2312" w:eastAsia="仿宋_GB2312" w:cs="DengXian-Regular"/>
          <w:sz w:val="32"/>
          <w:szCs w:val="32"/>
        </w:rPr>
        <w:t>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本部门2018年度因公出国（境）团组0个、共0人,因公出国费支出0万元，与年初预算持平，无增减变化。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（二）公务用车购置及运行维护费支出2万元。</w:t>
      </w:r>
      <w:r>
        <w:rPr>
          <w:rFonts w:hint="eastAsia" w:ascii="仿宋_GB2312" w:eastAsia="仿宋_GB2312" w:cs="DengXian-Regular"/>
          <w:sz w:val="32"/>
          <w:szCs w:val="32"/>
        </w:rPr>
        <w:t>本部门2018年度公务用车购置及运行维护费较年初预算减少1万元，降低33.33%,主要是认真贯彻落实中央</w:t>
      </w:r>
      <w:bookmarkStart w:id="0" w:name="_GoBack"/>
      <w:r>
        <w:rPr>
          <w:rFonts w:hint="default" w:ascii="仿宋_GB2312" w:eastAsia="仿宋_GB2312" w:cs="DengXian-Regular"/>
          <w:sz w:val="32"/>
          <w:szCs w:val="32"/>
          <w:lang w:val="en-US"/>
        </w:rPr>
        <w:t>八项规定</w:t>
      </w:r>
      <w:bookmarkEnd w:id="0"/>
      <w:r>
        <w:rPr>
          <w:rFonts w:hint="eastAsia" w:ascii="仿宋_GB2312" w:eastAsia="仿宋_GB2312" w:cs="DengXian-Regular"/>
          <w:sz w:val="32"/>
          <w:szCs w:val="32"/>
        </w:rPr>
        <w:t>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本部门2018年度公务用车购置量0辆，发生“公务用车购置”经费支出0万元。公务用车购置费支出较年初预算持平，无增减变化。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本部门2018年度单位公务用车保有量1辆。公车运行维护费支出2万元，较年初预算减少1万元，降低33.33%,主要是认真贯彻落实中央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本部门2018年度公务接待共0批次、0人次。公务接待费支出0元，与年初预算持平，无增减变化。</w:t>
      </w:r>
    </w:p>
    <w:p>
      <w:pPr>
        <w:pStyle w:val="3"/>
        <w:spacing w:before="0" w:after="0" w:line="580" w:lineRule="exact"/>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r>
        <w:rPr>
          <w:rFonts w:hint="eastAsia" w:ascii="仿宋_GB2312" w:eastAsia="仿宋_GB2312" w:cs="DengXian-Regular"/>
          <w:sz w:val="32"/>
          <w:szCs w:val="32"/>
          <w:shd w:val="clear" w:color="auto" w:fill="FFFFFF"/>
        </w:rPr>
        <w:t>。</w:t>
      </w:r>
      <w:r>
        <w:rPr>
          <w:rFonts w:hint="eastAsia" w:ascii="仿宋_GB2312" w:eastAsia="仿宋_GB2312" w:cs="DengXian-Regular"/>
          <w:sz w:val="32"/>
          <w:szCs w:val="32"/>
        </w:rPr>
        <w:t>根据预算绩效管理要求，本单位组织对2018年度项目支出全面开展绩效自评，涉及合同工工资、涉军岗位津贴2个项目，涉及资金87万元。从评价情况看，评价结果为优秀的项目有0个，良好的项目有0个，一般的项目有2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本部门项目支出符合单位职责和相关管理规定，绩效目标合理，项目较好的完成了目标任务，达到了预期目标。</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本部门涉军岗位津贴项目绩效自评：</w:t>
      </w:r>
    </w:p>
    <w:p>
      <w:pPr>
        <w:ind w:firstLine="537" w:firstLineChars="168"/>
        <w:rPr>
          <w:rFonts w:ascii="仿宋_GB2312" w:eastAsia="仿宋_GB2312" w:cs="DengXian-Regular"/>
          <w:sz w:val="32"/>
          <w:szCs w:val="32"/>
        </w:rPr>
      </w:pPr>
      <w:r>
        <w:rPr>
          <w:rFonts w:hint="eastAsia" w:ascii="仿宋_GB2312" w:eastAsia="仿宋_GB2312" w:cs="DengXian-Regular"/>
          <w:sz w:val="32"/>
          <w:szCs w:val="32"/>
        </w:rPr>
        <w:t>1.项目基本性质、用途和主要内容、涉及范围。</w:t>
      </w:r>
      <w:r>
        <w:rPr>
          <w:rFonts w:hint="eastAsia" w:ascii="仿宋_GB2312" w:eastAsia="仿宋_GB2312" w:cs="DengXian-Regular"/>
          <w:sz w:val="32"/>
          <w:szCs w:val="32"/>
        </w:rPr>
        <w:br w:type="textWrapping"/>
      </w:r>
      <w:r>
        <w:rPr>
          <w:rFonts w:hint="eastAsia" w:ascii="仿宋_GB2312" w:eastAsia="仿宋_GB2312" w:cs="DengXian-Regular"/>
          <w:sz w:val="32"/>
          <w:szCs w:val="32"/>
        </w:rPr>
        <w:t>   涉军岗位津贴资金严格按照相关政策依据，配合县财政局、民政局、退役军人事务局等有关部门做好退役军人维稳工作和涉军群体管理服务工作。</w:t>
      </w:r>
      <w:r>
        <w:rPr>
          <w:rFonts w:hint="eastAsia" w:ascii="仿宋_GB2312" w:eastAsia="仿宋_GB2312" w:cs="DengXian-Regular"/>
          <w:sz w:val="32"/>
          <w:szCs w:val="32"/>
        </w:rPr>
        <w:br w:type="textWrapping"/>
      </w:r>
      <w:r>
        <w:rPr>
          <w:rFonts w:hint="eastAsia" w:ascii="仿宋_GB2312" w:eastAsia="仿宋_GB2312" w:cs="DengXian-Regular"/>
          <w:sz w:val="32"/>
          <w:szCs w:val="32"/>
        </w:rPr>
        <w:t>    2.项目资金使用情况</w:t>
      </w:r>
      <w:r>
        <w:rPr>
          <w:rFonts w:hint="eastAsia" w:ascii="仿宋_GB2312" w:eastAsia="仿宋_GB2312" w:cs="DengXian-Regular"/>
          <w:sz w:val="32"/>
          <w:szCs w:val="32"/>
        </w:rPr>
        <w:br w:type="textWrapping"/>
      </w:r>
      <w:r>
        <w:rPr>
          <w:rFonts w:hint="eastAsia" w:ascii="仿宋_GB2312" w:eastAsia="仿宋_GB2312" w:cs="DengXian-Regular"/>
          <w:sz w:val="32"/>
          <w:szCs w:val="32"/>
        </w:rPr>
        <w:t>该项目县级预算资金919643.47元，用于发放退役军人一次性生活补助230000元、医保补助款146083.47元、涉军人员岗位津贴543560元。</w:t>
      </w:r>
      <w:r>
        <w:rPr>
          <w:rFonts w:hint="default" w:ascii="仿宋_GB2312" w:eastAsia="仿宋_GB2312" w:cs="DengXian-Regular"/>
          <w:sz w:val="32"/>
          <w:szCs w:val="32"/>
          <w:lang w:val="en-US"/>
        </w:rPr>
        <w:t>截至</w:t>
      </w:r>
      <w:r>
        <w:rPr>
          <w:rFonts w:hint="eastAsia" w:ascii="仿宋_GB2312" w:eastAsia="仿宋_GB2312" w:cs="DengXian-Regular"/>
          <w:sz w:val="32"/>
          <w:szCs w:val="32"/>
        </w:rPr>
        <w:t>2018年12月31日，项目资金全部发放到位。</w:t>
      </w:r>
      <w:r>
        <w:rPr>
          <w:rFonts w:hint="eastAsia" w:ascii="仿宋_GB2312" w:eastAsia="仿宋_GB2312" w:cs="DengXian-Regular"/>
          <w:sz w:val="32"/>
          <w:szCs w:val="32"/>
        </w:rPr>
        <w:br w:type="textWrapping"/>
      </w:r>
      <w:r>
        <w:rPr>
          <w:rFonts w:hint="eastAsia" w:ascii="仿宋_GB2312" w:eastAsia="仿宋_GB2312" w:cs="DengXian-Regular"/>
          <w:sz w:val="32"/>
          <w:szCs w:val="32"/>
        </w:rPr>
        <w:t>    3.项目资金管理情况分析</w:t>
      </w:r>
    </w:p>
    <w:p>
      <w:pPr>
        <w:ind w:firstLine="537" w:firstLineChars="168"/>
        <w:rPr>
          <w:rFonts w:ascii="仿宋_GB2312" w:eastAsia="仿宋_GB2312" w:cs="DengXian-Regular"/>
          <w:sz w:val="32"/>
          <w:szCs w:val="32"/>
        </w:rPr>
      </w:pPr>
      <w:r>
        <w:rPr>
          <w:rFonts w:hint="eastAsia" w:ascii="仿宋_GB2312" w:eastAsia="仿宋_GB2312" w:cs="DengXian-Regular"/>
          <w:sz w:val="32"/>
          <w:szCs w:val="32"/>
        </w:rPr>
        <w:t>2018年该项所有资金实行专款专用。项目支出、资金拨付严格按照程序，使用规范，严格执行财务管理制度和会计核算制度，会计核算结果真实、准确。不存在有截留、挤占或挪用项目资金的情况。</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本部门2018年度机关运行经费支出87.65万元，比年初预算数增加37.14万元，增长73.53%。主要原因是办公场所房屋破损严重，维修增加。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政府采购支出总额263.83万元，从采购类型来看，政府采购货物支出0万元、政府采购工程支出263.83万元、政府采购服务支出0万元。授予中小企业合同金0万元，占政府采购支出总额的0%，其中授予小微企业合同金额0万元，占政府采购支出总额的 0%。</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比上年增加0辆，主要是无。其中，副部（省）级及以上领导用车0辆，主要领导干部用车0辆，机要通信用车1辆，应急保障用车0辆，执法执勤用车0辆，特种专业技术用车0辆，离退休干部用车0辆，其他用车5辆，其他用车主要是车已报废正在走手续；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万元以上通用设备0台（套），比上年增加0套，主要是无单位价值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万元以上专用设备0台（套）比上年增加0套,主要是无单位价值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1、本部门2018年度国有资本经营预算财政拨款收入支出无收支及结转结余情况、本部门2018年度无政府采购情况，故国有资本经营预算财政拨款收入支出决算表以空表列示。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420" w:firstLineChars="200"/>
        <w:jc w:val="left"/>
        <w:sectPr>
          <w:pgSz w:w="11906" w:h="16838"/>
          <w:pgMar w:top="2098" w:right="1474" w:bottom="1984" w:left="1588" w:header="851" w:footer="992" w:gutter="0"/>
          <w:cols w:space="720" w:num="1"/>
          <w:docGrid w:type="lines" w:linePitch="312" w:charSpace="0"/>
        </w:sectPr>
      </w:pP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-1005205</wp:posOffset>
            </wp:positionH>
            <wp:positionV relativeFrom="paragraph">
              <wp:posOffset>-1334135</wp:posOffset>
            </wp:positionV>
            <wp:extent cx="7550150" cy="10680065"/>
            <wp:effectExtent l="0" t="0" r="12700" b="6985"/>
            <wp:wrapNone/>
            <wp:docPr id="10"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1"/>
                    <pic:cNvPicPr>
                      <a:picLocks noChangeAspect="1"/>
                    </pic:cNvPicPr>
                  </pic:nvPicPr>
                  <pic:blipFill>
                    <a:blip r:embed="rId7"/>
                    <a:stretch>
                      <a:fillRect/>
                    </a:stretch>
                  </pic:blipFill>
                  <pic:spPr>
                    <a:xfrm>
                      <a:off x="0" y="0"/>
                      <a:ext cx="7550150" cy="10680065"/>
                    </a:xfrm>
                    <a:prstGeom prst="rect">
                      <a:avLst/>
                    </a:prstGeom>
                    <a:noFill/>
                    <a:ln>
                      <a:noFill/>
                    </a:ln>
                  </pic:spPr>
                </pic:pic>
              </a:graphicData>
            </a:graphic>
          </wp:anchor>
        </w:drawing>
      </w:r>
      <w:r>
        <w:rPr>
          <w:sz w:val="72"/>
        </w:rPr>
        <mc:AlternateContent>
          <mc:Choice Requires="wps">
            <w:drawing>
              <wp:anchor distT="0" distB="0" distL="114300" distR="114300" simplePos="0" relativeHeight="251662336" behindDoc="0" locked="0" layoutInCell="1" allowOverlap="1">
                <wp:simplePos x="0" y="0"/>
                <wp:positionH relativeFrom="column">
                  <wp:posOffset>-995680</wp:posOffset>
                </wp:positionH>
                <wp:positionV relativeFrom="paragraph">
                  <wp:posOffset>2956560</wp:posOffset>
                </wp:positionV>
                <wp:extent cx="7571740" cy="2020570"/>
                <wp:effectExtent l="0" t="0" r="0" b="0"/>
                <wp:wrapNone/>
                <wp:docPr id="4" name="文本框 22"/>
                <wp:cNvGraphicFramePr/>
                <a:graphic xmlns:a="http://schemas.openxmlformats.org/drawingml/2006/main">
                  <a:graphicData uri="http://schemas.microsoft.com/office/word/2010/wordprocessingShape">
                    <wps:wsp>
                      <wps:cNvSpPr/>
                      <wps:spPr>
                        <a:xfrm>
                          <a:off x="0" y="0"/>
                          <a:ext cx="7571740" cy="2020570"/>
                        </a:xfrm>
                        <a:prstGeom prst="rect">
                          <a:avLst/>
                        </a:prstGeom>
                        <a:noFill/>
                        <a:ln>
                          <a:noFill/>
                        </a:ln>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wps:txbx>
                      <wps:bodyPr upright="1"/>
                    </wps:wsp>
                  </a:graphicData>
                </a:graphic>
              </wp:anchor>
            </w:drawing>
          </mc:Choice>
          <mc:Fallback>
            <w:pict>
              <v:rect id="文本框 22" o:spid="_x0000_s1026" o:spt="1" style="position:absolute;left:0pt;margin-left:-78.4pt;margin-top:232.8pt;height:159.1pt;width:596.2pt;z-index:251662336;mso-width-relative:page;mso-height-relative:page;" filled="f" stroked="f" coordsize="21600,21600" o:gfxdata="UEsFBgAAAAAAAAAAAAAAAAAAAAAAAFBLAwQKAAAAAACHTuJAAAAAAAAAAAAAAAAABAAAAGRycy9Q&#10;SwMEFAAAAAgAh07iQFF4ZbXdAAAADQEAAA8AAABkcnMvZG93bnJldi54bWxNj8FOwzAQRO9I/IO1&#10;SFxQa4fSNArZ9FAJUSGkipT27MYmiYjXaewm5e9xTnDb0Y5m3mTrq2nZoHvXWEKI5gKYptKqhiqE&#10;z/3LLAHmvCQlW0sa4Uc7WOe3N5lMlR3pQw+Fr1gIIZdKhNr7LuXclbU20s1tpyn8vmxvpA+yr7jq&#10;5RjCTcsfhYi5kQ2Fhlp2elPr8ru4GISx3A3H/fsr3z0ct5bO2/OmOLwh3t9F4hmY11f/Z4YJP6BD&#10;HphO9kLKsRZhFi3jwO4RnuJlDGyyiMV0nRBWySIBnmf8/4r8F1BLAwQUAAAACACHTuJAt4oisqcB&#10;AABGAwAADgAAAGRycy9lMm9Eb2MueG1srVJLbtswEN0X6B0I7mvKQlIXguVsjHRTNAHSHoCmSIsA&#10;fxjSlnyB5gZdddN9z+VzdEgrzm+TRTbUzPDpzbw3XF6N1pC9hKi9a+l8VlEinfCddtuW/vxx/ekL&#10;JTFx13HjnWzpQUZ6tfr4YTmERta+96aTQJDExWYILe1TCg1jUfTS8jjzQTq8VB4sT5jClnXAB2S3&#10;htVV9ZkNHroAXsgYsbo+XdKJEd5C6JXSQq692Fnp0okVpOEJJcVeh0hXZVqlpEg3SkWZiGkpKk3l&#10;xCYYb/LJVkvebIGHXotpBP6WEV5oslw7bHqmWvPEyQ70KyqrBfjoVZoJb9lJSHEEVcyrF97c9TzI&#10;ogWtjuFsenw/WvF9fwtEdy29oMRxiws//r4//vl3/PuL1HX2ZwixQdhduIUpixhmsaMCm78og4zF&#10;08PZUzkmIrC4uFzMFxdot8C7uqqry0VxnT3+HiCmr9JbkoOWAi6teMn332LClgh9gORuzl9rY8ri&#10;jHtWQGCusDzxacYcpXEzToNvfHdAubsAettjq3nWV+Bob2k0PYW8v6d5QT0+/9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FgAAAGRycy9Q&#10;SwECFAAUAAAACACHTuJAUXhltd0AAAANAQAADwAAAAAAAAABACAAAAA4AAAAZHJzL2Rvd25yZXYu&#10;eG1sUEsBAhQAFAAAAAgAh07iQLeKIrKnAQAARgMAAA4AAAAAAAAAAQAgAAAAQgEAAGRycy9lMm9E&#10;b2MueG1sUEsFBgAAAAAGAAYAWQEAAFsFA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rect>
            </w:pict>
          </mc:Fallback>
        </mc:AlternateConten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sectPr>
          <w:pgSz w:w="11906" w:h="16838"/>
          <w:pgMar w:top="2098" w:right="1474" w:bottom="1985" w:left="1588" w:header="851" w:footer="992" w:gutter="0"/>
          <w:cols w:space="720" w:num="1"/>
          <w:docGrid w:type="lines" w:linePitch="312" w:charSpace="0"/>
        </w:sectPr>
      </w:pPr>
      <w:r>
        <w:rPr>
          <w:rFonts w:hint="eastAsia" w:ascii="仿宋_GB2312" w:hAnsi="宋体" w:eastAsia="仿宋_GB2312"/>
          <w:b/>
          <w:bCs/>
          <w:color w:val="000000"/>
          <w:kern w:val="0"/>
          <w:sz w:val="32"/>
          <w:szCs w:val="32"/>
        </w:rPr>
        <w:t>（十七）经费形式:</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hAnsi="Cambria" w:eastAsia="仿宋_GB2312" w:cs="ArialUnicodeMS"/>
          <w:kern w:val="0"/>
          <w:sz w:val="32"/>
          <w:szCs w:val="32"/>
        </w:rPr>
      </w:pPr>
      <w:r>
        <w:rPr>
          <w:rFonts w:ascii="仿宋_GB2312" w:hAnsi="Cambria" w:eastAsia="仿宋_GB2312" w:cs="ArialUnicodeMS"/>
          <w:kern w:val="0"/>
          <w:sz w:val="32"/>
          <w:szCs w:val="32"/>
        </w:rPr>
        <w:drawing>
          <wp:anchor distT="0" distB="0" distL="114300" distR="114300" simplePos="0" relativeHeight="251669504" behindDoc="1" locked="0" layoutInCell="1" allowOverlap="1">
            <wp:simplePos x="0" y="0"/>
            <wp:positionH relativeFrom="column">
              <wp:posOffset>-986790</wp:posOffset>
            </wp:positionH>
            <wp:positionV relativeFrom="paragraph">
              <wp:posOffset>-1351280</wp:posOffset>
            </wp:positionV>
            <wp:extent cx="7590155" cy="10735945"/>
            <wp:effectExtent l="0" t="0" r="10795" b="8255"/>
            <wp:wrapNone/>
            <wp:docPr id="11"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1"/>
                    <pic:cNvPicPr>
                      <a:picLocks noChangeAspect="1"/>
                    </pic:cNvPicPr>
                  </pic:nvPicPr>
                  <pic:blipFill>
                    <a:blip r:embed="rId13"/>
                    <a:stretch>
                      <a:fillRect/>
                    </a:stretch>
                  </pic:blipFill>
                  <pic:spPr>
                    <a:xfrm>
                      <a:off x="0" y="0"/>
                      <a:ext cx="7590155" cy="10735945"/>
                    </a:xfrm>
                    <a:prstGeom prst="rect">
                      <a:avLst/>
                    </a:prstGeom>
                    <a:noFill/>
                    <a:ln>
                      <a:noFill/>
                    </a:ln>
                  </pic:spPr>
                </pic:pic>
              </a:graphicData>
            </a:graphic>
          </wp:anchor>
        </w:drawing>
      </w:r>
    </w:p>
    <w:sectPr>
      <w:pgSz w:w="11906" w:h="16838"/>
      <w:pgMar w:top="2098" w:right="1474" w:bottom="1985" w:left="1588"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MS-UIGothic,Bold">
    <w:altName w:val="方正书宋_GBK"/>
    <w:panose1 w:val="00000000000000000000"/>
    <w:charset w:val="81"/>
    <w:family w:val="auto"/>
    <w:pitch w:val="default"/>
    <w:sig w:usb0="00000000" w:usb1="00000000" w:usb2="00000010" w:usb3="00000000" w:csb0="00080000"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 w:name="MathJax_Vector">
    <w:panose1 w:val="02000603000000000000"/>
    <w:charset w:val="00"/>
    <w:family w:val="auto"/>
    <w:pitch w:val="default"/>
    <w:sig w:usb0="00000001" w:usb1="0000002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6514"/>
    <w:rsid w:val="000225FA"/>
    <w:rsid w:val="00035BF5"/>
    <w:rsid w:val="00046DA6"/>
    <w:rsid w:val="00085DC9"/>
    <w:rsid w:val="000D1C80"/>
    <w:rsid w:val="00130454"/>
    <w:rsid w:val="00132114"/>
    <w:rsid w:val="0016595E"/>
    <w:rsid w:val="001A496E"/>
    <w:rsid w:val="001A6B28"/>
    <w:rsid w:val="001F644C"/>
    <w:rsid w:val="00201A55"/>
    <w:rsid w:val="00232985"/>
    <w:rsid w:val="002562CB"/>
    <w:rsid w:val="00265B93"/>
    <w:rsid w:val="0027257B"/>
    <w:rsid w:val="0028133C"/>
    <w:rsid w:val="00283B33"/>
    <w:rsid w:val="00285AC3"/>
    <w:rsid w:val="00296AE3"/>
    <w:rsid w:val="002A45FE"/>
    <w:rsid w:val="002B2FFD"/>
    <w:rsid w:val="002E061D"/>
    <w:rsid w:val="002F5314"/>
    <w:rsid w:val="00330900"/>
    <w:rsid w:val="00361160"/>
    <w:rsid w:val="00363D27"/>
    <w:rsid w:val="00394003"/>
    <w:rsid w:val="00406FD3"/>
    <w:rsid w:val="00483A67"/>
    <w:rsid w:val="004A7C68"/>
    <w:rsid w:val="004B736D"/>
    <w:rsid w:val="004F21CC"/>
    <w:rsid w:val="00516698"/>
    <w:rsid w:val="005757BC"/>
    <w:rsid w:val="005D7F5C"/>
    <w:rsid w:val="00603C89"/>
    <w:rsid w:val="006A3B04"/>
    <w:rsid w:val="007138D4"/>
    <w:rsid w:val="00727812"/>
    <w:rsid w:val="007730C8"/>
    <w:rsid w:val="007A3698"/>
    <w:rsid w:val="007B1653"/>
    <w:rsid w:val="007D0341"/>
    <w:rsid w:val="007E2789"/>
    <w:rsid w:val="0082000A"/>
    <w:rsid w:val="00850DF6"/>
    <w:rsid w:val="00875ECD"/>
    <w:rsid w:val="008852F1"/>
    <w:rsid w:val="008B6C70"/>
    <w:rsid w:val="008F70FF"/>
    <w:rsid w:val="008F77E2"/>
    <w:rsid w:val="00937A5B"/>
    <w:rsid w:val="009440C7"/>
    <w:rsid w:val="009645DA"/>
    <w:rsid w:val="00966F31"/>
    <w:rsid w:val="00977F3C"/>
    <w:rsid w:val="009866B2"/>
    <w:rsid w:val="009C395C"/>
    <w:rsid w:val="009F5D53"/>
    <w:rsid w:val="00A01326"/>
    <w:rsid w:val="00A158A6"/>
    <w:rsid w:val="00A31749"/>
    <w:rsid w:val="00A46514"/>
    <w:rsid w:val="00A54A07"/>
    <w:rsid w:val="00AB1D35"/>
    <w:rsid w:val="00B07120"/>
    <w:rsid w:val="00B11DCE"/>
    <w:rsid w:val="00B57078"/>
    <w:rsid w:val="00B96E51"/>
    <w:rsid w:val="00C0690E"/>
    <w:rsid w:val="00C52D96"/>
    <w:rsid w:val="00C72D52"/>
    <w:rsid w:val="00CF519E"/>
    <w:rsid w:val="00D11B59"/>
    <w:rsid w:val="00D229A8"/>
    <w:rsid w:val="00D27AA1"/>
    <w:rsid w:val="00D50AD0"/>
    <w:rsid w:val="00D91392"/>
    <w:rsid w:val="00DA3300"/>
    <w:rsid w:val="00DC3228"/>
    <w:rsid w:val="00DD0787"/>
    <w:rsid w:val="00E04029"/>
    <w:rsid w:val="00E73778"/>
    <w:rsid w:val="00E764F9"/>
    <w:rsid w:val="00ED1478"/>
    <w:rsid w:val="00ED38B8"/>
    <w:rsid w:val="00EF0FBD"/>
    <w:rsid w:val="00F04AA5"/>
    <w:rsid w:val="00F32892"/>
    <w:rsid w:val="00F4470E"/>
    <w:rsid w:val="00F95067"/>
    <w:rsid w:val="00FE0E6D"/>
    <w:rsid w:val="1961434D"/>
    <w:rsid w:val="1A0539C4"/>
    <w:rsid w:val="200A52A2"/>
    <w:rsid w:val="46E53AA1"/>
    <w:rsid w:val="4EAF1A87"/>
    <w:rsid w:val="57BB1951"/>
    <w:rsid w:val="5CFF6BDF"/>
    <w:rsid w:val="5D8B245B"/>
    <w:rsid w:val="6547118B"/>
    <w:rsid w:val="6EAEA62A"/>
    <w:rsid w:val="7AED6479"/>
    <w:rsid w:val="7FFFD88B"/>
    <w:rsid w:val="DFF948C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cs="黑体"/>
      <w:b/>
      <w:bCs/>
      <w:sz w:val="28"/>
      <w:szCs w:val="2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8"/>
    <w:qFormat/>
    <w:uiPriority w:val="0"/>
    <w:pPr>
      <w:tabs>
        <w:tab w:val="center" w:pos="4153"/>
        <w:tab w:val="right" w:pos="8306"/>
      </w:tabs>
      <w:snapToGrid w:val="0"/>
      <w:jc w:val="left"/>
    </w:pPr>
    <w:rPr>
      <w:sz w:val="18"/>
      <w:szCs w:val="18"/>
    </w:rPr>
  </w:style>
  <w:style w:type="paragraph" w:styleId="7">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0"/>
    <w:qFormat/>
    <w:uiPriority w:val="0"/>
    <w:pPr>
      <w:widowControl/>
      <w:spacing w:after="200" w:line="276" w:lineRule="auto"/>
      <w:jc w:val="left"/>
    </w:pPr>
    <w:rPr>
      <w:rFonts w:ascii="Calibri" w:hAnsi="Calibri" w:cs="黑体"/>
      <w:i/>
      <w:iCs/>
      <w:color w:val="F0A22E"/>
      <w:spacing w:val="15"/>
      <w:kern w:val="0"/>
      <w:sz w:val="24"/>
    </w:rPr>
  </w:style>
  <w:style w:type="paragraph" w:styleId="9">
    <w:name w:val="Title"/>
    <w:basedOn w:val="1"/>
    <w:next w:val="1"/>
    <w:link w:val="21"/>
    <w:qFormat/>
    <w:uiPriority w:val="0"/>
    <w:pPr>
      <w:widowControl/>
      <w:pBdr>
        <w:bottom w:val="single" w:color="F0A22E" w:sz="8" w:space="4"/>
      </w:pBdr>
      <w:spacing w:after="300"/>
      <w:contextualSpacing/>
      <w:jc w:val="left"/>
    </w:pPr>
    <w:rPr>
      <w:rFonts w:ascii="Calibri" w:hAnsi="Calibri" w:cs="黑体"/>
      <w:color w:val="392B23"/>
      <w:spacing w:val="5"/>
      <w:kern w:val="28"/>
      <w:sz w:val="52"/>
      <w:szCs w:val="52"/>
    </w:rPr>
  </w:style>
  <w:style w:type="character" w:customStyle="1" w:styleId="12">
    <w:name w:val="标题 1 Char"/>
    <w:link w:val="2"/>
    <w:qFormat/>
    <w:uiPriority w:val="9"/>
    <w:rPr>
      <w:rFonts w:ascii="Times New Roman" w:hAnsi="Times New Roman" w:eastAsia="宋体" w:cs="Times New Roman"/>
      <w:b/>
      <w:bCs/>
      <w:kern w:val="44"/>
      <w:sz w:val="44"/>
      <w:szCs w:val="44"/>
    </w:rPr>
  </w:style>
  <w:style w:type="character" w:customStyle="1" w:styleId="13">
    <w:name w:val="标题 2 Char"/>
    <w:link w:val="3"/>
    <w:semiHidden/>
    <w:qFormat/>
    <w:uiPriority w:val="0"/>
    <w:rPr>
      <w:rFonts w:ascii="Calibri" w:hAnsi="Calibri" w:eastAsia="宋体" w:cs="黑体"/>
      <w:b/>
      <w:bCs/>
      <w:sz w:val="32"/>
      <w:szCs w:val="32"/>
    </w:rPr>
  </w:style>
  <w:style w:type="character" w:customStyle="1" w:styleId="14">
    <w:name w:val="标题 3 Char"/>
    <w:link w:val="4"/>
    <w:semiHidden/>
    <w:qFormat/>
    <w:uiPriority w:val="0"/>
    <w:rPr>
      <w:rFonts w:ascii="Times New Roman" w:hAnsi="Times New Roman" w:eastAsia="宋体" w:cs="Times New Roman"/>
      <w:b/>
      <w:bCs/>
      <w:sz w:val="32"/>
      <w:szCs w:val="32"/>
    </w:rPr>
  </w:style>
  <w:style w:type="character" w:customStyle="1" w:styleId="15">
    <w:name w:val="标题 4 Char"/>
    <w:link w:val="5"/>
    <w:semiHidden/>
    <w:qFormat/>
    <w:uiPriority w:val="0"/>
    <w:rPr>
      <w:rFonts w:ascii="Calibri" w:hAnsi="Calibri" w:eastAsia="宋体" w:cs="黑体"/>
      <w:b/>
      <w:bCs/>
      <w:sz w:val="28"/>
      <w:szCs w:val="28"/>
    </w:rPr>
  </w:style>
  <w:style w:type="character" w:customStyle="1" w:styleId="16">
    <w:name w:val="日期 Char"/>
    <w:link w:val="17"/>
    <w:semiHidden/>
    <w:qFormat/>
    <w:uiPriority w:val="0"/>
    <w:rPr>
      <w:rFonts w:ascii="Times New Roman" w:hAnsi="Times New Roman" w:eastAsia="宋体" w:cs="Times New Roman"/>
      <w:szCs w:val="24"/>
    </w:rPr>
  </w:style>
  <w:style w:type="paragraph" w:customStyle="1" w:styleId="17">
    <w:name w:val="日期1"/>
    <w:basedOn w:val="1"/>
    <w:next w:val="1"/>
    <w:link w:val="16"/>
    <w:qFormat/>
    <w:uiPriority w:val="0"/>
    <w:pPr>
      <w:ind w:left="100" w:leftChars="2500"/>
    </w:pPr>
  </w:style>
  <w:style w:type="character" w:customStyle="1" w:styleId="18">
    <w:name w:val="页脚 Char"/>
    <w:link w:val="6"/>
    <w:semiHidden/>
    <w:qFormat/>
    <w:uiPriority w:val="0"/>
    <w:rPr>
      <w:sz w:val="18"/>
      <w:szCs w:val="18"/>
    </w:rPr>
  </w:style>
  <w:style w:type="character" w:customStyle="1" w:styleId="19">
    <w:name w:val="页眉 Char"/>
    <w:link w:val="7"/>
    <w:semiHidden/>
    <w:qFormat/>
    <w:uiPriority w:val="0"/>
    <w:rPr>
      <w:sz w:val="18"/>
      <w:szCs w:val="18"/>
    </w:rPr>
  </w:style>
  <w:style w:type="character" w:customStyle="1" w:styleId="20">
    <w:name w:val="副标题 Char"/>
    <w:link w:val="8"/>
    <w:semiHidden/>
    <w:qFormat/>
    <w:uiPriority w:val="0"/>
    <w:rPr>
      <w:rFonts w:ascii="Calibri" w:hAnsi="Calibri" w:eastAsia="宋体" w:cs="黑体"/>
      <w:i/>
      <w:iCs/>
      <w:color w:val="F0A22E"/>
      <w:spacing w:val="15"/>
      <w:kern w:val="0"/>
      <w:sz w:val="24"/>
      <w:szCs w:val="24"/>
    </w:rPr>
  </w:style>
  <w:style w:type="character" w:customStyle="1" w:styleId="21">
    <w:name w:val="标题 Char"/>
    <w:link w:val="9"/>
    <w:semiHidden/>
    <w:qFormat/>
    <w:uiPriority w:val="0"/>
    <w:rPr>
      <w:rFonts w:ascii="Calibri" w:hAnsi="Calibri" w:eastAsia="宋体" w:cs="黑体"/>
      <w:color w:val="392B23"/>
      <w:spacing w:val="5"/>
      <w:kern w:val="28"/>
      <w:sz w:val="52"/>
      <w:szCs w:val="52"/>
    </w:rPr>
  </w:style>
  <w:style w:type="paragraph" w:customStyle="1" w:styleId="22">
    <w:name w:val="批注框文本 Char Char"/>
    <w:basedOn w:val="1"/>
    <w:link w:val="25"/>
    <w:qFormat/>
    <w:uiPriority w:val="0"/>
    <w:rPr>
      <w:sz w:val="18"/>
      <w:szCs w:val="18"/>
    </w:rPr>
  </w:style>
  <w:style w:type="paragraph" w:customStyle="1" w:styleId="23">
    <w:name w:val="无间隔1"/>
    <w:link w:val="26"/>
    <w:qFormat/>
    <w:uiPriority w:val="0"/>
    <w:pPr>
      <w:spacing w:after="160" w:line="480" w:lineRule="auto"/>
    </w:pPr>
    <w:rPr>
      <w:rFonts w:ascii="Times New Roman" w:hAnsi="Times New Roman" w:eastAsia="宋体" w:cs="Times New Roman"/>
      <w:sz w:val="22"/>
      <w:lang w:val="en-US" w:eastAsia="zh-CN" w:bidi="ar-SA"/>
    </w:rPr>
  </w:style>
  <w:style w:type="paragraph" w:customStyle="1" w:styleId="24">
    <w:name w:val="列出段落1"/>
    <w:basedOn w:val="1"/>
    <w:qFormat/>
    <w:uiPriority w:val="0"/>
    <w:pPr>
      <w:ind w:firstLine="420" w:firstLineChars="200"/>
    </w:pPr>
  </w:style>
  <w:style w:type="character" w:customStyle="1" w:styleId="25">
    <w:name w:val="批注框文本 Char Char Char Char"/>
    <w:link w:val="22"/>
    <w:semiHidden/>
    <w:qFormat/>
    <w:uiPriority w:val="0"/>
    <w:rPr>
      <w:rFonts w:ascii="Times New Roman" w:hAnsi="Times New Roman" w:eastAsia="宋体" w:cs="Times New Roman"/>
      <w:sz w:val="18"/>
      <w:szCs w:val="18"/>
    </w:rPr>
  </w:style>
  <w:style w:type="character" w:customStyle="1" w:styleId="26">
    <w:name w:val="无间隔 Char"/>
    <w:link w:val="23"/>
    <w:semiHidden/>
    <w:qFormat/>
    <w:uiPriority w:val="0"/>
    <w:rPr>
      <w:kern w:val="0"/>
      <w:sz w:val="22"/>
    </w:rPr>
  </w:style>
  <w:style w:type="character" w:customStyle="1" w:styleId="27">
    <w:name w:val="Style1"/>
    <w:qFormat/>
    <w:uiPriority w:val="0"/>
    <w:rPr>
      <w:rFonts w:ascii="Cambria" w:hAnsi="黑体" w:eastAsia="黑体" w:cs="黑体"/>
      <w:sz w:val="22"/>
      <w:szCs w:val="22"/>
      <w:lang w:eastAsia="zh-CN"/>
    </w:rPr>
  </w:style>
  <w:style w:type="character" w:customStyle="1" w:styleId="28">
    <w:name w:val="Style2"/>
    <w:qFormat/>
    <w:uiPriority w:val="0"/>
    <w:rPr>
      <w:rFonts w:ascii="Cambria" w:hAnsi="黑体" w:eastAsia="黑体" w:cs="黑体"/>
      <w:sz w:val="22"/>
      <w:szCs w:val="22"/>
      <w:lang w:eastAsia="zh-CN"/>
    </w:rPr>
  </w:style>
  <w:style w:type="character" w:customStyle="1" w:styleId="29">
    <w:name w:val="Style3"/>
    <w:qFormat/>
    <w:uiPriority w:val="0"/>
    <w:rPr>
      <w:rFonts w:ascii="Cambria" w:hAnsi="黑体" w:eastAsia="黑体" w:cs="黑体"/>
      <w:szCs w:val="22"/>
      <w:lang w:eastAsia="zh-CN"/>
    </w:rPr>
  </w:style>
  <w:style w:type="character" w:customStyle="1" w:styleId="30">
    <w:name w:val="Style4"/>
    <w:qFormat/>
    <w:uiPriority w:val="0"/>
    <w:rPr>
      <w:rFonts w:ascii="Cambria" w:hAnsi="黑体" w:eastAsia="黑体" w:cs="黑体"/>
      <w:szCs w:val="22"/>
      <w:lang w:eastAsia="zh-CN"/>
    </w:rPr>
  </w:style>
  <w:style w:type="character" w:customStyle="1" w:styleId="31">
    <w:name w:val="Style5"/>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8.jpe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33</Pages>
  <Words>1839</Words>
  <Characters>10485</Characters>
  <Lines>87</Lines>
  <Paragraphs>24</Paragraphs>
  <TotalTime>299</TotalTime>
  <ScaleCrop>false</ScaleCrop>
  <LinksUpToDate>false</LinksUpToDate>
  <CharactersWithSpaces>12300</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2019-08-31T08:40:00Z</dcterms:created>
  <dc:creator>User</dc:creator>
  <cp:lastModifiedBy>caizhengju</cp:lastModifiedBy>
  <cp:lastPrinted>2019-08-05T01:01:00Z</cp:lastPrinted>
  <dcterms:modified xsi:type="dcterms:W3CDTF">2024-01-02T16:58:25Z</dcterms:modified>
  <dc:subject>石家庄市xxx部门</dc:subject>
  <dc:title>2017年度部门决算</dc:title>
  <cp:revision>66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AADCF2D927E0D28531D0936525F4CAE1</vt:lpwstr>
  </property>
</Properties>
</file>