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无极县残联</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无极县残联</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无极县残联</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无极县残联</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ind w:firstLine="832" w:firstLineChars="26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（一）密切联系本辖区的各类残疾人，掌握辖区各类残疾人基本状况和要求，听取意见，反映呼声，在街道残联和社区居委会领导下开展工作，发挥宣传、协调、服务作用。</w:t>
      </w:r>
    </w:p>
    <w:p>
      <w:pPr>
        <w:ind w:firstLine="832" w:firstLineChars="26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（二）向残疾人宣传党和国家的方针政策及法律法规，做好残疾人政治思想工作，鼓励残疾人自立、自强、乐观向上，</w:t>
      </w:r>
      <w:r>
        <w:rPr>
          <w:rFonts w:hint="eastAsia" w:ascii="仿宋_GB2312" w:hAnsi="仿宋_GB2312" w:eastAsia="仿宋_GB2312" w:cs="仿宋_GB2312"/>
          <w:bCs/>
          <w:sz w:val="32"/>
          <w:szCs w:val="32"/>
          <w:lang w:eastAsia="zh-CN"/>
        </w:rPr>
        <w:t>积极</w:t>
      </w:r>
      <w:r>
        <w:rPr>
          <w:rFonts w:hint="eastAsia" w:ascii="仿宋_GB2312" w:hAnsi="仿宋_GB2312" w:eastAsia="仿宋_GB2312" w:cs="仿宋_GB2312"/>
          <w:bCs/>
          <w:sz w:val="32"/>
          <w:szCs w:val="32"/>
        </w:rPr>
        <w:t>参与社会生活。</w:t>
      </w:r>
    </w:p>
    <w:p>
      <w:pPr>
        <w:ind w:firstLine="832" w:firstLineChars="26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（三）积极做好残疾人最低生活保障、扶贫解困、培训就业、社会助残、文体活动、康复、维权、无障碍建设督导等服务工作。</w:t>
      </w:r>
    </w:p>
    <w:p>
      <w:pPr>
        <w:ind w:firstLine="832" w:firstLineChars="26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（四）为残疾人就业提供咨询和指导等服务。</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425" w:num="1"/>
          <w:titlePg/>
          <w:docGrid w:type="lines" w:linePitch="312" w:charSpace="0"/>
        </w:sectPr>
      </w:pPr>
      <w:r>
        <w:rPr>
          <w:rFonts w:hint="eastAsia" w:ascii="仿宋_GB2312" w:hAnsi="Cambria" w:eastAsia="仿宋_GB2312" w:cs="ArialUnicodeMS"/>
          <w:kern w:val="0"/>
          <w:sz w:val="32"/>
          <w:szCs w:val="32"/>
        </w:rPr>
        <w:t>（以下简称“单位”）共1个，分别是无极县残疾人联合会 ，单位基本性质为行政单位，预算管理级次为1级预算单位，执行行政单位会计制度，较上年无增减变化。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p>
    <w:p>
      <w:pPr>
        <w:widowControl/>
        <w:spacing w:line="580" w:lineRule="exact"/>
        <w:ind w:left="640" w:firstLine="640" w:firstLineChars="200"/>
        <w:rPr>
          <w:rFonts w:eastAsia="仿宋_GB2312"/>
          <w:sz w:val="32"/>
          <w:szCs w:val="32"/>
        </w:rPr>
      </w:pPr>
      <w:r>
        <w:rPr>
          <w:rFonts w:hint="eastAsia" w:eastAsia="仿宋_GB2312"/>
          <w:sz w:val="32"/>
          <w:szCs w:val="32"/>
        </w:rPr>
        <w:t xml:space="preserve">                                  (详见附表)</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w:t>
      </w:r>
      <w:r>
        <w:rPr>
          <w:rFonts w:ascii="宋体" w:hAnsi="宋体" w:cs="ArialUnicodeMS"/>
          <w:color w:val="000000"/>
          <w:kern w:val="0"/>
        </w:rPr>
        <w:t xml:space="preserve"> </w:t>
      </w:r>
      <w:r>
        <w:rPr>
          <w:rFonts w:hint="eastAsia" w:ascii="宋体" w:hAnsi="宋体" w:cs="ArialUnicodeMS"/>
          <w:color w:val="000000"/>
          <w:kern w:val="0"/>
        </w:rPr>
        <w:t>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万元，本年收入273.39万元；本年支出173.17万元、年末结转和结余103.22万元。与2016年度决算相比，本年收入增加59.93万元，增长28%，主要是人员经费以及残疾人扶持资金和政府行基金增加；本年支出减少37.29万元，降低18%，主要是经费和扶持残疾人资金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本部门2017年度本年收入合计273.22万元，其中：财政拨款收入273.22万元，占100%；事业收入0万元；经营收入0万元，；其他收入0万元。如图所示：</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图1:收入决算结构饼状图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4600575" cy="2771775"/>
            <wp:effectExtent l="0" t="0" r="9525" b="952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4600575" cy="2771775"/>
                    </a:xfrm>
                    <a:prstGeom prst="rect">
                      <a:avLst/>
                    </a:prstGeom>
                    <a:noFill/>
                    <a:ln>
                      <a:noFill/>
                    </a:ln>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本部门2017年度本年支出合计173.17万元，其中：基本支出173.17万元，占100%；项目支出0万元，；经营支出0万元。如图所示：</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图2:支出决算结构饼状图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4600575" cy="2771775"/>
            <wp:effectExtent l="0" t="0" r="9525" b="952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4600575" cy="2771775"/>
                    </a:xfrm>
                    <a:prstGeom prst="rect">
                      <a:avLst/>
                    </a:prstGeom>
                    <a:noFill/>
                    <a:ln>
                      <a:noFill/>
                    </a:ln>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3万元、本年收入273.39万元；本年支出173.17万元、年末结转和结余103.22万元。与2016年度决算相比，财政拨款本年收入增加59.93万元，增长28%，主要是人员经费以及残疾人扶持资金和政府行基金增加；本年支出减少37.29万元，降低18%，主要是经费和扶持残疾人资金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3万元、本年收入237.43万元；本年支出173.17万元、年末结转和结余67.26万元。与2016年度决算相比，一般公共预算财政拨款本年收入增加23.97万元，增长11.22%，主要是人员经费支出增加；本年支出减少37.29万元，降低18%，主要是经费和扶持残疾人资金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35.96万元；本年支出0万元、年末结转和结余35.96万元。与2016年度决算相比，政府性基金预算财政拨款本年收入增加35.96万元，增长100%，主要是彩票公益金预算增加；本年支出0万元，主要是本年未形成支出。</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本部门2017年度财政拨款本年收入较2017年初预算增加0.43万元，增长0.1%，主要是残疾人保障金超收；本年支出减少99.83万元，降低36%，主要是人员经费以及社保缴费以及扶持残疾人支出和政府性基金形成结余。</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减少35.57万元，降低13%，主要是年初预算基金按一般预算做为年初预算；本年支出减少99.83万元，降低36%，主要是基金预算未考虑，做成了一般预算，从而造成一般预算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本部门2017年度政府性基金预算财政拨款本年收入较2017年初预算增加35.96万元，增长100%，主要是年初未做基金预算；本年支出增加0万元，主要是本年未形成支出。</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1.18万元，较年初预算减少1.82万元，降低60%，主要是本年度公车用车次数减少；较2016年度决算增加0.48万元，增长35%，主要是本年度任务较重，出车次数较上年较多。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无增减变化,主要是本年度本单位无人因公出国；较2016年度决算无增减变化，主要是无人因公出国。</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（二）公务用车购置及运行维护费支出1.18万元。</w:t>
      </w:r>
      <w:r>
        <w:rPr>
          <w:rFonts w:hint="eastAsia" w:ascii="仿宋_GB2312" w:eastAsia="仿宋_GB2312" w:cs="DengXian-Regular"/>
          <w:sz w:val="32"/>
          <w:szCs w:val="32"/>
        </w:rPr>
        <w:t>本部门2017年度公务用车购置及运行维护费较年初预算减少1.82万元，降低60%,主要是公车用车次数减少；较2016年度决算增加0.48万元，增加35%,主要是本年度任务较重，出车次数较上年较多。</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本部门2017年度公务用车购置量0辆，发生“公务用车购置”经费支出0万元。公务用车购置费支出较年初预算无增减变化,主要是本年度无购置公务用车；较2016年度决算无增减变化,主要是本年度未购置公车。</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1.82万元，降低60%,主要是本年度公车用车次数减少；较2016年度决算增加0.48万元，增长35%，主要是本年度任务较重，出车次数较上年较多。</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本部门2017年度公务接待共0批次、0人次。公务接待费支出较年初预算减少0万元，主要是本年度未安排公务接待；较2016年度决算减少0.1万元，降低100%,主要是本年度无公务接待支出。</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ind w:firstLine="640"/>
        <w:jc w:val="left"/>
        <w:rPr>
          <w:rFonts w:ascii="仿宋_GB2312" w:eastAsia="仿宋_GB2312" w:cs="DengXian-Regular"/>
          <w:sz w:val="32"/>
          <w:szCs w:val="32"/>
        </w:rPr>
      </w:pPr>
      <w:r>
        <w:rPr>
          <w:rFonts w:hint="eastAsia" w:ascii="仿宋_GB2312" w:eastAsia="仿宋_GB2312" w:cs="DengXian-Regular"/>
          <w:sz w:val="32"/>
          <w:szCs w:val="32"/>
        </w:rPr>
        <w:t>深入实施残疾人小康工程，基金扶持残疾人自强创业，加强残疾人日间照料中心，开展残疾人职业技能培训，着力加强基层组织建设。积极做好残疾人最低生活保障、扶贫解困、培训就业、社会助残、文体活动、康复、维权、无障碍建设督导等服务工作。</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绩效管理工作开展情况</w:t>
      </w:r>
      <w:r>
        <w:rPr>
          <w:rFonts w:hint="eastAsia" w:ascii="仿宋_GB2312" w:hAnsi="仿宋_GB2312" w:eastAsia="仿宋_GB2312" w:cs="仿宋_GB2312"/>
          <w:sz w:val="32"/>
          <w:szCs w:val="32"/>
        </w:rPr>
        <w:t>建立健全单位内部预算管理制度，强调预算刚性执行，确保各项业务扎实推进，顺利开展。明确绩效目标，签订责任书，层层分解，落实到部门。建立科学有效的考核制度，将人员收入同绩效目标完成情况挂钩，充分调动人员积极性。</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1"/>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本部门2017年度机关运行经费支出28.37万元，比2016年度减少16.73万元，降低37%。主要原因是机关公用经费压减开支。</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1、本部门2017年度国有资本经营预算和政府采购无收支及结转结余情况，故国有资本经营预算和政府采购表以空表列示。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w:t>
      </w:r>
      <w:r>
        <w:rPr>
          <w:rFonts w:hint="eastAsia" w:ascii="宋体" w:hAnsi="宋体" w:cs="SimSun,Bold"/>
          <w:bCs w:val="0"/>
        </w:rPr>
        <w:t xml:space="preserve"> </w:t>
      </w:r>
      <w:r>
        <w:rPr>
          <w:rFonts w:hint="eastAsia" w:ascii="宋体" w:hAnsi="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09F" w:csb1="00000000"/>
  </w:font>
  <w:font w:name="FreeSerif">
    <w:panose1 w:val="02020603050405020304"/>
    <w:charset w:val="00"/>
    <w:family w:val="auto"/>
    <w:pitch w:val="default"/>
    <w:sig w:usb0="E59FAFFF" w:usb1="C200FDFF" w:usb2="43501B29" w:usb3="04000043" w:csb0="600101FF" w:csb1="FFFF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auto"/>
    <w:pitch w:val="default"/>
    <w:sig w:usb0="00000000" w:usb1="00000000" w:usb2="00000000" w:usb3="00000000" w:csb0="00000001" w:csb1="00000000"/>
  </w:font>
  <w:font w:name="SimSun,Bold">
    <w:altName w:val="华文中宋"/>
    <w:panose1 w:val="00000000000000000000"/>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singleLevel"/>
    <w:tmpl w:val="00000009"/>
    <w:lvl w:ilvl="0" w:tentative="0">
      <w:start w:val="2"/>
      <w:numFmt w:val="chineseCounting"/>
      <w:suff w:val="nothing"/>
      <w:lvlText w:val="（%1）"/>
      <w:lvlJc w:val="left"/>
      <w:pPr>
        <w:ind w:left="0" w:firstLine="0"/>
      </w:pPr>
    </w:lvl>
  </w:abstractNum>
  <w:num w:numId="1">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1985"/>
    <w:rsid w:val="00085324"/>
    <w:rsid w:val="000A2063"/>
    <w:rsid w:val="00581985"/>
    <w:rsid w:val="65BD5544"/>
    <w:rsid w:val="7C3FD82B"/>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qFormat/>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paragraph" w:customStyle="1" w:styleId="16">
    <w:name w:val="批注框文本1"/>
    <w:basedOn w:val="1"/>
    <w:link w:val="17"/>
    <w:qFormat/>
    <w:uiPriority w:val="0"/>
    <w:rPr>
      <w:sz w:val="18"/>
      <w:szCs w:val="18"/>
    </w:rPr>
  </w:style>
  <w:style w:type="character" w:customStyle="1" w:styleId="17">
    <w:name w:val="批注框文本 Char"/>
    <w:basedOn w:val="11"/>
    <w:link w:val="16"/>
    <w:semiHidden/>
    <w:qFormat/>
    <w:uiPriority w:val="0"/>
    <w:rPr>
      <w:rFonts w:ascii="Times New Roman" w:hAnsi="Times New Roman" w:eastAsia="宋体" w:cs="Times New Roman"/>
      <w:sz w:val="18"/>
      <w:szCs w:val="18"/>
    </w:rPr>
  </w:style>
  <w:style w:type="character" w:customStyle="1" w:styleId="18">
    <w:name w:val="页脚 Char"/>
    <w:basedOn w:val="11"/>
    <w:link w:val="6"/>
    <w:semiHidden/>
    <w:qFormat/>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无间隔1"/>
    <w:link w:val="23"/>
    <w:qFormat/>
    <w:uiPriority w:val="0"/>
    <w:rPr>
      <w:rFonts w:ascii="Times New Roman" w:hAnsi="Times New Roman" w:eastAsia="宋体" w:cs="Times New Roman"/>
      <w:sz w:val="22"/>
      <w:lang w:val="en-US" w:eastAsia="zh-CN" w:bidi="ar-SA"/>
    </w:rPr>
  </w:style>
  <w:style w:type="character" w:customStyle="1" w:styleId="23">
    <w:name w:val="无间隔 Char"/>
    <w:basedOn w:val="11"/>
    <w:link w:val="22"/>
    <w:qFormat/>
    <w:uiPriority w:val="0"/>
    <w:rPr>
      <w:sz w:val="22"/>
      <w:lang w:val="en-US" w:eastAsia="zh-CN" w:bidi="ar-SA"/>
    </w:rPr>
  </w:style>
  <w:style w:type="character" w:customStyle="1" w:styleId="24">
    <w:name w:val="Style1"/>
    <w:basedOn w:val="11"/>
    <w:qFormat/>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qFormat/>
    <w:uiPriority w:val="0"/>
    <w:rPr>
      <w:rFonts w:ascii="Cambria" w:hAnsi="黑体" w:eastAsia="黑体" w:cs="黑体"/>
      <w:szCs w:val="22"/>
      <w:lang w:eastAsia="zh-CN"/>
    </w:rPr>
  </w:style>
  <w:style w:type="character" w:customStyle="1" w:styleId="27">
    <w:name w:val="Style4"/>
    <w:basedOn w:val="11"/>
    <w:qFormat/>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14</Pages>
  <Words>748</Words>
  <Characters>4269</Characters>
  <Lines>35</Lines>
  <Paragraphs>10</Paragraphs>
  <TotalTime>4</TotalTime>
  <ScaleCrop>false</ScaleCrop>
  <LinksUpToDate>false</LinksUpToDate>
  <CharactersWithSpaces>5007</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caizhengju</cp:lastModifiedBy>
  <dcterms:modified xsi:type="dcterms:W3CDTF">2024-01-03T08:54:31Z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844F2A45A02374AF47B094655FC5553C</vt:lpwstr>
  </property>
</Properties>
</file>