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bookmarkStart w:id="0" w:name="_GoBack"/>
      <w:bookmarkEnd w:id="0"/>
      <w:r>
        <w:rPr>
          <w:rFonts w:ascii="黑体" w:hAnsi="宋体" w:eastAsia="黑体"/>
          <w:color w:val="002060"/>
          <w:sz w:val="72"/>
          <w:szCs w:val="72"/>
        </w:rPr>
        <w:drawing>
          <wp:anchor distT="0" distB="0" distL="114300" distR="114300" simplePos="0" relativeHeight="251664384" behindDoc="1" locked="0" layoutInCell="1" allowOverlap="1">
            <wp:simplePos x="0" y="0"/>
            <wp:positionH relativeFrom="column">
              <wp:posOffset>-993775</wp:posOffset>
            </wp:positionH>
            <wp:positionV relativeFrom="paragraph">
              <wp:posOffset>-1358265</wp:posOffset>
            </wp:positionV>
            <wp:extent cx="7576820" cy="10796905"/>
            <wp:effectExtent l="0" t="0" r="5080" b="4445"/>
            <wp:wrapNone/>
            <wp:docPr id="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7"/>
                    <pic:cNvPicPr>
                      <a:picLocks noChangeAspect="1"/>
                    </pic:cNvPicPr>
                  </pic:nvPicPr>
                  <pic:blipFill>
                    <a:blip r:embed="rId6"/>
                    <a:stretch>
                      <a:fillRect/>
                    </a:stretch>
                  </pic:blipFill>
                  <pic:spPr>
                    <a:xfrm>
                      <a:off x="0" y="0"/>
                      <a:ext cx="7576820" cy="10796905"/>
                    </a:xfrm>
                    <a:prstGeom prst="rect">
                      <a:avLst/>
                    </a:prstGeom>
                    <a:noFill/>
                    <a:ln>
                      <a:noFill/>
                    </a:ln>
                  </pic:spPr>
                </pic:pic>
              </a:graphicData>
            </a:graphic>
          </wp:anchor>
        </w:drawing>
      </w:r>
    </w:p>
    <w:p>
      <w:pPr>
        <w:widowControl/>
        <w:jc w:val="center"/>
        <w:rPr>
          <w:rFonts w:ascii="黑体" w:hAnsi="宋体" w:eastAsia="黑体"/>
          <w:color w:val="002060"/>
          <w:sz w:val="72"/>
          <w:szCs w:val="72"/>
        </w:rPr>
      </w:pPr>
      <w:r>
        <w:rPr>
          <w:sz w:val="72"/>
        </w:rPr>
        <mc:AlternateContent>
          <mc:Choice Requires="wps">
            <w:drawing>
              <wp:anchor distT="0" distB="0" distL="114300" distR="114300" simplePos="0" relativeHeight="251659264" behindDoc="0" locked="0" layoutInCell="1" allowOverlap="1">
                <wp:simplePos x="0" y="0"/>
                <wp:positionH relativeFrom="column">
                  <wp:posOffset>-1049020</wp:posOffset>
                </wp:positionH>
                <wp:positionV relativeFrom="paragraph">
                  <wp:posOffset>372110</wp:posOffset>
                </wp:positionV>
                <wp:extent cx="7571740" cy="2466975"/>
                <wp:effectExtent l="0" t="0" r="0" b="0"/>
                <wp:wrapNone/>
                <wp:docPr id="1" name="文本框 8"/>
                <wp:cNvGraphicFramePr/>
                <a:graphic xmlns:a="http://schemas.openxmlformats.org/drawingml/2006/main">
                  <a:graphicData uri="http://schemas.microsoft.com/office/word/2010/wordprocessingShape">
                    <wps:wsp>
                      <wps:cNvSpPr/>
                      <wps:spPr>
                        <a:xfrm>
                          <a:off x="0" y="0"/>
                          <a:ext cx="7571740" cy="2466975"/>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河北省无极县残疾人联合会</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wps:txbx>
                      <wps:bodyPr upright="1"/>
                    </wps:wsp>
                  </a:graphicData>
                </a:graphic>
              </wp:anchor>
            </w:drawing>
          </mc:Choice>
          <mc:Fallback>
            <w:pict>
              <v:rect id="文本框 8" o:spid="_x0000_s1026" o:spt="1" style="position:absolute;left:0pt;margin-left:-82.6pt;margin-top:29.3pt;height:194.25pt;width:596.2pt;z-index:251659264;mso-width-relative:page;mso-height-relative:page;" filled="f" stroked="f" coordsize="21600,21600" o:gfxdata="UEsFBgAAAAAAAAAAAAAAAAAAAAAAAFBLAwQKAAAAAACHTuJAAAAAAAAAAAAAAAAABAAAAGRycy9Q&#10;SwMEFAAAAAgAh07iQOcnwKPcAAAADAEAAA8AAABkcnMvZG93bnJldi54bWxNj8FuwjAMhu+T9g6R&#10;J+0yQdIKCuqackCahqZJiLJxDo1pKxqnNKFlb79w2o62P/3+/mx1My0bsHeNJQnRVABDKq1uqJLw&#10;tX+bLIE5r0ir1hJK+EEHq/zxIVOptiPtcCh8xUIIuVRJqL3vUs5dWaNRbmo7pHA72d4oH8a+4rpX&#10;Ywg3LY+FSLhRDYUPtepwXWN5Lq5Gwlhuh8P+851vXw4bS5fNZV18f0j5/BSJV2Aeb/4Phrt+UIc8&#10;OB3tlbRjrYRJlMzjwEqYLxNgd0LEi7A5SpjNFhHwPOP/S+S/UEsDBBQAAAAIAIdO4kDlYPlNpwEA&#10;AEUDAAAOAAAAZHJzL2Uyb0RvYy54bWytUjtuGzEU7APkDgT7iJJgS85CKzeC3RixAScHoLiklgB/&#10;4KO0qwvEN0iVJn3OpXPkkbuRE7tx4Yb7fjtvZsjVdW8NOcgI2ruaziZTSqQTvtFuV9NvX28+XVEC&#10;ibuGG+9kTY8S6PX644dVFyo59603jYwEQRxUXahpm1KoGAPRSsth4oN02FQ+Wp4wjTvWRN4hujVs&#10;Pp0uWOdjE6IXEgCrm6FJR8T4FkCvlBZy48XeSpcG1CgNTygJWh2ArgtbpaRI90qBTMTUFJWmcuIS&#10;jLf5ZOsVr3aRh1aLkQJ/C4UXmizXDpeeoTY8cbKP+hWU1SJ68CpNhLdsEFIcQRWz6QtvHlseZNGC&#10;VkM4mw7vByu+HB4i0Q2+BEoct3jhpx9Pp5+/T7++k6tsTxegwqnH8BDHDDDMWnsVbf6iCtIXS49n&#10;S2WfiMDi8nI5W16g2wJ784vF4vPyMqOy599DhHQrvSU5qGnEOytW8sMdpGH070je5vyNNgbrvDLu&#10;vwJi5grLjAeOOUr9th+Jb31zRLX7EPWuxVWzwiQPobuF0/gS8vX9mxfQ59e//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WAAAAZHJzL1BL&#10;AQIUABQAAAAIAIdO4kDnJ8Cj3AAAAAwBAAAPAAAAAAAAAAEAIAAAADgAAABkcnMvZG93bnJldi54&#10;bWxQSwECFAAUAAAACACHTuJA5WD5TacBAABFAwAADgAAAAAAAAABACAAAABBAQAAZHJzL2Uyb0Rv&#10;Yy54bWxQSwUGAAAAAAYABgBZAQAAWgU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河北省无极县残疾人联合会</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rect>
            </w:pict>
          </mc:Fallback>
        </mc:AlternateConten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河北省无极县残疾人联合会</w:t>
      </w:r>
      <w:r>
        <w:rPr>
          <w:rFonts w:eastAsia="黑体"/>
          <w:sz w:val="32"/>
          <w:szCs w:val="32"/>
        </w:rPr>
        <w:t>部门概况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河北省无极县残疾人联合会</w:t>
      </w:r>
      <w:r>
        <w:rPr>
          <w:rFonts w:eastAsia="黑体"/>
          <w:sz w:val="32"/>
          <w:szCs w:val="32"/>
        </w:rPr>
        <w:t>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河北省无极县残疾人联合会</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r>
        <w:br w:type="page"/>
      </w:r>
    </w:p>
    <w:p>
      <w:r>
        <w:rPr>
          <w:rFonts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-1018540</wp:posOffset>
            </wp:positionH>
            <wp:positionV relativeFrom="paragraph">
              <wp:posOffset>-1345565</wp:posOffset>
            </wp:positionV>
            <wp:extent cx="7585710" cy="10727055"/>
            <wp:effectExtent l="0" t="0" r="15240" b="17145"/>
            <wp:wrapNone/>
            <wp:docPr id="7"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2"/>
                    <pic:cNvPicPr>
                      <a:picLocks noChangeAspect="1"/>
                    </pic:cNvPicPr>
                  </pic:nvPicPr>
                  <pic:blipFill>
                    <a:blip r:embed="rId7"/>
                    <a:stretch>
                      <a:fillRect/>
                    </a:stretch>
                  </pic:blipFill>
                  <pic:spPr>
                    <a:xfrm>
                      <a:off x="0" y="0"/>
                      <a:ext cx="7585710" cy="10727055"/>
                    </a:xfrm>
                    <a:prstGeom prst="rect">
                      <a:avLst/>
                    </a:prstGeom>
                    <a:noFill/>
                    <a:ln>
                      <a:noFill/>
                    </a:ln>
                  </pic:spPr>
                </pic:pic>
              </a:graphicData>
            </a:graphic>
          </wp:anchor>
        </w:drawing>
      </w:r>
      <w:r>
        <w:rPr>
          <w:sz w:val="72"/>
        </w:rPr>
        <mc:AlternateContent>
          <mc:Choice Requires="wps">
            <w:drawing>
              <wp:anchor distT="0" distB="0" distL="114300" distR="114300" simplePos="0" relativeHeight="251660288" behindDoc="0" locked="0" layoutInCell="1" allowOverlap="1">
                <wp:simplePos x="0" y="0"/>
                <wp:positionH relativeFrom="column">
                  <wp:posOffset>-1229360</wp:posOffset>
                </wp:positionH>
                <wp:positionV relativeFrom="paragraph">
                  <wp:posOffset>3290570</wp:posOffset>
                </wp:positionV>
                <wp:extent cx="7793355" cy="1037590"/>
                <wp:effectExtent l="0" t="0" r="0" b="0"/>
                <wp:wrapNone/>
                <wp:docPr id="2" name="文本框 118"/>
                <wp:cNvGraphicFramePr/>
                <a:graphic xmlns:a="http://schemas.openxmlformats.org/drawingml/2006/main">
                  <a:graphicData uri="http://schemas.microsoft.com/office/word/2010/wordprocessingShape">
                    <wps:wsp>
                      <wps:cNvSpPr/>
                      <wps:spPr>
                        <a:xfrm>
                          <a:off x="0" y="0"/>
                          <a:ext cx="7793355" cy="1037590"/>
                        </a:xfrm>
                        <a:prstGeom prst="rect">
                          <a:avLst/>
                        </a:prstGeom>
                        <a:noFill/>
                        <a:ln>
                          <a:noFill/>
                        </a:ln>
                      </wps:spPr>
                      <wps:txbx>
                        <w:txbxContent>
                          <w:p>
                            <w:pPr>
                              <w:widowControl/>
                              <w:jc w:val="center"/>
                              <w:rPr>
                                <w:color w:val="FDEFBE"/>
                                <w:sz w:val="96"/>
                                <w:szCs w:val="96"/>
                              </w:rPr>
                            </w:pPr>
                            <w:r>
                              <w:rPr>
                                <w:rFonts w:hint="eastAsia" w:ascii="黑体" w:hAnsi="宋体" w:eastAsia="黑体"/>
                                <w:color w:val="FDEFBE"/>
                                <w:sz w:val="96"/>
                                <w:szCs w:val="96"/>
                              </w:rPr>
                              <w:t>第一部分  部门概况</w:t>
                            </w:r>
                          </w:p>
                        </w:txbxContent>
                      </wps:txbx>
                      <wps:bodyPr upright="1"/>
                    </wps:wsp>
                  </a:graphicData>
                </a:graphic>
              </wp:anchor>
            </w:drawing>
          </mc:Choice>
          <mc:Fallback>
            <w:pict>
              <v:rect id="文本框 118" o:spid="_x0000_s1026" o:spt="1" style="position:absolute;left:0pt;margin-left:-96.8pt;margin-top:259.1pt;height:81.7pt;width:613.65pt;z-index:251660288;mso-width-relative:page;mso-height-relative:page;" filled="f" stroked="f" coordsize="21600,21600" o:gfxdata="UEsFBgAAAAAAAAAAAAAAAAAAAAAAAFBLAwQKAAAAAACHTuJAAAAAAAAAAAAAAAAABAAAAGRycy9Q&#10;SwMEFAAAAAgAh07iQP1VmPjeAAAADQEAAA8AAABkcnMvZG93bnJldi54bWxNj8FOwzAQRO9I/IO1&#10;SFxQa6cRIQ1xeqiEqBBSRUp7duMliYjXaewm5e9xT3BczdPM23x1MR0bcXCtJQnRXABDqqxuqZbw&#10;uXuZpcCcV6RVZwkl/KCDVXF7k6tM24k+cCx9zUIJuUxJaLzvM85d1aBRbm57pJB92cEoH86h5npQ&#10;Uyg3HV8IkXCjWgoLjepx3WD1XZ6NhKnajofd+yvfPhw2lk6b07rcv0l5fxeJZ2AeL/4Phqt+UIci&#10;OB3tmbRjnYRZtIyTwEp4jNIFsCsi4vgJ2FFCkkYJ8CLn/78ofgFQSwMEFAAAAAgAh07iQF71AWOq&#10;AQAARwMAAA4AAABkcnMvZTJvRG9jLnhtbK1SS44TMRDdI3EHy3vi7kQhM610ZhMNGwQjDRzAcdtp&#10;S/6p7KQ7F4AbsGLDnnPlHJSdJgPDZhZs3FXl16/qvfL6brSGHCVE7V1L61lFiXTCd9rtW/r50/2b&#10;G0pi4q7jxjvZ0pOM9G7z+tV6CI2c+96bTgJBEhebIbS0Tyk0jEXRS8vjzAfp8FJ5sDxhCnvWAR+Q&#10;3Ro2r6q3bPDQBfBCxojV7eWSTozwEkKvlBZy68XBSpcurCANTygp9jpEuinTKiVF+qhUlImYlqLS&#10;VE5sgvEun2yz5s0eeOi1mEbgLxnhmSbLtcOmV6otT5wcQP9DZbUAH71KM+EtuwgpjqCKunrmzWPP&#10;gyxa0OoYrqbH/0crPhwfgOiupXNKHLe48PO3r+fvP88/vpC6vskGDSE2iHsMDzBlEcOsdlRg8xd1&#10;kLGYerqaKsdEBBZXq9vFYrmkROBdXS1Wy9tiO3v6PUBM76S3JActBdxaMZMf38eELRH6G5K7OX+v&#10;jSmbM+6vAgJzheWJLzPmKI27cRp857sT6j0E0PseW9VZX4Gjv6XR9BbyAv/MC+rp/W9+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BYAAABk&#10;cnMvUEsBAhQAFAAAAAgAh07iQP1VmPjeAAAADQEAAA8AAAAAAAAAAQAgAAAAOAAAAGRycy9kb3du&#10;cmV2LnhtbFBLAQIUABQAAAAIAIdO4kBe9QFjqgEAAEcDAAAOAAAAAAAAAAEAIAAAAEMBAABkcnMv&#10;ZTJvRG9jLnhtbFBLBQYAAAAABgAGAFkBAABfBQAAAAA=&#10;">
                <v:fill on="f" focussize="0,0"/>
                <v:stroke on="f"/>
                <v:imagedata o:title=""/>
                <o:lock v:ext="edit" aspectratio="f"/>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rect>
            </w:pict>
          </mc:Fallback>
        </mc:AlternateContent>
      </w:r>
    </w:p>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autoSpaceDE w:val="0"/>
        <w:autoSpaceDN w:val="0"/>
        <w:adjustRightInd w:val="0"/>
        <w:spacing w:after="0" w:line="560" w:lineRule="exact"/>
        <w:ind w:firstLine="640" w:firstLineChars="200"/>
        <w:jc w:val="left"/>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河北省无极县残疾人联合会是负责主管全县残疾人员的职能部门，主要职责是：代表残疾人共同利益，维护残疾人合法权益；开展各项业务和活动，直接为残疾人服务承担政府委托的部门行政职能，发展和管理残疾人事业。</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 xml:space="preserve">    从决算编报单位构成看，纳入2018 年度本部门决算汇编范围的独立核算单位（以下简称“单位”）共1个，具体情况如下：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仿宋_GB2312" w:hAnsi="Calibri" w:eastAsia="仿宋_GB2312" w:cs="ArialUnicodeMS"/>
                <w:kern w:val="0"/>
                <w:sz w:val="32"/>
                <w:szCs w:val="32"/>
              </w:rPr>
              <w:t>河北省无极县残疾人联合会</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bl>
    <w:p>
      <w:pPr>
        <w:widowControl/>
        <w:spacing w:line="560" w:lineRule="exact"/>
        <w:rPr>
          <w:rFonts w:ascii="黑体" w:hAnsi="Cambria" w:eastAsia="黑体" w:cs="MS-UIGothic,Bold"/>
          <w:bCs/>
          <w:kern w:val="0"/>
          <w:sz w:val="52"/>
          <w:szCs w:val="52"/>
        </w:rPr>
      </w:pPr>
    </w:p>
    <w:p>
      <w:pPr>
        <w:widowControl/>
        <w:spacing w:line="560" w:lineRule="exact"/>
        <w:jc w:val="center"/>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-1017270</wp:posOffset>
            </wp:positionH>
            <wp:positionV relativeFrom="paragraph">
              <wp:posOffset>-1320800</wp:posOffset>
            </wp:positionV>
            <wp:extent cx="7571105" cy="10680065"/>
            <wp:effectExtent l="0" t="0" r="10795" b="6985"/>
            <wp:wrapNone/>
            <wp:docPr id="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6"/>
                    <pic:cNvPicPr>
                      <a:picLocks noChangeAspect="1"/>
                    </pic:cNvPicPr>
                  </pic:nvPicPr>
                  <pic:blipFill>
                    <a:blip r:embed="rId7"/>
                    <a:stretch>
                      <a:fillRect/>
                    </a:stretch>
                  </pic:blipFill>
                  <pic:spPr>
                    <a:xfrm>
                      <a:off x="0" y="0"/>
                      <a:ext cx="7571105" cy="10680065"/>
                    </a:xfrm>
                    <a:prstGeom prst="rect">
                      <a:avLst/>
                    </a:prstGeom>
                    <a:noFill/>
                    <a:ln>
                      <a:noFill/>
                    </a:ln>
                  </pic:spPr>
                </pic:pic>
              </a:graphicData>
            </a:graphic>
          </wp:anchor>
        </w:drawing>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cols w:space="720" w:num="1"/>
          <w:docGrid w:type="lines" w:linePitch="312" w:charSpace="0"/>
        </w:sectPr>
      </w:pPr>
      <w:r>
        <w:rPr>
          <w:sz w:val="72"/>
        </w:rPr>
        <mc:AlternateContent>
          <mc:Choice Requires="wps">
            <w:drawing>
              <wp:anchor distT="0" distB="0" distL="114300" distR="114300" simplePos="0" relativeHeight="251661312" behindDoc="0" locked="0" layoutInCell="1" allowOverlap="1">
                <wp:simplePos x="0" y="0"/>
                <wp:positionH relativeFrom="column">
                  <wp:posOffset>-935990</wp:posOffset>
                </wp:positionH>
                <wp:positionV relativeFrom="paragraph">
                  <wp:posOffset>1527810</wp:posOffset>
                </wp:positionV>
                <wp:extent cx="7571740" cy="2020570"/>
                <wp:effectExtent l="0" t="0" r="0" b="0"/>
                <wp:wrapNone/>
                <wp:docPr id="3" name="文本框 17"/>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wps:txbx>
                      <wps:bodyPr upright="1"/>
                    </wps:wsp>
                  </a:graphicData>
                </a:graphic>
              </wp:anchor>
            </w:drawing>
          </mc:Choice>
          <mc:Fallback>
            <w:pict>
              <v:rect id="文本框 17" o:spid="_x0000_s1026" o:spt="1" style="position:absolute;left:0pt;margin-left:-73.7pt;margin-top:120.3pt;height:159.1pt;width:596.2pt;z-index:251661312;mso-width-relative:page;mso-height-relative:page;" filled="f" stroked="f" coordsize="21600,21600" o:gfxdata="UEsFBgAAAAAAAAAAAAAAAAAAAAAAAFBLAwQKAAAAAACHTuJAAAAAAAAAAAAAAAAABAAAAGRycy9Q&#10;SwMEFAAAAAgAh07iQLrUmLfdAAAADQEAAA8AAABkcnMvZG93bnJldi54bWxNj8FqwzAQRO+F/oPY&#10;Qi8lkRzs1DiWcwiUhlIIdZqcFWtrm1orx1Ls9O+rnNrjso+ZN/n6ajo24uBaSxKiuQCGVFndUi3h&#10;c/8yS4E5r0irzhJK+EEH6+L+LleZthN94Fj6moUQcpmS0HjfZ5y7qkGj3Nz2SOH3ZQejfDiHmutB&#10;TSHcdHwhxJIb1VJoaFSPmwar7/JiJEzVbjzu31/57um4tXTenjfl4U3Kx4dIrIB5vPo/GG76QR2K&#10;4HSyF9KOdRJmUfwcB1bCIhZLYDdExEnYd5KQJGkKvMj5/xXFL1BLAwQUAAAACACHTuJA+EUvoKgB&#10;AABGAwAADgAAAGRycy9lMm9Eb2MueG1srVJLbtswEN0X6B0I7mtKTlMVguVsjHRTtAHSHoCmSIsA&#10;fxjSlnyB9gZdddN9z+VzdEgrTptussiGmhk+vZn3hqubyRpykBC1dx2tFxUl0gnfa7fr6Ncvt2/e&#10;UxITdz033smOHmWkN+vXr1ZjaOXSD970EgiSuNiOoaNDSqFlLIpBWh4XPkiHl8qD5QlT2LEe+Ijs&#10;1rBlVb1jo4c+gBcyRqxuzpd0ZoTnEHqltJAbL/ZWunRmBWl4Qklx0CHSdZlWKSnSZ6WiTMR0FJWm&#10;cmITjLf5ZOsVb3fAw6DFPAJ/zghPNFmuHTa9UG144mQP+j8qqwX46FVaCG/ZWUhxBFXU1RNv7gce&#10;ZNGCVsdwMT2+HK34dLgDovuOXlHiuMWFn358P/38ffr1jdRN9mcMsUXYfbiDOYsYZrGTApu/KINM&#10;xdPjxVM5JSKw2Fw3dfMW7RZ4t6yW1XVTXGePvweI6YP0luSgo4BLK17yw8eYsCVCHyC5m/O32piy&#10;OOP+KSAwV1ie+DxjjtK0nebBt74/otx9AL0bsFWd9RU42lsazU8h7+/vvKAen//6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BYAAABkcnMv&#10;UEsBAhQAFAAAAAgAh07iQLrUmLfdAAAADQEAAA8AAAAAAAAAAQAgAAAAOAAAAGRycy9kb3ducmV2&#10;LnhtbFBLAQIUABQAAAAIAIdO4kD4RS+gqAEAAEYDAAAOAAAAAAAAAAEAIAAAAEIBAABkcnMvZTJv&#10;RG9jLnhtbFBLBQYAAAAABgAGAFkBAABcBQ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mc:Fallback>
        </mc:AlternateContent>
      </w:r>
    </w:p>
    <w:tbl>
      <w:tblPr>
        <w:tblStyle w:val="10"/>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kern w:val="0"/>
                <w:sz w:val="20"/>
                <w:szCs w:val="20"/>
              </w:rPr>
              <w:t>河北省无极县残疾人联合会</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439.51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450.79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72.47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439.51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531.26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103.22</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11.47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542.73</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542.73</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 w:val="20"/>
                <w:szCs w:val="20"/>
              </w:rPr>
              <w:t>河北省无极县残疾人联合会</w:t>
            </w: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439.51</w:t>
            </w: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 w:val="18"/>
                <w:szCs w:val="18"/>
              </w:rPr>
            </w:pPr>
            <w:r>
              <w:rPr>
                <w:rFonts w:hint="eastAsia" w:ascii="宋体" w:hAnsi="宋体" w:cs="宋体"/>
                <w:b/>
                <w:color w:val="000000"/>
                <w:sz w:val="18"/>
                <w:szCs w:val="18"/>
              </w:rPr>
              <w:t>439.51</w:t>
            </w: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社会保障和就业支出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395.00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395.00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20811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残疾人事业</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395.00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395.00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2081101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 xml:space="preserve">  行政运行</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107.50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107.50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2081104</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 xml:space="preserve">  残疾人康复</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71.00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71.00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2081105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 xml:space="preserve">  残疾人就业和扶贫</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59.77</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59.77</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2081199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 xml:space="preserve">  其他残疾人事业支出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156.73</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156.73</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210</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医疗卫生与计划生育支出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21004</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公共卫生</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2100409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 xml:space="preserve">  重大公共卫生专项</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229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其他支出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36.51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36.51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567" w:hRule="exac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22960</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ascii="宋体" w:hAnsi="宋体" w:cs="Arial"/>
                <w:color w:val="000000"/>
                <w:sz w:val="13"/>
                <w:szCs w:val="13"/>
              </w:rPr>
              <w:t>彩票公益金及对应专项债务收入安排的支出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36.51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36.51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000" w:type="dxa"/>
        <w:tblInd w:w="15"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 w:val="20"/>
                <w:szCs w:val="20"/>
              </w:rPr>
              <w:t>河北省无极县残疾人联合会</w:t>
            </w: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531.26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174.76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356.50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b/>
                <w:color w:val="000000"/>
                <w:szCs w:val="21"/>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社会保障和就业支出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450.79</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174.76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276.03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20811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残疾人事业</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450.79</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174.76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276.03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2081101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 xml:space="preserve">  行政运行</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174.76</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174.76</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2081104</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 xml:space="preserve">  残疾人康复</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71.00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71.00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2081105</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 xml:space="preserve">  残疾人就业和扶贫</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48.50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48.50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2081199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 xml:space="preserve">  其他残疾人事业支出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156.53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156.53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210</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医疗卫生与计划生育支出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21004</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公共卫生</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2100409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 xml:space="preserve">  重大公共卫生专项</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8.00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229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其他支出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72.47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72.47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22960</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彩票公益金及对应专项债务收入安排的支出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72.47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72.47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0"/>
                <w:szCs w:val="20"/>
              </w:rPr>
            </w:pPr>
            <w:r>
              <w:rPr>
                <w:rFonts w:hint="eastAsia" w:ascii="宋体" w:hAnsi="宋体" w:cs="Arial"/>
                <w:color w:val="000000"/>
                <w:sz w:val="20"/>
                <w:szCs w:val="20"/>
              </w:rPr>
              <w:t>2296006</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0"/>
                <w:szCs w:val="10"/>
              </w:rPr>
            </w:pPr>
            <w:r>
              <w:rPr>
                <w:rFonts w:hint="eastAsia" w:ascii="宋体" w:hAnsi="宋体" w:cs="Arial"/>
                <w:color w:val="000000"/>
                <w:sz w:val="10"/>
                <w:szCs w:val="10"/>
              </w:rPr>
              <w:t xml:space="preserve">  用于残疾人事业的彩票公益金支出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72.47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0"/>
                <w:szCs w:val="20"/>
              </w:rPr>
            </w:pPr>
            <w:r>
              <w:rPr>
                <w:rFonts w:hint="eastAsia" w:ascii="宋体" w:hAnsi="宋体" w:cs="Arial"/>
                <w:color w:val="000000"/>
                <w:sz w:val="20"/>
                <w:szCs w:val="20"/>
              </w:rPr>
              <w:t>72.47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20"/>
                <w:szCs w:val="20"/>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注：本表反映部门本年度各项支出情况。</w:t>
            </w:r>
          </w:p>
        </w:tc>
      </w:tr>
    </w:tbl>
    <w:p>
      <w:pPr>
        <w:widowControl/>
        <w:spacing w:after="0" w:line="560" w:lineRule="exact"/>
        <w:ind w:firstLine="420" w:firstLineChars="200"/>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16"/>
                <w:szCs w:val="16"/>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16"/>
                <w:szCs w:val="16"/>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16"/>
                <w:szCs w:val="16"/>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16"/>
                <w:szCs w:val="16"/>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16"/>
                <w:szCs w:val="16"/>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16"/>
                <w:szCs w:val="16"/>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16"/>
                <w:szCs w:val="16"/>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16"/>
                <w:szCs w:val="16"/>
              </w:rPr>
            </w:pPr>
            <w:r>
              <w:rPr>
                <w:rFonts w:hint="eastAsia" w:ascii="宋体" w:hAnsi="宋体" w:cs="宋体"/>
                <w:color w:val="000000"/>
                <w:kern w:val="0"/>
                <w:sz w:val="16"/>
                <w:szCs w:val="16"/>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部门：</w:t>
            </w:r>
            <w:r>
              <w:rPr>
                <w:rFonts w:hint="eastAsia" w:ascii="宋体" w:hAnsi="宋体" w:cs="宋体"/>
                <w:kern w:val="0"/>
                <w:sz w:val="16"/>
                <w:szCs w:val="16"/>
              </w:rPr>
              <w:t>河北省无极县残疾人联合会</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16"/>
                <w:szCs w:val="16"/>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16"/>
                <w:szCs w:val="16"/>
              </w:rPr>
            </w:pPr>
            <w:r>
              <w:rPr>
                <w:rFonts w:hint="eastAsia" w:ascii="宋体" w:hAnsi="宋体" w:cs="宋体"/>
                <w:color w:val="000000"/>
                <w:kern w:val="0"/>
                <w:sz w:val="16"/>
                <w:szCs w:val="16"/>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收     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403.00</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36.51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450.79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450.79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8.00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8.00</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72.47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72.47</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6"/>
                <w:szCs w:val="16"/>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6"/>
                <w:szCs w:val="16"/>
              </w:rPr>
            </w:pPr>
            <w:r>
              <w:rPr>
                <w:rFonts w:hint="eastAsia" w:ascii="宋体" w:hAnsi="宋体" w:cs="宋体"/>
                <w:b/>
                <w:color w:val="000000"/>
                <w:kern w:val="0"/>
                <w:sz w:val="16"/>
                <w:szCs w:val="16"/>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439.51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6"/>
                <w:szCs w:val="16"/>
              </w:rPr>
            </w:pPr>
            <w:r>
              <w:rPr>
                <w:rFonts w:hint="eastAsia" w:ascii="宋体" w:hAnsi="宋体" w:cs="宋体"/>
                <w:b/>
                <w:color w:val="000000"/>
                <w:kern w:val="0"/>
                <w:sz w:val="16"/>
                <w:szCs w:val="16"/>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531.26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458.79</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72.47</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103.22</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11.47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11.47</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67.26</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35.96</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　</w:t>
            </w:r>
          </w:p>
        </w:tc>
      </w:tr>
      <w:tr>
        <w:tblPrEx>
          <w:tblCellMar>
            <w:top w:w="0" w:type="dxa"/>
            <w:left w:w="0" w:type="dxa"/>
            <w:bottom w:w="0" w:type="dxa"/>
            <w:right w:w="0" w:type="dxa"/>
          </w:tblCellMar>
        </w:tblPrEx>
        <w:trPr>
          <w:trHeight w:val="369" w:hRule="exac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6"/>
                <w:szCs w:val="16"/>
              </w:rPr>
            </w:pPr>
            <w:r>
              <w:rPr>
                <w:rFonts w:hint="eastAsia" w:ascii="宋体" w:hAnsi="宋体" w:cs="宋体"/>
                <w:b/>
                <w:color w:val="000000"/>
                <w:kern w:val="0"/>
                <w:sz w:val="16"/>
                <w:szCs w:val="16"/>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542.73</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6"/>
                <w:szCs w:val="16"/>
              </w:rPr>
            </w:pPr>
            <w:r>
              <w:rPr>
                <w:rFonts w:hint="eastAsia" w:ascii="宋体" w:hAnsi="宋体" w:cs="宋体"/>
                <w:b/>
                <w:color w:val="000000"/>
                <w:kern w:val="0"/>
                <w:sz w:val="16"/>
                <w:szCs w:val="16"/>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6"/>
                <w:szCs w:val="16"/>
              </w:rPr>
            </w:pPr>
            <w:r>
              <w:rPr>
                <w:rFonts w:hint="eastAsia" w:ascii="宋体" w:hAnsi="宋体" w:cs="宋体"/>
                <w:color w:val="000000"/>
                <w:kern w:val="0"/>
                <w:sz w:val="16"/>
                <w:szCs w:val="16"/>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542.73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470.26</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6"/>
                <w:szCs w:val="16"/>
              </w:rPr>
            </w:pPr>
            <w:r>
              <w:rPr>
                <w:rFonts w:hint="eastAsia" w:cs="Arial"/>
                <w:color w:val="000000"/>
                <w:sz w:val="16"/>
                <w:szCs w:val="16"/>
              </w:rPr>
              <w:t>72.47</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6"/>
                <w:szCs w:val="16"/>
              </w:rPr>
            </w:pPr>
            <w:r>
              <w:rPr>
                <w:rFonts w:hint="eastAsia" w:ascii="宋体" w:hAnsi="宋体" w:cs="宋体"/>
                <w:color w:val="000000"/>
                <w:kern w:val="0"/>
                <w:sz w:val="16"/>
                <w:szCs w:val="16"/>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 w:val="20"/>
                <w:szCs w:val="20"/>
              </w:rPr>
              <w:t>河北省无极县残疾人联合会</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624" w:hRule="exac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458.79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174.76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22"/>
                <w:szCs w:val="22"/>
              </w:rPr>
            </w:pPr>
            <w:r>
              <w:rPr>
                <w:rFonts w:hint="eastAsia" w:cs="Arial"/>
                <w:b/>
                <w:bCs/>
                <w:color w:val="000000"/>
                <w:sz w:val="22"/>
                <w:szCs w:val="22"/>
              </w:rPr>
              <w:t>284.03</w:t>
            </w: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cs="Arial"/>
                <w:color w:val="000000"/>
                <w:sz w:val="13"/>
                <w:szCs w:val="13"/>
              </w:rPr>
              <w:t>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450.79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174.76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276.03</w:t>
            </w: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20811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cs="Arial"/>
                <w:color w:val="000000"/>
                <w:sz w:val="13"/>
                <w:szCs w:val="13"/>
              </w:rPr>
              <w:t>残疾人事业</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450.79</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174.76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276.03</w:t>
            </w: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2081101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cs="Arial"/>
                <w:color w:val="000000"/>
                <w:sz w:val="13"/>
                <w:szCs w:val="13"/>
              </w:rPr>
              <w:t xml:space="preserve">  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174.76</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174.76</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2081104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cs="Arial"/>
                <w:color w:val="000000"/>
                <w:sz w:val="13"/>
                <w:szCs w:val="13"/>
              </w:rPr>
              <w:t xml:space="preserve">  残疾人康复</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71.00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71.00</w:t>
            </w: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2081105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cs="Arial"/>
                <w:color w:val="000000"/>
                <w:sz w:val="13"/>
                <w:szCs w:val="13"/>
              </w:rPr>
              <w:t xml:space="preserve">  残疾人就业和扶贫</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48.50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48.50</w:t>
            </w: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2081199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cs="Arial"/>
                <w:color w:val="000000"/>
                <w:sz w:val="13"/>
                <w:szCs w:val="13"/>
              </w:rPr>
              <w:t xml:space="preserve">  其他残疾人事业支出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156.53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156.53</w:t>
            </w: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210</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cs="Arial"/>
                <w:color w:val="000000"/>
                <w:sz w:val="13"/>
                <w:szCs w:val="13"/>
              </w:rPr>
              <w:t>医疗卫生与计划生育支出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8.00</w:t>
            </w: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21004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cs="Arial"/>
                <w:color w:val="000000"/>
                <w:sz w:val="13"/>
                <w:szCs w:val="13"/>
              </w:rPr>
              <w:t>公共卫生</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8.00</w:t>
            </w: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22"/>
                <w:szCs w:val="22"/>
              </w:rPr>
            </w:pPr>
            <w:r>
              <w:rPr>
                <w:rFonts w:hint="eastAsia" w:cs="Arial"/>
                <w:color w:val="000000"/>
                <w:sz w:val="22"/>
                <w:szCs w:val="22"/>
              </w:rPr>
              <w:t>2100409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3"/>
                <w:szCs w:val="13"/>
              </w:rPr>
            </w:pPr>
            <w:r>
              <w:rPr>
                <w:rFonts w:hint="eastAsia" w:cs="Arial"/>
                <w:color w:val="000000"/>
                <w:sz w:val="13"/>
                <w:szCs w:val="13"/>
              </w:rPr>
              <w:t xml:space="preserve">  重大公共卫生专项</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8.00</w:t>
            </w: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24" w:hRule="exac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kern w:val="0"/>
                <w:sz w:val="20"/>
                <w:szCs w:val="20"/>
              </w:rPr>
              <w:t>河北省无极县残疾人联合会</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56.49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41.45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35.36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7.04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6.02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3.92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5.30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r>
              <w:rPr>
                <w:rFonts w:hint="eastAsia" w:ascii="宋体" w:hAnsi="宋体" w:cs="宋体"/>
                <w:color w:val="000000"/>
                <w:sz w:val="20"/>
                <w:szCs w:val="20"/>
              </w:rPr>
              <w:t>6.14</w:t>
            </w: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0.32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0.16</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r>
              <w:rPr>
                <w:rFonts w:hint="eastAsia" w:ascii="宋体" w:hAnsi="宋体" w:cs="宋体"/>
                <w:color w:val="000000"/>
                <w:sz w:val="20"/>
                <w:szCs w:val="20"/>
              </w:rPr>
              <w:t>6.14</w:t>
            </w: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3.56</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0.63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5.93</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0.18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0.70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24.52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76.82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7.51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69.31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4.30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　</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　</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133.31</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rPr>
                <w:rFonts w:ascii="宋体" w:hAnsi="宋体" w:cs="宋体"/>
                <w:color w:val="000000"/>
                <w:sz w:val="16"/>
                <w:szCs w:val="16"/>
              </w:rPr>
            </w:pPr>
            <w:r>
              <w:rPr>
                <w:rFonts w:hint="eastAsia" w:ascii="宋体" w:hAnsi="宋体" w:cs="宋体"/>
                <w:color w:val="000000"/>
                <w:sz w:val="16"/>
                <w:szCs w:val="16"/>
              </w:rPr>
              <w:t>41.45</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r>
              <w:rPr>
                <w:rFonts w:hint="eastAsia" w:ascii="宋体" w:hAnsi="宋体" w:cs="宋体"/>
                <w:kern w:val="0"/>
                <w:sz w:val="20"/>
                <w:szCs w:val="20"/>
              </w:rPr>
              <w:t>河北省无极县残疾人联合会</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w:t>
            </w:r>
            <w:r>
              <w:rPr>
                <w:rFonts w:hint="eastAsia" w:ascii="宋体" w:hAnsi="宋体" w:cs="宋体"/>
                <w:color w:val="000000"/>
                <w:kern w:val="0"/>
                <w:sz w:val="22"/>
                <w:szCs w:val="22"/>
              </w:rPr>
              <w:t>注：本部门本年度一般公共预算财政拨款“三公”经费支出情况</w:t>
            </w:r>
            <w:r>
              <w:rPr>
                <w:rFonts w:hint="eastAsia" w:ascii="宋体" w:hAnsi="宋体" w:cs="宋体"/>
                <w:color w:val="000000"/>
                <w:kern w:val="0"/>
                <w:szCs w:val="21"/>
              </w:rPr>
              <w:t xml:space="preserve">，按要求空表列示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autofit"/>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kern w:val="0"/>
                <w:sz w:val="20"/>
                <w:szCs w:val="20"/>
              </w:rPr>
              <w:t>河北省无极县残疾人联合会</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567" w:hRule="exac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 w:val="15"/>
                <w:szCs w:val="15"/>
              </w:rPr>
            </w:pPr>
            <w:r>
              <w:rPr>
                <w:rFonts w:hint="eastAsia" w:ascii="宋体" w:hAnsi="宋体" w:cs="宋体"/>
                <w:color w:val="000000"/>
                <w:kern w:val="0"/>
                <w:sz w:val="15"/>
                <w:szCs w:val="15"/>
              </w:rPr>
              <w:t>合计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15"/>
                <w:szCs w:val="15"/>
              </w:rPr>
            </w:pPr>
            <w:r>
              <w:rPr>
                <w:rFonts w:hint="eastAsia" w:ascii="宋体" w:hAnsi="宋体" w:cs="Arial"/>
                <w:b/>
                <w:bCs/>
                <w:color w:val="000000"/>
                <w:sz w:val="15"/>
                <w:szCs w:val="15"/>
              </w:rPr>
              <w:t>35.96</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15"/>
                <w:szCs w:val="15"/>
              </w:rPr>
            </w:pPr>
            <w:r>
              <w:rPr>
                <w:rFonts w:hint="eastAsia" w:ascii="宋体" w:hAnsi="宋体" w:cs="Arial"/>
                <w:b/>
                <w:bCs/>
                <w:color w:val="000000"/>
                <w:sz w:val="15"/>
                <w:szCs w:val="15"/>
              </w:rPr>
              <w:t>36.51</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15"/>
                <w:szCs w:val="15"/>
              </w:rPr>
            </w:pPr>
            <w:r>
              <w:rPr>
                <w:rFonts w:hint="eastAsia" w:ascii="宋体" w:hAnsi="宋体" w:cs="Arial"/>
                <w:b/>
                <w:bCs/>
                <w:color w:val="000000"/>
                <w:sz w:val="15"/>
                <w:szCs w:val="15"/>
              </w:rPr>
              <w:t>72.47</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15"/>
                <w:szCs w:val="15"/>
              </w:rPr>
            </w:pPr>
            <w:r>
              <w:rPr>
                <w:rFonts w:hint="eastAsia" w:ascii="宋体" w:hAnsi="宋体" w:cs="Arial"/>
                <w:b/>
                <w:bCs/>
                <w:color w:val="000000"/>
                <w:sz w:val="15"/>
                <w:szCs w:val="15"/>
              </w:rPr>
              <w:t>0.00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15"/>
                <w:szCs w:val="15"/>
              </w:rPr>
            </w:pPr>
            <w:r>
              <w:rPr>
                <w:rFonts w:hint="eastAsia" w:ascii="宋体" w:hAnsi="宋体" w:cs="Arial"/>
                <w:b/>
                <w:bCs/>
                <w:color w:val="000000"/>
                <w:sz w:val="15"/>
                <w:szCs w:val="15"/>
              </w:rPr>
              <w:t>72.47</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b/>
                <w:bCs/>
                <w:color w:val="000000"/>
                <w:sz w:val="15"/>
                <w:szCs w:val="15"/>
              </w:rPr>
            </w:pPr>
            <w:r>
              <w:rPr>
                <w:rFonts w:hint="eastAsia" w:ascii="宋体" w:hAnsi="宋体" w:cs="Arial"/>
                <w:b/>
                <w:bCs/>
                <w:color w:val="000000"/>
                <w:sz w:val="15"/>
                <w:szCs w:val="15"/>
              </w:rPr>
              <w:t>0.00</w:t>
            </w:r>
          </w:p>
        </w:tc>
      </w:tr>
      <w:tr>
        <w:tblPrEx>
          <w:tblCellMar>
            <w:top w:w="0" w:type="dxa"/>
            <w:left w:w="0" w:type="dxa"/>
            <w:bottom w:w="0" w:type="dxa"/>
            <w:right w:w="0" w:type="dxa"/>
          </w:tblCellMar>
        </w:tblPrEx>
        <w:trPr>
          <w:trHeight w:val="567" w:hRule="exac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5"/>
                <w:szCs w:val="15"/>
              </w:rPr>
            </w:pPr>
            <w:r>
              <w:rPr>
                <w:rFonts w:hint="eastAsia" w:ascii="宋体" w:hAnsi="宋体" w:cs="Arial"/>
                <w:color w:val="000000"/>
                <w:sz w:val="15"/>
                <w:szCs w:val="15"/>
              </w:rPr>
              <w:t>229</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bottom"/>
          </w:tcPr>
          <w:p>
            <w:pPr>
              <w:rPr>
                <w:rFonts w:ascii="宋体" w:hAnsi="宋体" w:cs="Arial"/>
                <w:color w:val="000000"/>
                <w:sz w:val="15"/>
                <w:szCs w:val="15"/>
              </w:rPr>
            </w:pPr>
            <w:r>
              <w:rPr>
                <w:rFonts w:hint="eastAsia" w:ascii="宋体" w:hAnsi="宋体" w:cs="Arial"/>
                <w:color w:val="000000"/>
                <w:sz w:val="15"/>
                <w:szCs w:val="15"/>
              </w:rPr>
              <w:t>其他支出</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35.96</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36.51</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72.47</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0.00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72.47</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0.00</w:t>
            </w:r>
          </w:p>
        </w:tc>
      </w:tr>
      <w:tr>
        <w:tblPrEx>
          <w:tblCellMar>
            <w:top w:w="0" w:type="dxa"/>
            <w:left w:w="0" w:type="dxa"/>
            <w:bottom w:w="0" w:type="dxa"/>
            <w:right w:w="0" w:type="dxa"/>
          </w:tblCellMar>
        </w:tblPrEx>
        <w:trPr>
          <w:trHeight w:val="567" w:hRule="exac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5"/>
                <w:szCs w:val="15"/>
              </w:rPr>
            </w:pPr>
            <w:r>
              <w:rPr>
                <w:rFonts w:hint="eastAsia" w:ascii="宋体" w:hAnsi="宋体" w:cs="Arial"/>
                <w:color w:val="000000"/>
                <w:sz w:val="15"/>
                <w:szCs w:val="15"/>
              </w:rPr>
              <w:t>22960</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bottom"/>
          </w:tcPr>
          <w:p>
            <w:pPr>
              <w:rPr>
                <w:rFonts w:ascii="宋体" w:hAnsi="宋体" w:cs="Arial"/>
                <w:color w:val="000000"/>
                <w:sz w:val="15"/>
                <w:szCs w:val="15"/>
              </w:rPr>
            </w:pPr>
            <w:r>
              <w:rPr>
                <w:rFonts w:hint="eastAsia" w:ascii="宋体" w:hAnsi="宋体" w:cs="Arial"/>
                <w:color w:val="000000"/>
                <w:sz w:val="15"/>
                <w:szCs w:val="15"/>
              </w:rPr>
              <w:t>彩票公益金及对应专项债务收入安排的支出</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35.96</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36.51</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72.47</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0.00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72.47</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0.00</w:t>
            </w:r>
          </w:p>
        </w:tc>
      </w:tr>
      <w:tr>
        <w:tblPrEx>
          <w:tblCellMar>
            <w:top w:w="0" w:type="dxa"/>
            <w:left w:w="0" w:type="dxa"/>
            <w:bottom w:w="0" w:type="dxa"/>
            <w:right w:w="0" w:type="dxa"/>
          </w:tblCellMar>
        </w:tblPrEx>
        <w:trPr>
          <w:trHeight w:val="567" w:hRule="exac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Arial"/>
                <w:color w:val="000000"/>
                <w:sz w:val="15"/>
                <w:szCs w:val="15"/>
              </w:rPr>
            </w:pPr>
            <w:r>
              <w:rPr>
                <w:rFonts w:hint="eastAsia" w:ascii="宋体" w:hAnsi="宋体" w:cs="Arial"/>
                <w:color w:val="000000"/>
                <w:sz w:val="15"/>
                <w:szCs w:val="15"/>
              </w:rPr>
              <w:t>2296006</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bottom"/>
          </w:tcPr>
          <w:p>
            <w:pPr>
              <w:rPr>
                <w:rFonts w:ascii="宋体" w:hAnsi="宋体" w:cs="Arial"/>
                <w:color w:val="000000"/>
                <w:sz w:val="15"/>
                <w:szCs w:val="15"/>
              </w:rPr>
            </w:pPr>
            <w:r>
              <w:rPr>
                <w:rFonts w:hint="eastAsia" w:ascii="宋体" w:hAnsi="宋体" w:cs="Arial"/>
                <w:color w:val="000000"/>
                <w:sz w:val="15"/>
                <w:szCs w:val="15"/>
              </w:rPr>
              <w:t xml:space="preserve">  用于残疾人事业的彩票公益金支出</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35.96</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36.51</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72.47</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0.00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72.47</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15"/>
                <w:szCs w:val="15"/>
              </w:rPr>
            </w:pPr>
            <w:r>
              <w:rPr>
                <w:rFonts w:hint="eastAsia" w:ascii="宋体" w:hAnsi="宋体" w:cs="Arial"/>
                <w:color w:val="000000"/>
                <w:sz w:val="15"/>
                <w:szCs w:val="15"/>
              </w:rPr>
              <w:t>0.00</w:t>
            </w:r>
          </w:p>
        </w:tc>
      </w:tr>
      <w:tr>
        <w:tblPrEx>
          <w:tblCellMar>
            <w:top w:w="0" w:type="dxa"/>
            <w:left w:w="0" w:type="dxa"/>
            <w:bottom w:w="0" w:type="dxa"/>
            <w:right w:w="0" w:type="dxa"/>
          </w:tblCellMar>
        </w:tblPrEx>
        <w:trPr>
          <w:trHeight w:val="567" w:hRule="exac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567" w:hRule="exac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567" w:hRule="exac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567" w:hRule="exac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567" w:hRule="exac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567" w:hRule="exac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567" w:hRule="exac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bl>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tblInd w:w="15"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kern w:val="0"/>
                <w:sz w:val="20"/>
                <w:szCs w:val="20"/>
              </w:rPr>
              <w:t>河北省无极县残疾人联合</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注：本部门本年度无国有资本经营预算财政拨款支出情况</w:t>
            </w:r>
            <w:r>
              <w:rPr>
                <w:rFonts w:hint="eastAsia" w:ascii="宋体" w:hAnsi="宋体" w:cs="宋体"/>
                <w:color w:val="000000"/>
                <w:kern w:val="0"/>
                <w:szCs w:val="21"/>
              </w:rPr>
              <w:t>，按要求空表列示</w:t>
            </w:r>
            <w:r>
              <w:rPr>
                <w:rFonts w:hint="eastAsia" w:ascii="宋体" w:hAnsi="宋体" w:cs="宋体"/>
                <w:color w:val="000000"/>
                <w:kern w:val="0"/>
                <w:sz w:val="22"/>
                <w:szCs w:val="22"/>
              </w:rPr>
              <w:t>。</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kern w:val="0"/>
                <w:sz w:val="20"/>
                <w:szCs w:val="20"/>
              </w:rPr>
              <w:t>河北省无极县残疾人联合</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171.41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171.41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171.41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124.41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124.41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124.41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47.00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47.00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47.00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169.29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169.29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169.29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123.29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123.29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123.29</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46.00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46.00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46.00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hAnsi="宋体" w:eastAsia="仿宋_GB2312"/>
          <w:b/>
          <w:sz w:val="28"/>
          <w:szCs w:val="28"/>
          <w:highlight w:val="yellow"/>
        </w:rPr>
      </w:pPr>
    </w:p>
    <w:p/>
    <w:p>
      <w:pPr>
        <w:tabs>
          <w:tab w:val="left" w:pos="1086"/>
        </w:tabs>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-1002665</wp:posOffset>
            </wp:positionH>
            <wp:positionV relativeFrom="paragraph">
              <wp:posOffset>-1331595</wp:posOffset>
            </wp:positionV>
            <wp:extent cx="7550150" cy="10680065"/>
            <wp:effectExtent l="0" t="0" r="12700" b="6985"/>
            <wp:wrapNone/>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w:rPr>
          <w:sz w:val="72"/>
        </w:rPr>
        <mc:AlternateContent>
          <mc:Choice Requires="wps">
            <w:drawing>
              <wp:anchor distT="0" distB="0" distL="114300" distR="114300" simplePos="0" relativeHeight="251662336" behindDoc="0" locked="0" layoutInCell="1" allowOverlap="1">
                <wp:simplePos x="0" y="0"/>
                <wp:positionH relativeFrom="column">
                  <wp:posOffset>-993140</wp:posOffset>
                </wp:positionH>
                <wp:positionV relativeFrom="paragraph">
                  <wp:posOffset>2956560</wp:posOffset>
                </wp:positionV>
                <wp:extent cx="7571740" cy="2020570"/>
                <wp:effectExtent l="0" t="0" r="0" b="0"/>
                <wp:wrapNone/>
                <wp:docPr id="4" name="文本框 5"/>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wps:txbx>
                      <wps:bodyPr upright="1"/>
                    </wps:wsp>
                  </a:graphicData>
                </a:graphic>
              </wp:anchor>
            </w:drawing>
          </mc:Choice>
          <mc:Fallback>
            <w:pict>
              <v:rect id="文本框 5" o:spid="_x0000_s1026" o:spt="1" style="position:absolute;left:0pt;margin-left:-78.2pt;margin-top:232.8pt;height:159.1pt;width:596.2pt;z-index:251662336;mso-width-relative:page;mso-height-relative:page;" filled="f" stroked="f" coordsize="21600,21600" o:gfxdata="UEsFBgAAAAAAAAAAAAAAAAAAAAAAAFBLAwQKAAAAAACHTuJAAAAAAAAAAAAAAAAABAAAAGRycy9Q&#10;SwMEFAAAAAgAh07iQAxhbpbeAAAADQEAAA8AAABkcnMvZG93bnJldi54bWxNj8FuwjAQRO+V+g/W&#10;VuqlAjsFQhSy4YBUFVWVUEPL2cRuEjVeh9gk9O9rTvS42qeZN9n6Ylo26N41lhCiqQCmqbSqoQrh&#10;c/8ySYA5L0nJ1pJG+NUO1vn9XSZTZUf60EPhKxZCyKUSofa+Szl3Za2NdFPbaQq/b9sb6cPZV1z1&#10;cgzhpuXPQsTcyIZCQy07val1+VOcDcJY7obD/v2V754OW0un7WlTfL0hPj5EYgXM64u/wXDVD+qQ&#10;B6ejPZNyrEWYRIt4HliEebyIgV0RMYvDviPCMpklwPOM/1+R/wFQSwMEFAAAAAgAh07iQHL5tcCn&#10;AQAARQMAAA4AAABkcnMvZTJvRG9jLnhtbK1SS44TMRDdI3EHy3vSnWhCUCud2UTDBsFIAwdw3Hba&#10;kn+qctKdC8ANWLFhz7lyDspOTwaGzSzYuKvKr1/Ve+X17egsOypAE3zL57OaM+Vl6Izft/zL57s3&#10;7zjDJHwnbPCq5SeF/Hbz+tV6iI1ahD7YTgEjEo/NEFvepxSbqkLZKydwFqLydKkDOJEohX3VgRiI&#10;3dlqUddvqyFAFyFIhUjV7eWST4zwEsKgtZFqG+TBKZ8urKCsSCQJexORb8q0WiuZPmmNKjHbclKa&#10;yklNKN7ls9qsRbMHEXsjpxHES0Z4pskJ46nplWorkmAHMP9QOSMhYNBpJoOrLkKKI6RiXj/z5qEX&#10;URUtZDXGq+n4/2jlx+M9MNO1/IYzLxwt/Pz92/nHr/PPr2yZ7RkiNoR6iPcwZUhh1jpqcPlLKthY&#10;LD1dLVVjYpKKq+VqvrohtyXdLepFvVwV06un3yNgeq+CYzloOdDOipXi+AETtSToIyR38+HOWFv2&#10;Zv1fBQLmSpUnvsyYozTuxmnwXehOpPYQwex7ajXP+gqc3C2NppeQ1/dnXlBPr3/zG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BYAAABkcnMv&#10;UEsBAhQAFAAAAAgAh07iQAxhbpbeAAAADQEAAA8AAAAAAAAAAQAgAAAAOAAAAGRycy9kb3ducmV2&#10;LnhtbFBLAQIUABQAAAAIAIdO4kBy+bXApwEAAEUDAAAOAAAAAAAAAAEAIAAAAEMBAABkcnMvZTJv&#10;RG9jLnhtbFBLBQYAAAAABgAGAFkBAABcBQ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rPr>
        <w:t>支出</w:t>
      </w:r>
      <w:r>
        <w:rPr>
          <w:rFonts w:hint="eastAsia" w:ascii="黑体" w:eastAsia="黑体"/>
          <w:b w:val="0"/>
          <w:bCs w:val="0"/>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本部门2018年度收支总计（含年初结转和结余）542.73万元。与2017年度决算收支各增加166.12万元，增加60.76%，主要是工资调整以及工作开展所需项目经费增加。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本部门2018年度本年收入合计439.51万元，其中：财政拨款收入439.51万元，占100%；事业收入0万元；经营收入0万元；其他收入0万元。如图所示：</w:t>
      </w:r>
    </w:p>
    <w:p>
      <w:pPr>
        <w:jc w:val="center"/>
        <w:rPr>
          <w:rFonts w:ascii="黑体" w:eastAsia="黑体"/>
        </w:rPr>
      </w:pPr>
      <w:r>
        <w:drawing>
          <wp:inline distT="0" distB="0" distL="114300" distR="114300">
            <wp:extent cx="4394200" cy="2551430"/>
            <wp:effectExtent l="47625" t="4445" r="53975" b="111125"/>
            <wp:docPr id="12" name="图片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本部门2018年度本年支出合计531.26万元，其中：基本支出174.76万元，占32.90%；项目支出356.5万元，占67.10%；经营支出0万元。如图所示：</w:t>
      </w:r>
    </w:p>
    <w:p>
      <w:pPr>
        <w:jc w:val="center"/>
      </w:pPr>
      <w:r>
        <w:drawing>
          <wp:inline distT="0" distB="0" distL="114300" distR="114300">
            <wp:extent cx="4222115" cy="2517775"/>
            <wp:effectExtent l="47625" t="4445" r="54610" b="106680"/>
            <wp:docPr id="13" name="图片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本部门2018年度财政拨款本年收入439.51万元,比2017年度增加166.12万元，增长60.76%，主要是工资调整以及工作开展所需项目经费增加；本年支出531.26万元，增加 254.87万元，增长92.21%，主要是工资调整以及工作开展所需项目经费增加。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403万元，比上年增加165.57万元；主要是工作开展所需项目经费增加；本年支出458.79万元，比上年增加218.36万元，增长90.82%，主要是工作开展所需项目经费增加。政府性基金预算财政拨款本年收入36.51万元，比上年增加0.55万元，增长1.5%，主要原因是工作开展所需项目经费增加；本年支出72.47万元，比上年增加36.51万元，增长101.52%，主要是工作开展所需项目经费增加。</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uto"/>
        <w:ind w:firstLine="420" w:firstLineChars="200"/>
        <w:rPr>
          <w:rFonts w:ascii="仿宋_GB2312" w:eastAsia="仿宋_GB2312" w:cs="DengXian-Regular"/>
          <w:sz w:val="32"/>
          <w:szCs w:val="32"/>
        </w:rPr>
      </w:pPr>
      <w:r>
        <w:drawing>
          <wp:inline distT="0" distB="0" distL="114300" distR="114300">
            <wp:extent cx="4572000" cy="2973070"/>
            <wp:effectExtent l="47625" t="4445" r="47625" b="108585"/>
            <wp:docPr id="14" name="图片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403万元，完成年初预算的88.57%,比年初预算减少52万元，决算数小于预算数主要原因是项目支出减少；本年支出458.79万元，完成年初预算的100.8%,比年初预算增加3.79万元，决算数大于预算数主要原因是工资调整以及工作开展所需项目经费增加。</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403万元，完成年初预算88.57%，比年初预算减少52万元，主要是项目支出减少；支出470.25万元，完成年初预算103.29%，比年初预算增加15.25万元，主要是项目支出增加。政府性基金预算财政拨款本年收入36.51万元，完成年初预算52.16%，比年初预算减少33.49万元，主要是项目支出减少；支出72.47万元，完成年初预算103.35%，比年初预算增加15.25万元，主要是项目支出增加。</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uto"/>
        <w:jc w:val="center"/>
        <w:rPr>
          <w:rFonts w:ascii="仿宋_GB2312" w:eastAsia="仿宋_GB2312" w:cs="DengXian-Regular"/>
          <w:sz w:val="32"/>
          <w:szCs w:val="32"/>
          <w:highlight w:val="yellow"/>
        </w:rPr>
      </w:pPr>
      <w:r>
        <w:rPr>
          <w:rFonts w:ascii="仿宋_GB2312" w:eastAsia="仿宋_GB2312" w:cs="DengXian-Regular"/>
          <w:sz w:val="32"/>
          <w:szCs w:val="32"/>
        </w:rPr>
        <w:drawing>
          <wp:inline distT="0" distB="0" distL="114300" distR="114300">
            <wp:extent cx="4573270" cy="3485515"/>
            <wp:effectExtent l="47625" t="4445" r="65405" b="110490"/>
            <wp:docPr id="15" name="图片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t>2018 年度财政拨款支出458.79万元，主要用于以下方面:医疗卫生与计划生育支出8万元，占1.51%；社会保障和就业支出 450.79万元，占84.85%，其他支出72.47万元.占13.64%。</w:t>
      </w:r>
    </w:p>
    <w:p>
      <w:pPr>
        <w:adjustRightInd w:val="0"/>
        <w:snapToGrid w:val="0"/>
        <w:spacing w:after="0" w:line="240" w:lineRule="auto"/>
        <w:jc w:val="center"/>
        <w:rPr>
          <w:rFonts w:ascii="楷体_GB2312" w:eastAsia="楷体_GB2312" w:cs="DengXian-Bold"/>
          <w:b/>
          <w:bCs/>
          <w:sz w:val="32"/>
          <w:szCs w:val="32"/>
        </w:rPr>
      </w:pPr>
      <w:r>
        <w:drawing>
          <wp:inline distT="0" distB="0" distL="114300" distR="114300">
            <wp:extent cx="4573270" cy="3227705"/>
            <wp:effectExtent l="47625" t="4445" r="65405" b="101600"/>
            <wp:docPr id="16" name="图片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年度一般公共预算财政拨款基本支出174.76万元，其中：人员经费 133.31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41.45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“三公”经费支出共计0万元，较年初预算持平，主要是认真贯彻落实中央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精神和厉行节约要求，严控制“三公”经费开支。具体情况如下：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主要原因是未发生因公出国费用。</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本部门2018年度公务用车购置及运行维护费较年初预算持平,主要是认真贯彻落实中央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精神和厉行节约要求，严控制“三公”经费开支。</w:t>
      </w:r>
      <w:r>
        <w:rPr>
          <w:rFonts w:hint="eastAsia" w:ascii="仿宋_GB2312"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hAnsiTheme="minorHAnsi"/>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预算增加0万元，增长0%,主要是未发生公务用车购置经费支出；较上年增加0万元，增长0%,主要是未发生公务用车购置经费支出.</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本部门2018年度单位公务用车保有量0辆。公车运行维护费支出较预算增加0万元，增长0%,主要是认真贯彻落实中央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精神和厉行节约要求，严控制“三公”经费开支；较上年增加0万元，增长0%，主要是认真贯彻落实中央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精神和厉行节约要求，严控制“三公”经费开支。</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本部门2018年度公务接待共0批次、0人次。公务接待费支出较预算减少0万元，降低0%,主要是本年度未发生公务接待费支出；较上年度减少0万元，降低0%,主要是本年度未发生公务接待费支出。</w:t>
      </w:r>
    </w:p>
    <w:p>
      <w:pPr>
        <w:pStyle w:val="3"/>
        <w:spacing w:before="0" w:after="0" w:line="580" w:lineRule="exact"/>
        <w:ind w:firstLine="643" w:firstLineChars="200"/>
        <w:rPr>
          <w:rFonts w:ascii="黑体" w:eastAsia="黑体"/>
        </w:rPr>
      </w:pPr>
      <w:r>
        <w:rPr>
          <w:rFonts w:hint="eastAsia" w:ascii="黑体" w:eastAsia="黑体"/>
          <w:szCs w:val="40"/>
        </w:rPr>
        <w:t>六、</w:t>
      </w:r>
      <w:r>
        <w:rPr>
          <w:rFonts w:hint="eastAsia" w:ascii="黑体" w:eastAsia="黑体"/>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80" w:lineRule="exact"/>
        <w:rPr>
          <w:rFonts w:ascii="仿宋_GB2312" w:eastAsia="仿宋_GB2312" w:cs="DengXian-Regular"/>
          <w:sz w:val="32"/>
          <w:szCs w:val="32"/>
        </w:rPr>
      </w:pPr>
      <w:r>
        <w:rPr>
          <w:rFonts w:hint="eastAsia" w:ascii="仿宋_GB2312" w:eastAsia="仿宋_GB2312" w:cs="DengXian-Regular"/>
          <w:sz w:val="32"/>
          <w:szCs w:val="32"/>
        </w:rPr>
        <w:t xml:space="preserve">    根据预算绩效管理要求，本单位组织对2018年度一般公共预算项目支出全面开展绩效自评，涉及资金284.03万元。从评价情况看，评价结果为良好。</w:t>
      </w:r>
    </w:p>
    <w:p>
      <w:pPr>
        <w:adjustRightInd w:val="0"/>
        <w:snapToGrid w:val="0"/>
        <w:spacing w:line="580" w:lineRule="exact"/>
        <w:ind w:firstLine="645"/>
        <w:rPr>
          <w:rFonts w:ascii="仿宋_GB2312" w:eastAsia="仿宋_GB2312" w:cs="DengXian-Regular"/>
          <w:b/>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5"/>
        <w:rPr>
          <w:rFonts w:ascii="仿宋_GB2312" w:eastAsia="仿宋_GB2312" w:cs="DengXian-Regular"/>
          <w:sz w:val="32"/>
          <w:szCs w:val="32"/>
        </w:rPr>
      </w:pPr>
      <w:r>
        <w:rPr>
          <w:rFonts w:hint="eastAsia" w:ascii="仿宋_GB2312" w:eastAsia="仿宋_GB2312" w:cs="DengXian-Regular"/>
          <w:sz w:val="32"/>
          <w:szCs w:val="32"/>
        </w:rPr>
        <w:t>本单位残疾人基本康复项目绩效自评：根据年初设定的绩效目标，残疾人基本康复项目绩效自评结果为良好。项目全年预算数为53万元，执行数为53万元，完成预算的100%。主要产出和效果是为残疾人提供的基本康复服务，对有需求的残疾人康复服务。未发现问题。</w:t>
      </w:r>
    </w:p>
    <w:p>
      <w:pPr>
        <w:pStyle w:val="3"/>
        <w:spacing w:before="0" w:after="0" w:line="580" w:lineRule="exact"/>
        <w:ind w:firstLine="643" w:firstLineChars="200"/>
        <w:rPr>
          <w:rFonts w:ascii="黑体" w:eastAsia="黑体"/>
          <w:szCs w:val="40"/>
        </w:rPr>
      </w:pPr>
      <w:r>
        <w:rPr>
          <w:rFonts w:hint="eastAsia" w:ascii="黑体" w:eastAsia="黑体"/>
          <w:szCs w:val="4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本部门2018年度机关运行经费支出41.44万元，比年初预算数增加1.44万元，增长3.6%。主要原因是日常经费增加。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本部门2018年度政府采购支出总额171.41万元，从采购类型来看，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124.41</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47</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171.41</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无增减变化。其中，副部（省）级及以上领导用车0辆，主要领导干部用车0辆，机要通信用车0辆，应急保障用车0辆，执法执勤用车0辆，特种专业技术用车0辆，离退休干部用车0辆，其他用车1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1、本部门2018年度一般公共预算财政拨款“三公” 经费支出决算表、国有资本经营预算无收支及结转结余情况，故一般公共预算财政拨款“三公” 经费支出预算、国有资本经营预算以空表列示。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420" w:firstLineChars="200"/>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-1002665</wp:posOffset>
            </wp:positionH>
            <wp:positionV relativeFrom="paragraph">
              <wp:posOffset>-1331595</wp:posOffset>
            </wp:positionV>
            <wp:extent cx="7550150" cy="10680065"/>
            <wp:effectExtent l="0" t="0" r="12700" b="6985"/>
            <wp:wrapNone/>
            <wp:docPr id="10"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1"/>
                    <pic:cNvPicPr>
                      <a:picLocks noChangeAspect="1"/>
                    </pic:cNvPicPr>
                  </pic:nvPicPr>
                  <pic:blipFill>
                    <a:blip r:embed="rId7"/>
                    <a:stretch>
                      <a:fillRect/>
                    </a:stretch>
                  </pic:blipFill>
                  <pic:spPr>
                    <a:xfrm>
                      <a:off x="0" y="0"/>
                      <a:ext cx="7550150" cy="10680065"/>
                    </a:xfrm>
                    <a:prstGeom prst="rect">
                      <a:avLst/>
                    </a:prstGeom>
                    <a:noFill/>
                    <a:ln>
                      <a:noFill/>
                    </a:ln>
                  </pic:spPr>
                </pic:pic>
              </a:graphicData>
            </a:graphic>
          </wp:anchor>
        </w:drawing>
      </w:r>
      <w:r>
        <w:rPr>
          <w:sz w:val="72"/>
        </w:rPr>
        <mc:AlternateContent>
          <mc:Choice Requires="wps">
            <w:drawing>
              <wp:anchor distT="0" distB="0" distL="114300" distR="114300" simplePos="0" relativeHeight="251663360" behindDoc="0" locked="0" layoutInCell="1" allowOverlap="1">
                <wp:simplePos x="0" y="0"/>
                <wp:positionH relativeFrom="column">
                  <wp:posOffset>-993140</wp:posOffset>
                </wp:positionH>
                <wp:positionV relativeFrom="paragraph">
                  <wp:posOffset>2956560</wp:posOffset>
                </wp:positionV>
                <wp:extent cx="7571740" cy="2020570"/>
                <wp:effectExtent l="0" t="0" r="0" b="0"/>
                <wp:wrapNone/>
                <wp:docPr id="5" name="文本框 22"/>
                <wp:cNvGraphicFramePr/>
                <a:graphic xmlns:a="http://schemas.openxmlformats.org/drawingml/2006/main">
                  <a:graphicData uri="http://schemas.microsoft.com/office/word/2010/wordprocessingShape">
                    <wps:wsp>
                      <wps:cNvSpPr/>
                      <wps:spPr>
                        <a:xfrm>
                          <a:off x="0" y="0"/>
                          <a:ext cx="7571740" cy="2020570"/>
                        </a:xfrm>
                        <a:prstGeom prst="rect">
                          <a:avLst/>
                        </a:prstGeom>
                        <a:noFill/>
                        <a:ln>
                          <a:noFill/>
                        </a:ln>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wps:txbx>
                      <wps:bodyPr upright="1"/>
                    </wps:wsp>
                  </a:graphicData>
                </a:graphic>
              </wp:anchor>
            </w:drawing>
          </mc:Choice>
          <mc:Fallback>
            <w:pict>
              <v:rect id="文本框 22" o:spid="_x0000_s1026" o:spt="1" style="position:absolute;left:0pt;margin-left:-78.2pt;margin-top:232.8pt;height:159.1pt;width:596.2pt;z-index:251663360;mso-width-relative:page;mso-height-relative:page;" filled="f" stroked="f" coordsize="21600,21600" o:gfxdata="UEsFBgAAAAAAAAAAAAAAAAAAAAAAAFBLAwQKAAAAAACHTuJAAAAAAAAAAAAAAAAABAAAAGRycy9Q&#10;SwMEFAAAAAgAh07iQAxhbpbeAAAADQEAAA8AAABkcnMvZG93bnJldi54bWxNj8FuwjAQRO+V+g/W&#10;VuqlAjsFQhSy4YBUFVWVUEPL2cRuEjVeh9gk9O9rTvS42qeZN9n6Ylo26N41lhCiqQCmqbSqoQrh&#10;c/8ySYA5L0nJ1pJG+NUO1vn9XSZTZUf60EPhKxZCyKUSofa+Szl3Za2NdFPbaQq/b9sb6cPZV1z1&#10;cgzhpuXPQsTcyIZCQy07val1+VOcDcJY7obD/v2V754OW0un7WlTfL0hPj5EYgXM64u/wXDVD+qQ&#10;B6ejPZNyrEWYRIt4HliEebyIgV0RMYvDviPCMpklwPOM/1+R/wFQSwMEFAAAAAgAh07iQAv/CQmo&#10;AQAARgMAAA4AAABkcnMvZTJvRG9jLnhtbK1SS27bMBDdF8gdCO5rykJdF4LlbIxkEzQB0h6ApkiL&#10;AH8Y0pZ8geYGXXXTfc/lc3RIq06bbrLIhpoZPr2Z94ar69EacpAQtXctnc8qSqQTvtNu19KvX27e&#10;f6IkJu46bryTLT3KSK/XV+9WQ2hk7XtvOgkESVxshtDSPqXQMBZFLy2PMx+kw0vlwfKEKexYB3xA&#10;dmtYXVUf2eChC+CFjBGrm/MlnRjhNYReKS3kxou9lS6dWUEanlBS7HWIdF2mVUqKdK9UlImYlqLS&#10;VE5sgvE2n2y94s0OeOi1mEbgrxnhhSbLtcOmF6oNT5zsQf9HZbUAH71KM+EtOwspjqCKefXCm8ee&#10;B1m0oNUxXEyPb0crPh8egOiupQtKHLe48NP3p9OPX6ef30hdZ3+GEBuEPYYHmLKIYRY7KrD5izLI&#10;WDw9XjyVYyICi8vFcr78gHYLvKurulosi+vs+fcAMd1Kb0kOWgq4tOIlP9zFhC0R+geSuzl/o40p&#10;izPunwICc4Xlic8z5iiN23EafOu7I8rdB9C7HlvNs74CR3tLo+kp5P39nRfU8/Nf/wZ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WAAAAZHJz&#10;L1BLAQIUABQAAAAIAIdO4kAMYW6W3gAAAA0BAAAPAAAAAAAAAAEAIAAAADgAAABkcnMvZG93bnJl&#10;di54bWxQSwECFAAUAAAACACHTuJAC/8JCagBAABGAwAADgAAAAAAAAABACAAAABDAQAAZHJzL2Uy&#10;b0RvYy54bWxQSwUGAAAAAAYABgBZAQAAXQUAAAAA&#10;">
                <v:fill on="f" focussize="0,0"/>
                <v:stroke on="f"/>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rect>
            </w:pict>
          </mc:Fallback>
        </mc:AlternateConten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drawing>
          <wp:anchor distT="0" distB="0" distL="114300" distR="114300" simplePos="0" relativeHeight="251668480" behindDoc="1" locked="0" layoutInCell="1" allowOverlap="1">
            <wp:simplePos x="0" y="0"/>
            <wp:positionH relativeFrom="column">
              <wp:posOffset>-984250</wp:posOffset>
            </wp:positionH>
            <wp:positionV relativeFrom="paragraph">
              <wp:posOffset>-1348740</wp:posOffset>
            </wp:positionV>
            <wp:extent cx="7590155" cy="10735945"/>
            <wp:effectExtent l="0" t="0" r="10795" b="8255"/>
            <wp:wrapNone/>
            <wp:docPr id="11" name="图片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1"/>
                    <pic:cNvPicPr>
                      <a:picLocks noChangeAspect="1"/>
                    </pic:cNvPicPr>
                  </pic:nvPicPr>
                  <pic:blipFill>
                    <a:blip r:embed="rId13"/>
                    <a:stretch>
                      <a:fillRect/>
                    </a:stretch>
                  </pic:blipFill>
                  <pic:spPr>
                    <a:xfrm>
                      <a:off x="0" y="0"/>
                      <a:ext cx="7590155" cy="10735945"/>
                    </a:xfrm>
                    <a:prstGeom prst="rect">
                      <a:avLst/>
                    </a:prstGeom>
                    <a:noFill/>
                    <a:ln>
                      <a:noFill/>
                    </a:ln>
                  </pic:spPr>
                </pic:pic>
              </a:graphicData>
            </a:graphic>
          </wp:anchor>
        </w:drawing>
      </w:r>
    </w:p>
    <w:sectPr>
      <w:pgSz w:w="11906" w:h="16838"/>
      <w:pgMar w:top="2098" w:right="1474" w:bottom="1985" w:left="158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6"/>
    <w:multiLevelType w:val="singleLevel"/>
    <w:tmpl w:val="0000000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5EBC"/>
    <w:rsid w:val="0006383D"/>
    <w:rsid w:val="00072EA6"/>
    <w:rsid w:val="000C4EE2"/>
    <w:rsid w:val="000D1363"/>
    <w:rsid w:val="000D4C60"/>
    <w:rsid w:val="000D6650"/>
    <w:rsid w:val="000E01C6"/>
    <w:rsid w:val="000F3CBE"/>
    <w:rsid w:val="001322D4"/>
    <w:rsid w:val="00135B37"/>
    <w:rsid w:val="00140B1E"/>
    <w:rsid w:val="00144FE8"/>
    <w:rsid w:val="0017142F"/>
    <w:rsid w:val="0018712D"/>
    <w:rsid w:val="001958D6"/>
    <w:rsid w:val="001D209C"/>
    <w:rsid w:val="001E577A"/>
    <w:rsid w:val="00207DF9"/>
    <w:rsid w:val="00212387"/>
    <w:rsid w:val="00267C25"/>
    <w:rsid w:val="00270F82"/>
    <w:rsid w:val="002962BF"/>
    <w:rsid w:val="002B252D"/>
    <w:rsid w:val="002C0982"/>
    <w:rsid w:val="002C425A"/>
    <w:rsid w:val="002D408D"/>
    <w:rsid w:val="002D5FF9"/>
    <w:rsid w:val="00302B40"/>
    <w:rsid w:val="003B1135"/>
    <w:rsid w:val="003B6675"/>
    <w:rsid w:val="003C659C"/>
    <w:rsid w:val="004115B2"/>
    <w:rsid w:val="00416048"/>
    <w:rsid w:val="00422C01"/>
    <w:rsid w:val="00434306"/>
    <w:rsid w:val="00484AB9"/>
    <w:rsid w:val="004B49D7"/>
    <w:rsid w:val="004B77FD"/>
    <w:rsid w:val="004C167B"/>
    <w:rsid w:val="004C1FE3"/>
    <w:rsid w:val="004C6F77"/>
    <w:rsid w:val="004D616A"/>
    <w:rsid w:val="004D7216"/>
    <w:rsid w:val="004E61DB"/>
    <w:rsid w:val="005007AB"/>
    <w:rsid w:val="00552E52"/>
    <w:rsid w:val="005711D6"/>
    <w:rsid w:val="005F1759"/>
    <w:rsid w:val="00625EF9"/>
    <w:rsid w:val="0064555F"/>
    <w:rsid w:val="00670590"/>
    <w:rsid w:val="006B0669"/>
    <w:rsid w:val="006D0B99"/>
    <w:rsid w:val="00733AAA"/>
    <w:rsid w:val="007524A7"/>
    <w:rsid w:val="007566ED"/>
    <w:rsid w:val="007637AE"/>
    <w:rsid w:val="00770839"/>
    <w:rsid w:val="0078549D"/>
    <w:rsid w:val="007952EB"/>
    <w:rsid w:val="007A666C"/>
    <w:rsid w:val="007A76C7"/>
    <w:rsid w:val="007C34A3"/>
    <w:rsid w:val="007E2559"/>
    <w:rsid w:val="007F5C24"/>
    <w:rsid w:val="00881EB0"/>
    <w:rsid w:val="0091429F"/>
    <w:rsid w:val="00917880"/>
    <w:rsid w:val="00934C06"/>
    <w:rsid w:val="009C0CE3"/>
    <w:rsid w:val="009E790C"/>
    <w:rsid w:val="00A23B70"/>
    <w:rsid w:val="00A67D82"/>
    <w:rsid w:val="00A835AE"/>
    <w:rsid w:val="00A9534D"/>
    <w:rsid w:val="00AB572C"/>
    <w:rsid w:val="00AC3581"/>
    <w:rsid w:val="00AC640C"/>
    <w:rsid w:val="00AD6603"/>
    <w:rsid w:val="00B01107"/>
    <w:rsid w:val="00B179D0"/>
    <w:rsid w:val="00B30185"/>
    <w:rsid w:val="00B3081F"/>
    <w:rsid w:val="00B52214"/>
    <w:rsid w:val="00B52963"/>
    <w:rsid w:val="00B529C8"/>
    <w:rsid w:val="00B70276"/>
    <w:rsid w:val="00BA5AE6"/>
    <w:rsid w:val="00BB5AB1"/>
    <w:rsid w:val="00BE3D03"/>
    <w:rsid w:val="00C07617"/>
    <w:rsid w:val="00C22D4A"/>
    <w:rsid w:val="00C41429"/>
    <w:rsid w:val="00C57CAB"/>
    <w:rsid w:val="00C732A2"/>
    <w:rsid w:val="00C81CB3"/>
    <w:rsid w:val="00C92DF2"/>
    <w:rsid w:val="00CC0961"/>
    <w:rsid w:val="00CC655D"/>
    <w:rsid w:val="00CE7AB2"/>
    <w:rsid w:val="00CF4073"/>
    <w:rsid w:val="00D056D1"/>
    <w:rsid w:val="00D078BB"/>
    <w:rsid w:val="00D24D3F"/>
    <w:rsid w:val="00D32341"/>
    <w:rsid w:val="00D432A7"/>
    <w:rsid w:val="00D80F71"/>
    <w:rsid w:val="00DB2E1C"/>
    <w:rsid w:val="00DB674E"/>
    <w:rsid w:val="00DD1739"/>
    <w:rsid w:val="00DE6CB4"/>
    <w:rsid w:val="00DF74A7"/>
    <w:rsid w:val="00E30945"/>
    <w:rsid w:val="00E36DB5"/>
    <w:rsid w:val="00EA081F"/>
    <w:rsid w:val="00EA69F8"/>
    <w:rsid w:val="00EE42F6"/>
    <w:rsid w:val="00EE5EBC"/>
    <w:rsid w:val="00F3507B"/>
    <w:rsid w:val="00F45B38"/>
    <w:rsid w:val="00F55FC8"/>
    <w:rsid w:val="00F61F55"/>
    <w:rsid w:val="00F92545"/>
    <w:rsid w:val="00FE2EF5"/>
    <w:rsid w:val="00FF57B0"/>
    <w:rsid w:val="00FF6D71"/>
    <w:rsid w:val="02FD0C4F"/>
    <w:rsid w:val="FDFFDE1C"/>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b/>
      <w:bCs/>
      <w:kern w:val="0"/>
      <w:sz w:val="32"/>
      <w:szCs w:val="32"/>
    </w:rPr>
  </w:style>
  <w:style w:type="paragraph" w:styleId="4">
    <w:name w:val="heading 3"/>
    <w:basedOn w:val="1"/>
    <w:next w:val="1"/>
    <w:link w:val="14"/>
    <w:uiPriority w:val="0"/>
    <w:pPr>
      <w:keepNext/>
      <w:keepLines/>
      <w:spacing w:before="260" w:after="260" w:line="416" w:lineRule="auto"/>
      <w:outlineLvl w:val="2"/>
    </w:pPr>
    <w:rPr>
      <w:b/>
      <w:bCs/>
      <w:kern w:val="0"/>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b/>
      <w:bCs/>
      <w:kern w:val="0"/>
      <w:sz w:val="28"/>
      <w:szCs w:val="2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8"/>
    <w:qFormat/>
    <w:uiPriority w:val="0"/>
    <w:pPr>
      <w:tabs>
        <w:tab w:val="center" w:pos="4153"/>
        <w:tab w:val="right" w:pos="8306"/>
      </w:tabs>
      <w:snapToGrid w:val="0"/>
      <w:jc w:val="left"/>
    </w:pPr>
    <w:rPr>
      <w:kern w:val="0"/>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kern w:val="0"/>
      <w:sz w:val="18"/>
      <w:szCs w:val="18"/>
    </w:rPr>
  </w:style>
  <w:style w:type="paragraph" w:styleId="8">
    <w:name w:val="Subtitle"/>
    <w:basedOn w:val="1"/>
    <w:next w:val="1"/>
    <w:link w:val="20"/>
    <w:qFormat/>
    <w:uiPriority w:val="0"/>
    <w:pPr>
      <w:widowControl/>
      <w:spacing w:after="200" w:line="276" w:lineRule="auto"/>
      <w:jc w:val="left"/>
    </w:pPr>
    <w:rPr>
      <w:rFonts w:ascii="Calibri" w:hAnsi="Calibri"/>
      <w:i/>
      <w:iCs/>
      <w:color w:val="F0A22E"/>
      <w:spacing w:val="15"/>
      <w:kern w:val="0"/>
      <w:sz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color w:val="392B23"/>
      <w:spacing w:val="5"/>
      <w:kern w:val="28"/>
      <w:sz w:val="52"/>
      <w:szCs w:val="52"/>
    </w:rPr>
  </w:style>
  <w:style w:type="character" w:customStyle="1" w:styleId="12">
    <w:name w:val="标题 1 Char"/>
    <w:link w:val="2"/>
    <w:semiHidden/>
    <w:qFormat/>
    <w:uiPriority w:val="0"/>
    <w:rPr>
      <w:rFonts w:ascii="Times New Roman" w:hAnsi="Times New Roman" w:eastAsia="宋体" w:cs="Times New Roman"/>
      <w:b/>
      <w:bCs/>
      <w:kern w:val="44"/>
      <w:sz w:val="44"/>
      <w:szCs w:val="44"/>
    </w:rPr>
  </w:style>
  <w:style w:type="character" w:customStyle="1" w:styleId="13">
    <w:name w:val="标题 2 Char"/>
    <w:link w:val="3"/>
    <w:semiHidden/>
    <w:qFormat/>
    <w:uiPriority w:val="0"/>
    <w:rPr>
      <w:rFonts w:ascii="Calibri" w:hAnsi="Calibri" w:eastAsia="宋体" w:cs="黑体"/>
      <w:b/>
      <w:bCs/>
      <w:sz w:val="32"/>
      <w:szCs w:val="32"/>
    </w:rPr>
  </w:style>
  <w:style w:type="character" w:customStyle="1" w:styleId="14">
    <w:name w:val="标题 3 Char"/>
    <w:link w:val="4"/>
    <w:semiHidden/>
    <w:qFormat/>
    <w:uiPriority w:val="0"/>
    <w:rPr>
      <w:rFonts w:ascii="Times New Roman" w:hAnsi="Times New Roman" w:eastAsia="宋体" w:cs="Times New Roman"/>
      <w:b/>
      <w:bCs/>
      <w:sz w:val="32"/>
      <w:szCs w:val="32"/>
    </w:rPr>
  </w:style>
  <w:style w:type="character" w:customStyle="1" w:styleId="15">
    <w:name w:val="标题 4 Char"/>
    <w:link w:val="5"/>
    <w:semiHidden/>
    <w:qFormat/>
    <w:uiPriority w:val="0"/>
    <w:rPr>
      <w:rFonts w:ascii="Calibri" w:hAnsi="Calibri" w:eastAsia="宋体" w:cs="黑体"/>
      <w:b/>
      <w:bCs/>
      <w:sz w:val="28"/>
      <w:szCs w:val="28"/>
    </w:rPr>
  </w:style>
  <w:style w:type="character" w:customStyle="1" w:styleId="16">
    <w:name w:val="日期 Char"/>
    <w:link w:val="17"/>
    <w:semiHidden/>
    <w:qFormat/>
    <w:uiPriority w:val="0"/>
    <w:rPr>
      <w:rFonts w:ascii="Times New Roman" w:hAnsi="Times New Roman" w:eastAsia="宋体" w:cs="Times New Roman"/>
      <w:szCs w:val="24"/>
    </w:rPr>
  </w:style>
  <w:style w:type="paragraph" w:customStyle="1" w:styleId="17">
    <w:name w:val="日期1"/>
    <w:basedOn w:val="1"/>
    <w:next w:val="1"/>
    <w:link w:val="16"/>
    <w:qFormat/>
    <w:uiPriority w:val="0"/>
    <w:pPr>
      <w:ind w:left="100" w:leftChars="2500"/>
    </w:pPr>
    <w:rPr>
      <w:kern w:val="0"/>
      <w:sz w:val="20"/>
    </w:rPr>
  </w:style>
  <w:style w:type="character" w:customStyle="1" w:styleId="18">
    <w:name w:val="页脚 Char"/>
    <w:link w:val="6"/>
    <w:semiHidden/>
    <w:qFormat/>
    <w:uiPriority w:val="0"/>
    <w:rPr>
      <w:sz w:val="18"/>
      <w:szCs w:val="18"/>
    </w:rPr>
  </w:style>
  <w:style w:type="character" w:customStyle="1" w:styleId="19">
    <w:name w:val="页眉 Char"/>
    <w:link w:val="7"/>
    <w:semiHidden/>
    <w:qFormat/>
    <w:uiPriority w:val="0"/>
    <w:rPr>
      <w:sz w:val="18"/>
      <w:szCs w:val="18"/>
    </w:rPr>
  </w:style>
  <w:style w:type="character" w:customStyle="1" w:styleId="20">
    <w:name w:val="副标题 Char"/>
    <w:link w:val="8"/>
    <w:semiHidden/>
    <w:qFormat/>
    <w:uiPriority w:val="0"/>
    <w:rPr>
      <w:rFonts w:ascii="Calibri" w:hAnsi="Calibri" w:eastAsia="宋体" w:cs="黑体"/>
      <w:i/>
      <w:iCs/>
      <w:color w:val="F0A22E"/>
      <w:spacing w:val="15"/>
      <w:kern w:val="0"/>
      <w:sz w:val="24"/>
      <w:szCs w:val="24"/>
    </w:rPr>
  </w:style>
  <w:style w:type="character" w:customStyle="1" w:styleId="21">
    <w:name w:val="标题 Char"/>
    <w:link w:val="9"/>
    <w:semiHidden/>
    <w:qFormat/>
    <w:uiPriority w:val="0"/>
    <w:rPr>
      <w:rFonts w:ascii="Calibri" w:hAnsi="Calibri" w:eastAsia="宋体" w:cs="黑体"/>
      <w:color w:val="392B23"/>
      <w:spacing w:val="5"/>
      <w:kern w:val="28"/>
      <w:sz w:val="52"/>
      <w:szCs w:val="52"/>
    </w:rPr>
  </w:style>
  <w:style w:type="paragraph" w:customStyle="1" w:styleId="22">
    <w:name w:val="批注框文本 Char Char"/>
    <w:basedOn w:val="1"/>
    <w:link w:val="25"/>
    <w:qFormat/>
    <w:uiPriority w:val="0"/>
    <w:rPr>
      <w:kern w:val="0"/>
      <w:sz w:val="18"/>
      <w:szCs w:val="18"/>
    </w:rPr>
  </w:style>
  <w:style w:type="paragraph" w:customStyle="1" w:styleId="23">
    <w:name w:val="无间隔1"/>
    <w:link w:val="26"/>
    <w:qFormat/>
    <w:uiPriority w:val="0"/>
    <w:pPr>
      <w:spacing w:after="160" w:line="480" w:lineRule="auto"/>
    </w:pPr>
    <w:rPr>
      <w:rFonts w:ascii="Times New Roman" w:hAnsi="Times New Roman" w:eastAsia="宋体" w:cs="Times New Roman"/>
      <w:sz w:val="22"/>
      <w:lang w:val="en-US" w:eastAsia="zh-CN" w:bidi="ar-SA"/>
    </w:rPr>
  </w:style>
  <w:style w:type="paragraph" w:customStyle="1" w:styleId="24">
    <w:name w:val="列出段落1"/>
    <w:basedOn w:val="1"/>
    <w:qFormat/>
    <w:uiPriority w:val="0"/>
    <w:pPr>
      <w:ind w:firstLine="420" w:firstLineChars="200"/>
    </w:pPr>
  </w:style>
  <w:style w:type="character" w:customStyle="1" w:styleId="25">
    <w:name w:val="批注框文本 Char Char Char Char"/>
    <w:link w:val="22"/>
    <w:semiHidden/>
    <w:qFormat/>
    <w:uiPriority w:val="0"/>
    <w:rPr>
      <w:rFonts w:ascii="Times New Roman" w:hAnsi="Times New Roman" w:eastAsia="宋体" w:cs="Times New Roman"/>
      <w:sz w:val="18"/>
      <w:szCs w:val="18"/>
    </w:rPr>
  </w:style>
  <w:style w:type="character" w:customStyle="1" w:styleId="26">
    <w:name w:val="无间隔 Char"/>
    <w:link w:val="23"/>
    <w:qFormat/>
    <w:uiPriority w:val="0"/>
    <w:rPr>
      <w:sz w:val="22"/>
      <w:lang w:val="en-US" w:eastAsia="zh-CN" w:bidi="ar-SA"/>
    </w:rPr>
  </w:style>
  <w:style w:type="character" w:customStyle="1" w:styleId="27">
    <w:name w:val="Style1"/>
    <w:qFormat/>
    <w:uiPriority w:val="0"/>
    <w:rPr>
      <w:rFonts w:ascii="Cambria" w:hAnsi="黑体" w:eastAsia="黑体" w:cs="黑体"/>
      <w:sz w:val="22"/>
      <w:szCs w:val="22"/>
      <w:lang w:eastAsia="zh-CN"/>
    </w:rPr>
  </w:style>
  <w:style w:type="character" w:customStyle="1" w:styleId="28">
    <w:name w:val="Style2"/>
    <w:qFormat/>
    <w:uiPriority w:val="0"/>
    <w:rPr>
      <w:rFonts w:ascii="Cambria" w:hAnsi="黑体" w:eastAsia="黑体" w:cs="黑体"/>
      <w:sz w:val="22"/>
      <w:szCs w:val="22"/>
      <w:lang w:eastAsia="zh-CN"/>
    </w:rPr>
  </w:style>
  <w:style w:type="character" w:customStyle="1" w:styleId="29">
    <w:name w:val="Style3"/>
    <w:qFormat/>
    <w:uiPriority w:val="0"/>
    <w:rPr>
      <w:rFonts w:ascii="Cambria" w:hAnsi="黑体" w:eastAsia="黑体" w:cs="黑体"/>
      <w:szCs w:val="22"/>
      <w:lang w:eastAsia="zh-CN"/>
    </w:rPr>
  </w:style>
  <w:style w:type="character" w:customStyle="1" w:styleId="30">
    <w:name w:val="Style4"/>
    <w:qFormat/>
    <w:uiPriority w:val="0"/>
    <w:rPr>
      <w:rFonts w:ascii="Cambria" w:hAnsi="黑体" w:eastAsia="黑体" w:cs="黑体"/>
      <w:szCs w:val="22"/>
      <w:lang w:eastAsia="zh-CN"/>
    </w:rPr>
  </w:style>
  <w:style w:type="character" w:customStyle="1" w:styleId="31">
    <w:name w:val="Style5"/>
    <w:qFormat/>
    <w:uiPriority w:val="0"/>
    <w:rPr>
      <w:rFonts w:ascii="Cambria" w:hAnsi="黑体" w:eastAsia="黑体" w:cs="黑体"/>
      <w:sz w:val="22"/>
      <w:szCs w:val="22"/>
      <w:lang w:eastAsia="zh-CN"/>
    </w:rPr>
  </w:style>
  <w:style w:type="paragraph" w:styleId="32">
    <w:name w:val="List Paragraph"/>
    <w:basedOn w:val="1"/>
    <w:unhideWhenUsed/>
    <w:qFormat/>
    <w:uiPriority w:val="99"/>
    <w:pPr>
      <w:spacing w:after="0" w:line="240" w:lineRule="auto"/>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019&#24180;&#37096;&#38376;&#20915;&#31639;\&#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019&#24180;&#37096;&#38376;&#20915;&#31639;\&#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019&#24180;&#37096;&#38376;&#20915;&#31639;\&#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018&#24180;&#31038;&#20445;&#31185;&#37096;&#38376;&#20915;&#31639;\&#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2019&#24180;&#37096;&#38376;&#20915;&#31639;\&#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0943148809218805"/>
          <c:y val="0.0575245818153329"/>
          <c:w val="0.811370238156239"/>
          <c:h val="0.765547851294709"/>
        </c:manualLayout>
      </c:layout>
      <c:pie3DChart>
        <c:varyColors val="1"/>
        <c:ser>
          <c:idx val="0"/>
          <c:order val="0"/>
          <c:explosion val="0"/>
          <c:dPt>
            <c:idx val="0"/>
            <c:bubble3D val="0"/>
            <c:explosion val="14"/>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439.51</c:v>
                </c:pt>
              </c:numCache>
            </c:numRef>
          </c:val>
        </c:ser>
        <c:dLbls>
          <c:showLegendKey val="0"/>
          <c:showVal val="0"/>
          <c:showCatName val="1"/>
          <c:showSerName val="0"/>
          <c:showPercent val="1"/>
          <c:showBubbleSize val="0"/>
        </c:dLbls>
      </c:pie3DChart>
    </c:plotArea>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101627059597234"/>
          <c:y val="0.103243458204088"/>
          <c:w val="0.808785007968813"/>
          <c:h val="0.655154696572021"/>
        </c:manualLayout>
      </c:layout>
      <c:pie3DChart>
        <c:varyColors val="1"/>
        <c:ser>
          <c:idx val="0"/>
          <c:order val="0"/>
          <c:explosion val="0"/>
          <c:dPt>
            <c:idx val="0"/>
            <c:bubble3D val="0"/>
          </c:dPt>
          <c:dPt>
            <c:idx val="1"/>
            <c:bubble3D val="0"/>
          </c:dPt>
          <c:dPt>
            <c:idx val="2"/>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174.76</c:v>
                </c:pt>
                <c:pt idx="1">
                  <c:v>356.5</c:v>
                </c:pt>
              </c:numCache>
            </c:numRef>
          </c:val>
        </c:ser>
        <c:dLbls>
          <c:showLegendKey val="0"/>
          <c:showVal val="0"/>
          <c:showCatName val="1"/>
          <c:showSerName val="0"/>
          <c:showPercent val="1"/>
          <c:showBubbleSize val="0"/>
        </c:dLbls>
      </c:pie3DChart>
    </c:plotArea>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439.51</c:v>
                </c:pt>
                <c:pt idx="1">
                  <c:v>531.26</c:v>
                </c:pt>
              </c:numCache>
            </c:numRef>
          </c:val>
        </c:ser>
        <c:ser>
          <c:idx val="1"/>
          <c:order val="1"/>
          <c:tx>
            <c:strRef>
              <c:f>收支与决算对比!$A$6</c:f>
              <c:strCache>
                <c:ptCount val="1"/>
                <c:pt idx="0">
                  <c:v>2017</c:v>
                </c:pt>
              </c:strCache>
            </c:strRef>
          </c:tx>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273.4</c:v>
                </c:pt>
                <c:pt idx="1">
                  <c:v>276.39</c:v>
                </c:pt>
              </c:numCache>
            </c:numRef>
          </c:val>
        </c:ser>
        <c:dLbls>
          <c:showLegendKey val="0"/>
          <c:showVal val="1"/>
          <c:showCatName val="0"/>
          <c:showSerName val="0"/>
          <c:showPercent val="0"/>
          <c:showBubbleSize val="0"/>
        </c:dLbls>
        <c:gapWidth val="75"/>
        <c:axId val="130903424"/>
        <c:axId val="130909312"/>
      </c:barChart>
      <c:catAx>
        <c:axId val="13090342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0909312"/>
        <c:crosses val="autoZero"/>
        <c:auto val="1"/>
        <c:lblAlgn val="ctr"/>
        <c:lblOffset val="100"/>
        <c:noMultiLvlLbl val="0"/>
      </c:catAx>
      <c:valAx>
        <c:axId val="13090931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0903424"/>
        <c:crosses val="autoZero"/>
        <c:crossBetween val="between"/>
      </c:valAx>
    </c:plotArea>
    <c:legend>
      <c:legendPos val="b"/>
      <c:layout>
        <c:manualLayout>
          <c:xMode val="edge"/>
          <c:yMode val="edge"/>
          <c:x val="0.426340551181102"/>
          <c:y val="0.756835299740888"/>
          <c:w val="0.208429790026247"/>
          <c:h val="0.077030514955598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2"/>
        </c:manualLayout>
      </c:layout>
      <c:overlay val="0"/>
    </c:title>
    <c:autoTitleDeleted val="0"/>
    <c:plotArea>
      <c:layout>
        <c:manualLayout>
          <c:layoutTarget val="inner"/>
          <c:xMode val="edge"/>
          <c:yMode val="edge"/>
          <c:x val="0.100155074365704"/>
          <c:y val="0.0231156048675734"/>
          <c:w val="0.869289370078741"/>
          <c:h val="0.76881800286328"/>
        </c:manualLayout>
      </c:layout>
      <c:barChart>
        <c:barDir val="col"/>
        <c:grouping val="clustered"/>
        <c:varyColors val="0"/>
        <c:ser>
          <c:idx val="0"/>
          <c:order val="0"/>
          <c:tx>
            <c:strRef>
              <c:f>收支与预算对比!$A$5</c:f>
              <c:strCache>
                <c:ptCount val="1"/>
                <c:pt idx="0">
                  <c:v>年初预算数</c:v>
                </c:pt>
              </c:strCache>
            </c:strRef>
          </c:tx>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455</c:v>
                </c:pt>
                <c:pt idx="1">
                  <c:v>455</c:v>
                </c:pt>
              </c:numCache>
            </c:numRef>
          </c:val>
        </c:ser>
        <c:ser>
          <c:idx val="1"/>
          <c:order val="1"/>
          <c:tx>
            <c:strRef>
              <c:f>收支与预算对比!$A$6</c:f>
              <c:strCache>
                <c:ptCount val="1"/>
                <c:pt idx="0">
                  <c:v>决算数</c:v>
                </c:pt>
              </c:strCache>
            </c:strRef>
          </c:tx>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403</c:v>
                </c:pt>
                <c:pt idx="1">
                  <c:v>458.79</c:v>
                </c:pt>
              </c:numCache>
            </c:numRef>
          </c:val>
        </c:ser>
        <c:dLbls>
          <c:showLegendKey val="0"/>
          <c:showVal val="1"/>
          <c:showCatName val="0"/>
          <c:showSerName val="0"/>
          <c:showPercent val="0"/>
          <c:showBubbleSize val="0"/>
        </c:dLbls>
        <c:gapWidth val="75"/>
        <c:axId val="123041664"/>
        <c:axId val="128905600"/>
      </c:barChart>
      <c:catAx>
        <c:axId val="12304166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8905600"/>
        <c:crosses val="autoZero"/>
        <c:auto val="1"/>
        <c:lblAlgn val="ctr"/>
        <c:lblOffset val="100"/>
        <c:noMultiLvlLbl val="0"/>
      </c:catAx>
      <c:valAx>
        <c:axId val="12890560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3041664"/>
        <c:crosses val="autoZero"/>
        <c:crossBetween val="between"/>
      </c:valAx>
    </c:plotArea>
    <c:legend>
      <c:legendPos val="b"/>
      <c:layout>
        <c:manualLayout>
          <c:xMode val="edge"/>
          <c:yMode val="edge"/>
          <c:x val="0.346718285214349"/>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5">
                  <c:v>450.79</c:v>
                </c:pt>
                <c:pt idx="6">
                  <c:v>8</c:v>
                </c:pt>
                <c:pt idx="16">
                  <c:v>72.47</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1741</Words>
  <Characters>9925</Characters>
  <Lines>82</Lines>
  <Paragraphs>23</Paragraphs>
  <TotalTime>293</TotalTime>
  <ScaleCrop>false</ScaleCrop>
  <LinksUpToDate>false</LinksUpToDate>
  <CharactersWithSpaces>11643</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2019-09-01T08:40:00Z</dcterms:created>
  <dc:creator>User</dc:creator>
  <cp:lastModifiedBy>caizhengju</cp:lastModifiedBy>
  <cp:lastPrinted>2019-08-06T01:01:00Z</cp:lastPrinted>
  <dcterms:modified xsi:type="dcterms:W3CDTF">2024-01-03T08:53:16Z</dcterms:modified>
  <dc:subject>石家庄市xxx部门</dc:subject>
  <dc:title>2017年度部门决算</dc:title>
  <cp:revision>84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05037E235683CAE8FCAF9465D6C3EBF1</vt:lpwstr>
  </property>
</Properties>
</file>