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bookmarkStart w:id="0" w:name="_GoBack"/>
      <w:bookmarkEnd w:id="0"/>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无极县大陈镇人民政府</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w:t>
      </w:r>
      <w:r>
        <w:rPr>
          <w:rFonts w:eastAsia="黑体"/>
          <w:sz w:val="32"/>
          <w:szCs w:val="32"/>
        </w:rPr>
        <w:t>大陈镇</w:t>
      </w:r>
      <w:r>
        <w:rPr>
          <w:rFonts w:hint="eastAsia" w:eastAsia="黑体"/>
          <w:sz w:val="32"/>
          <w:szCs w:val="32"/>
        </w:rPr>
        <w:t>政府</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w:t>
      </w:r>
      <w:r>
        <w:rPr>
          <w:rFonts w:eastAsia="黑体"/>
          <w:sz w:val="32"/>
          <w:szCs w:val="32"/>
        </w:rPr>
        <w:t>大陈镇</w:t>
      </w:r>
      <w:r>
        <w:rPr>
          <w:rFonts w:hint="eastAsia" w:eastAsia="黑体"/>
          <w:sz w:val="32"/>
          <w:szCs w:val="32"/>
        </w:rPr>
        <w:t>政府</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w:t>
      </w:r>
      <w:r>
        <w:rPr>
          <w:rFonts w:eastAsia="黑体"/>
          <w:sz w:val="32"/>
          <w:szCs w:val="32"/>
        </w:rPr>
        <w:t>大陈镇</w:t>
      </w:r>
      <w:r>
        <w:rPr>
          <w:rFonts w:hint="eastAsia" w:eastAsia="黑体"/>
          <w:sz w:val="32"/>
          <w:szCs w:val="32"/>
        </w:rPr>
        <w:t>政府</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3" w:firstLineChars="200"/>
        <w:rPr>
          <w:rFonts w:ascii="宋体" w:hAnsi="宋体" w:cs="宋体"/>
          <w:b/>
          <w:bCs/>
          <w:sz w:val="32"/>
          <w:szCs w:val="32"/>
        </w:rPr>
      </w:pPr>
      <w:r>
        <w:rPr>
          <w:rFonts w:hint="eastAsia" w:ascii="宋体" w:hAnsi="宋体" w:cs="宋体"/>
          <w:b/>
          <w:bCs/>
          <w:sz w:val="32"/>
          <w:szCs w:val="32"/>
        </w:rPr>
        <w:t>第四部分名词解释</w:t>
      </w:r>
    </w:p>
    <w:p/>
    <w:p>
      <w:pPr>
        <w:pStyle w:val="2"/>
        <w:spacing w:line="560" w:lineRule="exact"/>
        <w:rPr>
          <w:rFonts w:ascii="宋体" w:hAnsi="宋体" w:cs="ArialUnicodeMS"/>
          <w:color w:val="000000"/>
          <w:kern w:val="0"/>
        </w:rPr>
      </w:pPr>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一、部门职责</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宣传、贯彻、执行党的路线方针政策和国家的法律、法规,执行本级人民代表大会的决议和上级国家行政机关的决定和命令,其主要职能为:</w:t>
      </w:r>
    </w:p>
    <w:p>
      <w:pPr>
        <w:numPr>
          <w:ilvl w:val="0"/>
          <w:numId w:val="1"/>
        </w:numPr>
        <w:adjustRightInd w:val="0"/>
        <w:snapToGrid w:val="0"/>
        <w:spacing w:line="560" w:lineRule="exact"/>
        <w:jc w:val="left"/>
        <w:rPr>
          <w:rFonts w:ascii="仿宋_GB2312" w:hAnsi="仿宋" w:eastAsia="仿宋_GB2312"/>
          <w:sz w:val="32"/>
          <w:szCs w:val="32"/>
        </w:rPr>
      </w:pPr>
      <w:r>
        <w:rPr>
          <w:rFonts w:hint="eastAsia" w:ascii="仿宋_GB2312" w:hAnsi="仿宋" w:eastAsia="仿宋_GB2312"/>
          <w:sz w:val="32"/>
          <w:szCs w:val="32"/>
        </w:rPr>
        <w:t>促进经济发展</w:t>
      </w:r>
    </w:p>
    <w:p>
      <w:pPr>
        <w:adjustRightInd w:val="0"/>
        <w:snapToGrid w:val="0"/>
        <w:spacing w:line="560" w:lineRule="exact"/>
        <w:ind w:firstLine="640" w:firstLineChars="200"/>
        <w:jc w:val="left"/>
        <w:rPr>
          <w:rFonts w:ascii="仿宋_GB2312" w:hAnsi="仿宋" w:eastAsia="仿宋_GB2312"/>
          <w:sz w:val="32"/>
          <w:szCs w:val="32"/>
        </w:rPr>
      </w:pPr>
      <w:r>
        <w:rPr>
          <w:rFonts w:hint="eastAsia" w:ascii="仿宋_GB2312" w:hAnsi="仿宋" w:eastAsia="仿宋_GB2312"/>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2.加强社会管理</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3.提供公共服务</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adjustRightInd w:val="0"/>
        <w:snapToGrid w:val="0"/>
        <w:spacing w:line="560" w:lineRule="exact"/>
        <w:ind w:firstLine="627" w:firstLineChars="196"/>
        <w:jc w:val="left"/>
        <w:rPr>
          <w:rFonts w:ascii="仿宋_GB2312" w:hAnsi="仿宋" w:eastAsia="仿宋_GB2312"/>
          <w:sz w:val="32"/>
          <w:szCs w:val="32"/>
        </w:rPr>
      </w:pPr>
      <w:r>
        <w:rPr>
          <w:rFonts w:hint="eastAsia" w:ascii="仿宋_GB2312" w:hAnsi="仿宋" w:eastAsia="仿宋_GB2312"/>
          <w:sz w:val="32"/>
          <w:szCs w:val="32"/>
        </w:rPr>
        <w:t>4.维护农村稳定</w:t>
      </w:r>
    </w:p>
    <w:p>
      <w:pPr>
        <w:adjustRightInd w:val="0"/>
        <w:snapToGrid w:val="0"/>
        <w:spacing w:line="560" w:lineRule="exact"/>
        <w:ind w:firstLine="627" w:firstLineChars="196"/>
        <w:jc w:val="left"/>
        <w:rPr>
          <w:rFonts w:ascii="仿宋_GB2312" w:hAnsi="Cambria" w:eastAsia="仿宋_GB2312" w:cs="ArialUnicodeMS"/>
          <w:kern w:val="0"/>
          <w:sz w:val="32"/>
          <w:szCs w:val="32"/>
          <w:highlight w:val="yellow"/>
        </w:rPr>
      </w:pPr>
      <w:r>
        <w:rPr>
          <w:rFonts w:hint="eastAsia" w:ascii="仿宋_GB2312" w:hAnsi="仿宋" w:eastAsia="仿宋_GB2312"/>
          <w:sz w:val="32"/>
          <w:szCs w:val="32"/>
        </w:rPr>
        <w:t>主要包括:（1）做好社会治安综合</w:t>
      </w:r>
      <w:r>
        <w:rPr>
          <w:rFonts w:hint="eastAsia" w:ascii="仿宋_GB2312" w:hAnsi="仿宋" w:eastAsia="仿宋_GB2312"/>
          <w:sz w:val="32"/>
          <w:szCs w:val="32"/>
          <w:lang w:eastAsia="zh-CN"/>
        </w:rPr>
        <w:t>治理</w:t>
      </w:r>
      <w:r>
        <w:rPr>
          <w:rFonts w:hint="eastAsia" w:ascii="仿宋_GB2312" w:hAnsi="仿宋" w:eastAsia="仿宋_GB2312"/>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560" w:lineRule="exact"/>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2017 年度，纳入本部门决算汇编范围的独立核算单位（以下简称“单位”）共1个，是无极县大陈镇人民政府，单位基本性质为行政单位，预算管理级次为一级预算单位，执行行政单位会计制度，较上年无增减变化。</w:t>
      </w:r>
    </w:p>
    <w:p>
      <w:pPr>
        <w:autoSpaceDE w:val="0"/>
        <w:autoSpaceDN w:val="0"/>
        <w:adjustRightInd w:val="0"/>
        <w:spacing w:after="0" w:line="560" w:lineRule="exact"/>
        <w:ind w:firstLine="640" w:firstLineChars="200"/>
        <w:jc w:val="left"/>
        <w:rPr>
          <w:rFonts w:ascii="仿宋_GB2312" w:hAnsi="仿宋_GB2312" w:eastAsia="仿宋_GB2312" w:cs="仿宋_GB2312"/>
          <w:kern w:val="0"/>
          <w:sz w:val="32"/>
          <w:szCs w:val="32"/>
        </w:rPr>
      </w:pPr>
    </w:p>
    <w:tbl>
      <w:tblPr>
        <w:tblStyle w:val="10"/>
        <w:tblW w:w="91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09"/>
        <w:gridCol w:w="1077"/>
        <w:gridCol w:w="1077"/>
        <w:gridCol w:w="2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tblHeader/>
          <w:jc w:val="center"/>
        </w:trPr>
        <w:tc>
          <w:tcPr>
            <w:tcW w:w="4309" w:type="dxa"/>
            <w:vAlign w:val="center"/>
          </w:tcPr>
          <w:p>
            <w:pPr>
              <w:ind w:firstLine="361"/>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单位名称</w:t>
            </w:r>
          </w:p>
        </w:tc>
        <w:tc>
          <w:tcPr>
            <w:tcW w:w="1077" w:type="dxa"/>
            <w:vAlign w:val="center"/>
          </w:tcPr>
          <w:p>
            <w:pPr>
              <w:rPr>
                <w:rFonts w:ascii="仿宋_GB2312" w:hAnsi="仿宋_GB2312" w:eastAsia="仿宋_GB2312" w:cs="仿宋_GB2312"/>
                <w:b/>
                <w:sz w:val="32"/>
                <w:szCs w:val="32"/>
              </w:rPr>
            </w:pPr>
            <w:r>
              <w:rPr>
                <w:rFonts w:hint="eastAsia" w:ascii="仿宋_GB2312" w:hAnsi="仿宋_GB2312" w:eastAsia="仿宋_GB2312" w:cs="仿宋_GB2312"/>
                <w:b/>
                <w:sz w:val="32"/>
                <w:szCs w:val="32"/>
              </w:rPr>
              <w:t>单位规格</w:t>
            </w:r>
          </w:p>
        </w:tc>
        <w:tc>
          <w:tcPr>
            <w:tcW w:w="1077" w:type="dxa"/>
            <w:vAlign w:val="center"/>
          </w:tcPr>
          <w:p>
            <w:pPr>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单位性质</w:t>
            </w:r>
          </w:p>
        </w:tc>
        <w:tc>
          <w:tcPr>
            <w:tcW w:w="2721" w:type="dxa"/>
            <w:vAlign w:val="center"/>
          </w:tcPr>
          <w:p>
            <w:pPr>
              <w:ind w:firstLine="361"/>
              <w:jc w:val="center"/>
              <w:rPr>
                <w:rFonts w:ascii="仿宋_GB2312" w:hAnsi="仿宋_GB2312" w:eastAsia="仿宋_GB2312" w:cs="仿宋_GB2312"/>
                <w:b/>
                <w:sz w:val="32"/>
                <w:szCs w:val="32"/>
              </w:rPr>
            </w:pPr>
            <w:r>
              <w:rPr>
                <w:rFonts w:hint="eastAsia" w:ascii="仿宋_GB2312" w:hAnsi="仿宋_GB2312" w:eastAsia="仿宋_GB2312" w:cs="仿宋_GB2312"/>
                <w:b/>
                <w:sz w:val="32"/>
                <w:szCs w:val="32"/>
              </w:rPr>
              <w:t>财政供给政策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4309" w:type="dxa"/>
            <w:vAlign w:val="center"/>
          </w:tcPr>
          <w:p>
            <w:pPr>
              <w:ind w:firstLine="480"/>
              <w:jc w:val="center"/>
              <w:rPr>
                <w:rFonts w:ascii="仿宋_GB2312" w:hAnsi="仿宋_GB2312" w:eastAsia="仿宋_GB2312" w:cs="仿宋_GB2312"/>
                <w:sz w:val="24"/>
              </w:rPr>
            </w:pPr>
            <w:r>
              <w:rPr>
                <w:rFonts w:hint="eastAsia" w:ascii="仿宋_GB2312" w:hAnsi="仿宋_GB2312" w:eastAsia="仿宋_GB2312" w:cs="仿宋_GB2312"/>
                <w:sz w:val="24"/>
              </w:rPr>
              <w:t>石家庄市无极县大陈镇人民政府</w:t>
            </w:r>
          </w:p>
        </w:tc>
        <w:tc>
          <w:tcPr>
            <w:tcW w:w="1077" w:type="dxa"/>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行政</w:t>
            </w:r>
          </w:p>
        </w:tc>
        <w:tc>
          <w:tcPr>
            <w:tcW w:w="1077" w:type="dxa"/>
            <w:vAlign w:val="center"/>
          </w:tcPr>
          <w:p>
            <w:pPr>
              <w:jc w:val="center"/>
              <w:rPr>
                <w:rFonts w:ascii="仿宋_GB2312" w:hAnsi="仿宋_GB2312" w:eastAsia="仿宋_GB2312" w:cs="仿宋_GB2312"/>
                <w:sz w:val="24"/>
              </w:rPr>
            </w:pPr>
            <w:r>
              <w:rPr>
                <w:rFonts w:hint="eastAsia" w:ascii="仿宋_GB2312" w:hAnsi="仿宋_GB2312" w:eastAsia="仿宋_GB2312" w:cs="仿宋_GB2312"/>
                <w:sz w:val="24"/>
              </w:rPr>
              <w:t>正科级</w:t>
            </w:r>
          </w:p>
        </w:tc>
        <w:tc>
          <w:tcPr>
            <w:tcW w:w="2721" w:type="dxa"/>
            <w:vAlign w:val="center"/>
          </w:tcPr>
          <w:p>
            <w:pPr>
              <w:ind w:firstLine="480"/>
              <w:jc w:val="center"/>
              <w:rPr>
                <w:rFonts w:ascii="仿宋_GB2312" w:hAnsi="仿宋_GB2312" w:eastAsia="仿宋_GB2312" w:cs="仿宋_GB2312"/>
                <w:sz w:val="24"/>
              </w:rPr>
            </w:pPr>
            <w:r>
              <w:rPr>
                <w:rFonts w:hint="eastAsia" w:ascii="仿宋_GB2312" w:hAnsi="仿宋_GB2312" w:eastAsia="仿宋_GB2312" w:cs="仿宋_GB2312"/>
                <w:sz w:val="24"/>
              </w:rPr>
              <w:t>财政拨款</w:t>
            </w:r>
          </w:p>
        </w:tc>
      </w:tr>
    </w:tbl>
    <w:p>
      <w:pPr>
        <w:autoSpaceDE w:val="0"/>
        <w:autoSpaceDN w:val="0"/>
        <w:adjustRightInd w:val="0"/>
        <w:spacing w:after="0" w:line="560" w:lineRule="exact"/>
        <w:jc w:val="left"/>
        <w:sectPr>
          <w:pgSz w:w="11906" w:h="16838"/>
          <w:pgMar w:top="2098" w:right="1474" w:bottom="1985" w:left="1588" w:header="851" w:footer="992" w:gutter="0"/>
          <w:pgNumType w:start="0"/>
          <w:cols w:space="720" w:num="1"/>
          <w:titlePg/>
          <w:docGrid w:type="lines" w:linePitch="312" w:charSpace="0"/>
        </w:sectPr>
      </w:pP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w:t>
      </w:r>
      <w:r>
        <w:rPr>
          <w:rFonts w:eastAsia="黑体"/>
          <w:sz w:val="32"/>
          <w:szCs w:val="32"/>
        </w:rPr>
        <w:t>大陈镇</w:t>
      </w:r>
      <w:r>
        <w:rPr>
          <w:rFonts w:hint="eastAsia" w:eastAsia="黑体"/>
          <w:sz w:val="32"/>
          <w:szCs w:val="32"/>
        </w:rPr>
        <w:t>政府</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60" w:lineRule="exact"/>
        <w:rPr>
          <w:rFonts w:ascii="黑体" w:hAnsi="Cambria" w:eastAsia="黑体" w:cs="MS-UIGothic,Bold"/>
          <w:bCs/>
          <w:kern w:val="0"/>
          <w:sz w:val="52"/>
          <w:szCs w:val="52"/>
        </w:rPr>
      </w:pPr>
    </w:p>
    <w:p>
      <w:pPr>
        <w:widowControl/>
        <w:spacing w:line="560" w:lineRule="exact"/>
        <w:rPr>
          <w:rFonts w:ascii="黑体" w:hAnsi="Cambria" w:eastAsia="黑体" w:cs="MS-UIGothic,Bold"/>
          <w:bCs/>
          <w:kern w:val="0"/>
          <w:sz w:val="52"/>
          <w:szCs w:val="52"/>
        </w:rPr>
      </w:pPr>
    </w:p>
    <w:p>
      <w:pPr>
        <w:widowControl/>
        <w:spacing w:line="560" w:lineRule="exact"/>
        <w:rPr>
          <w:rFonts w:ascii="黑体" w:hAnsi="Cambria" w:eastAsia="黑体" w:cs="MS-UIGothic,Bold"/>
          <w:bCs/>
          <w:kern w:val="0"/>
          <w:sz w:val="52"/>
          <w:szCs w:val="52"/>
        </w:rPr>
      </w:pPr>
    </w:p>
    <w:p>
      <w:pPr>
        <w:widowControl/>
        <w:spacing w:line="560" w:lineRule="exact"/>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本部门2017年度年初结转和结余0万元，本年收入418.27万元；本年支出418.27万元、年末结转和结余0万元。与2016年度决算相比，本年收入比</w:t>
      </w:r>
      <w:r>
        <w:rPr>
          <w:rFonts w:ascii="仿宋_GB2312" w:eastAsia="仿宋_GB2312" w:cs="DengXian-Regular"/>
          <w:sz w:val="32"/>
          <w:szCs w:val="32"/>
        </w:rPr>
        <w:t>201</w:t>
      </w:r>
      <w:r>
        <w:rPr>
          <w:rFonts w:hint="eastAsia" w:ascii="仿宋_GB2312" w:eastAsia="仿宋_GB2312" w:cs="DengXian-Regular"/>
          <w:sz w:val="32"/>
          <w:szCs w:val="32"/>
        </w:rPr>
        <w:t>6</w:t>
      </w:r>
      <w:r>
        <w:rPr>
          <w:rFonts w:ascii="仿宋_GB2312" w:eastAsia="仿宋_GB2312" w:cs="DengXian-Regular"/>
          <w:sz w:val="32"/>
          <w:szCs w:val="32"/>
        </w:rPr>
        <w:t>年</w:t>
      </w:r>
      <w:r>
        <w:rPr>
          <w:rFonts w:hint="eastAsia" w:ascii="仿宋_GB2312" w:eastAsia="仿宋_GB2312" w:cs="DengXian-Regular"/>
          <w:sz w:val="32"/>
          <w:szCs w:val="32"/>
        </w:rPr>
        <w:t>减少41.23万元，降低8.97</w:t>
      </w:r>
      <w:r>
        <w:rPr>
          <w:rFonts w:ascii="仿宋_GB2312" w:eastAsia="仿宋_GB2312" w:cs="DengXian-Regular"/>
          <w:sz w:val="32"/>
          <w:szCs w:val="32"/>
        </w:rPr>
        <w:t>%</w:t>
      </w:r>
      <w:r>
        <w:rPr>
          <w:rFonts w:hint="eastAsia" w:ascii="仿宋_GB2312" w:eastAsia="仿宋_GB2312" w:cs="DengXian-Regular"/>
          <w:sz w:val="32"/>
          <w:szCs w:val="32"/>
        </w:rPr>
        <w:t>。主要原因是：2017年拨款减少。本年支出减少，比</w:t>
      </w:r>
      <w:r>
        <w:rPr>
          <w:rFonts w:ascii="仿宋_GB2312" w:eastAsia="仿宋_GB2312" w:cs="DengXian-Regular"/>
          <w:sz w:val="32"/>
          <w:szCs w:val="32"/>
        </w:rPr>
        <w:t>2016年</w:t>
      </w:r>
      <w:r>
        <w:rPr>
          <w:rFonts w:hint="eastAsia" w:ascii="仿宋_GB2312" w:eastAsia="仿宋_GB2312" w:cs="DengXian-Regular"/>
          <w:sz w:val="32"/>
          <w:szCs w:val="32"/>
        </w:rPr>
        <w:t>减少49.53万元，降低10.59</w:t>
      </w:r>
      <w:r>
        <w:rPr>
          <w:rFonts w:ascii="仿宋_GB2312" w:eastAsia="仿宋_GB2312" w:cs="DengXian-Regular"/>
          <w:sz w:val="32"/>
          <w:szCs w:val="32"/>
        </w:rPr>
        <w:t>%</w:t>
      </w:r>
      <w:r>
        <w:rPr>
          <w:rFonts w:hint="eastAsia" w:ascii="仿宋_GB2312" w:eastAsia="仿宋_GB2312" w:cs="DengXian-Regular"/>
          <w:sz w:val="32"/>
          <w:szCs w:val="32"/>
        </w:rPr>
        <w:t>。主要原因是：2017年拨款减少，节俭开支，行政运行支出减少。</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本部门2017年度本年收入合计418.27万元，其中：财政拨款收入418.27万元，占100%；事业收入0万元，占0%；经营收入0万元，占0%；其他收入0万元，占0%。如图所示：</w:t>
      </w:r>
    </w:p>
    <w:p>
      <w:pPr>
        <w:adjustRightInd w:val="0"/>
        <w:snapToGrid w:val="0"/>
        <w:spacing w:line="560" w:lineRule="exact"/>
        <w:ind w:firstLine="1920" w:firstLineChars="600"/>
        <w:rPr>
          <w:rFonts w:ascii="仿宋_GB2312" w:eastAsia="仿宋_GB2312" w:cs="DengXian-Regular"/>
          <w:sz w:val="32"/>
          <w:szCs w:val="32"/>
        </w:rPr>
      </w:pPr>
      <w:r>
        <w:rPr>
          <w:rFonts w:ascii="仿宋_GB2312" w:eastAsia="仿宋_GB2312" w:cs="DengXian-Regular"/>
          <w:sz w:val="32"/>
          <w:szCs w:val="32"/>
        </w:rPr>
        <w:t>图</w:t>
      </w:r>
      <w:r>
        <w:rPr>
          <w:rFonts w:hint="eastAsia" w:ascii="仿宋_GB2312" w:eastAsia="仿宋_GB2312" w:cs="DengXian-Regular"/>
          <w:sz w:val="32"/>
          <w:szCs w:val="32"/>
        </w:rPr>
        <w:t>1：收入决算结构饼状图</w:t>
      </w:r>
    </w:p>
    <w:p>
      <w:pPr>
        <w:adjustRightInd w:val="0"/>
        <w:snapToGrid w:val="0"/>
        <w:spacing w:after="0" w:line="240" w:lineRule="auto"/>
        <w:rPr>
          <w:rFonts w:ascii="仿宋_GB2312" w:eastAsia="仿宋_GB2312" w:cs="DengXian-Regular"/>
          <w:sz w:val="32"/>
          <w:szCs w:val="32"/>
        </w:rPr>
      </w:pPr>
      <w:r>
        <w:drawing>
          <wp:inline distT="0" distB="0" distL="114300" distR="114300">
            <wp:extent cx="5610225" cy="2552700"/>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5610225" cy="2552700"/>
                    </a:xfrm>
                    <a:prstGeom prst="rect">
                      <a:avLst/>
                    </a:prstGeom>
                    <a:noFill/>
                    <a:ln>
                      <a:noFill/>
                    </a:ln>
                  </pic:spPr>
                </pic:pic>
              </a:graphicData>
            </a:graphic>
          </wp:inline>
        </w:drawing>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本部门2017年度本年支出合计418.27万元，其中：基本支出418.27万元，占100%；项目支出0万元，占0%；经营支出0万元，占0%。如图所示：</w:t>
      </w:r>
    </w:p>
    <w:p>
      <w:pPr>
        <w:adjustRightInd w:val="0"/>
        <w:snapToGrid w:val="0"/>
        <w:spacing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 xml:space="preserve">            图2：支出决算结构饼状图</w:t>
      </w:r>
    </w:p>
    <w:p>
      <w:pPr>
        <w:adjustRightInd w:val="0"/>
        <w:snapToGrid w:val="0"/>
        <w:spacing w:after="0" w:line="240" w:lineRule="auto"/>
        <w:rPr>
          <w:rFonts w:ascii="仿宋_GB2312" w:eastAsia="仿宋_GB2312" w:cs="DengXian-Regular"/>
          <w:sz w:val="32"/>
          <w:szCs w:val="32"/>
        </w:rPr>
      </w:pPr>
      <w:r>
        <w:drawing>
          <wp:inline distT="0" distB="0" distL="114300" distR="114300">
            <wp:extent cx="5610225" cy="2552700"/>
            <wp:effectExtent l="0" t="0" r="9525"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7"/>
                    <a:stretch>
                      <a:fillRect/>
                    </a:stretch>
                  </pic:blipFill>
                  <pic:spPr>
                    <a:xfrm>
                      <a:off x="0" y="0"/>
                      <a:ext cx="5610225" cy="2552700"/>
                    </a:xfrm>
                    <a:prstGeom prst="rect">
                      <a:avLst/>
                    </a:prstGeom>
                    <a:noFill/>
                    <a:ln>
                      <a:noFill/>
                    </a:ln>
                  </pic:spPr>
                </pic:pic>
              </a:graphicData>
            </a:graphic>
          </wp:inline>
        </w:drawing>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0万元、本年收入418.27万元；本年支出418.27万元、年末结转和结余0万元。与2016年度决算相比，一般公共预算财政拨款本年收入减少41.23万元，降低8.97</w:t>
      </w:r>
      <w:r>
        <w:rPr>
          <w:rFonts w:ascii="仿宋_GB2312" w:eastAsia="仿宋_GB2312" w:cs="DengXian-Regular"/>
          <w:sz w:val="32"/>
          <w:szCs w:val="32"/>
        </w:rPr>
        <w:t>%</w:t>
      </w:r>
      <w:r>
        <w:rPr>
          <w:rFonts w:hint="eastAsia" w:ascii="仿宋_GB2312" w:eastAsia="仿宋_GB2312" w:cs="DengXian-Regular"/>
          <w:sz w:val="32"/>
          <w:szCs w:val="32"/>
        </w:rPr>
        <w:t>，主要原因是：2017年拨款减少。支出减少49.53万元，降低10.59</w:t>
      </w:r>
      <w:r>
        <w:rPr>
          <w:rFonts w:ascii="仿宋_GB2312" w:eastAsia="仿宋_GB2312" w:cs="DengXian-Regular"/>
          <w:sz w:val="32"/>
          <w:szCs w:val="32"/>
        </w:rPr>
        <w:t>%</w:t>
      </w:r>
      <w:r>
        <w:rPr>
          <w:rFonts w:hint="eastAsia" w:ascii="仿宋_GB2312" w:eastAsia="仿宋_GB2312" w:cs="DengXian-Regular"/>
          <w:sz w:val="32"/>
          <w:szCs w:val="32"/>
        </w:rPr>
        <w:t>。主要原因是：2017年拨款减少，节俭开支，行政运行支出减少。</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本部门2017年度一般公共预算财政拨款本年收入较2017年初预算无增减变化，与年初批复的预算数相比一致。本年支出与年初批复的预算数相比无增减变化，与年初批复的预算数相比一致</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本部门2017年度“三公”经费支出共计3万元，较年初预算无增减变化，主要是正常开支；较2016年度决算无增加变化，主要是维护正常运行开支。具体情况如下：</w:t>
      </w:r>
    </w:p>
    <w:p>
      <w:pPr>
        <w:numPr>
          <w:ilvl w:val="0"/>
          <w:numId w:val="2"/>
        </w:num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因公出国（境）费支出0万元。</w:t>
      </w:r>
      <w:r>
        <w:rPr>
          <w:rFonts w:hint="eastAsia" w:ascii="仿宋_GB2312" w:eastAsia="仿宋_GB2312" w:cs="DengXian-Regular"/>
          <w:sz w:val="32"/>
          <w:szCs w:val="32"/>
        </w:rPr>
        <w:t>本部门2017年度参加其他单位组织的因公出国（境）团组0个、共0人/无本单位组织的出国（境）团组，未发生“因公出国费用”支出。因公出国（境）费支出较年初预算无增减变化；较2016年度决算无增减变化。</w:t>
      </w:r>
    </w:p>
    <w:p>
      <w:pPr>
        <w:adjustRightInd w:val="0"/>
        <w:snapToGrid w:val="0"/>
        <w:spacing w:after="0" w:line="560" w:lineRule="exact"/>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（二）公务用车购置及运行维护费支出3万元。</w:t>
      </w:r>
      <w:r>
        <w:rPr>
          <w:rFonts w:hint="eastAsia" w:ascii="仿宋_GB2312" w:eastAsia="仿宋_GB2312" w:cs="DengXian-Regular"/>
          <w:sz w:val="32"/>
          <w:szCs w:val="32"/>
        </w:rPr>
        <w:t>本部门2017年度公务用车购置及运行维护费较年初预算无增减变化,主要是维护运行正常开支；较2016年度决算无增减变化,主要是维护运行正常开支。</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本部门2017年度公务用车购置量0辆，未发生“公务用车购置”经费支出。公务用车购置费支出较年初预算无增减变化,</w:t>
      </w:r>
      <w:r>
        <w:rPr>
          <w:rFonts w:hint="eastAsia" w:ascii="仿宋_GB2312" w:eastAsia="仿宋_GB2312" w:cs="DengXian-Regular"/>
          <w:color w:val="000000"/>
          <w:sz w:val="32"/>
          <w:szCs w:val="32"/>
        </w:rPr>
        <w:t>较2016年度决算无增减变化。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本部门2017年度单位公务用车保有量1辆。公车运行维护费支出较年初预算无增减变化,主要是维护运行正常开支；较2016年度决算无增减变化，主要是维护运行正常开支。</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本部门2017年度公务接待共0批次、0人次。本年未发生“公务接待费用”支出；较年初预算无增减变化，</w:t>
      </w:r>
      <w:r>
        <w:rPr>
          <w:rFonts w:hint="eastAsia" w:ascii="仿宋_GB2312" w:eastAsia="仿宋_GB2312" w:cs="DengXian-Regular"/>
          <w:color w:val="000000"/>
          <w:sz w:val="32"/>
          <w:szCs w:val="32"/>
        </w:rPr>
        <w:t>较2016年度决算无增减变化。</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本部门2017年度机关运行经费支出100.3万元，比2016年度增加92万元，增长1108%。主要原因是业务增多。</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w:t>
      </w:r>
      <w:r>
        <w:rPr>
          <w:rFonts w:ascii="仿宋_GB2312" w:eastAsia="仿宋_GB2312" w:cs="DengXian-Regular"/>
          <w:sz w:val="32"/>
          <w:szCs w:val="32"/>
        </w:rPr>
        <w:t>269.15</w:t>
      </w:r>
      <w:r>
        <w:rPr>
          <w:rFonts w:hint="eastAsia" w:ascii="仿宋_GB2312" w:eastAsia="仿宋_GB2312" w:cs="DengXian-Regular"/>
          <w:sz w:val="32"/>
          <w:szCs w:val="32"/>
        </w:rPr>
        <w:t>万元，其中：政府采购货物支出0万元、政府采购工程支出</w:t>
      </w:r>
      <w:r>
        <w:rPr>
          <w:rFonts w:ascii="仿宋_GB2312" w:eastAsia="仿宋_GB2312" w:cs="DengXian-Regular"/>
          <w:sz w:val="32"/>
          <w:szCs w:val="32"/>
        </w:rPr>
        <w:t>269.15</w:t>
      </w:r>
      <w:r>
        <w:rPr>
          <w:rFonts w:hint="eastAsia" w:ascii="仿宋_GB2312" w:eastAsia="仿宋_GB2312" w:cs="DengXian-Regular"/>
          <w:sz w:val="32"/>
          <w:szCs w:val="32"/>
        </w:rPr>
        <w:t>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截至2017年12月31日，本部门共有车辆1辆，其中，市级领导干部用车0辆、一般公务用车1辆、一般执法执勤用车0辆、特种专业技术用车0辆、其他用车0辆，其他用车主要是0；单位价值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1、本部门2017年度政府性基金预算财政拨款收入支出决算表为空、国有资本经营预算财政拨款收入支出决算表为空、无收支及结转结余情况，故以空表列示。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2000000" w:usb3="00000000" w:csb0="0000019F" w:csb1="00000000"/>
  </w:font>
  <w:font w:name="FreeSerif">
    <w:panose1 w:val="02020603050405020304"/>
    <w:charset w:val="00"/>
    <w:family w:val="auto"/>
    <w:pitch w:val="default"/>
    <w:sig w:usb0="E59FAFFF" w:usb1="C200FDFF" w:usb2="43501B29" w:usb3="04000043" w:csb0="600101FF" w:csb1="FFFF0000"/>
  </w:font>
  <w:font w:name="方正小标宋_GBK">
    <w:panose1 w:val="02000000000000000000"/>
    <w:charset w:val="86"/>
    <w:family w:val="auto"/>
    <w:pitch w:val="default"/>
    <w:sig w:usb0="00000001" w:usb1="08000000" w:usb2="00000000" w:usb3="00000000" w:csb0="00040000" w:csb1="00000000"/>
  </w:font>
  <w:font w:name="仿宋_GB2312">
    <w:altName w:val="方正仿宋_GBK"/>
    <w:panose1 w:val="00000000000000000000"/>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仿宋">
    <w:altName w:val="方正仿宋_GBK"/>
    <w:panose1 w:val="02010609060101010101"/>
    <w:charset w:val="86"/>
    <w:family w:val="modern"/>
    <w:pitch w:val="default"/>
    <w:sig w:usb0="00000000" w:usb1="00000000" w:usb2="00000016" w:usb3="00000000" w:csb0="00040001" w:csb1="00000000"/>
  </w:font>
  <w:font w:name="MS-UIGothic,Bold">
    <w:altName w:val="方正书宋_GBK"/>
    <w:panose1 w:val="00000000000000000000"/>
    <w:charset w:val="81"/>
    <w:family w:val="auto"/>
    <w:pitch w:val="default"/>
    <w:sig w:usb0="00000000" w:usb1="00000000" w:usb2="00000010" w:usb3="00000000" w:csb0="00080000"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楷体_GB2312">
    <w:altName w:val="方正楷体_GBK"/>
    <w:panose1 w:val="00000000000000000000"/>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auto"/>
    <w:pitch w:val="default"/>
    <w:sig w:usb0="00000000" w:usb1="00000000" w:usb2="00000000" w:usb3="00000000" w:csb0="00000001" w:csb1="00000000"/>
  </w:font>
  <w:font w:name="SimSun,Bold">
    <w:altName w:val="华文中宋"/>
    <w:panose1 w:val="00000000000000000000"/>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6"/>
    <w:multiLevelType w:val="multilevel"/>
    <w:tmpl w:val="00000006"/>
    <w:lvl w:ilvl="0" w:tentative="0">
      <w:start w:val="1"/>
      <w:numFmt w:val="decimal"/>
      <w:lvlText w:val="%1."/>
      <w:lvlJc w:val="left"/>
      <w:pPr>
        <w:tabs>
          <w:tab w:val="left" w:pos="1047"/>
        </w:tabs>
        <w:ind w:left="1047" w:hanging="420"/>
      </w:pPr>
    </w:lvl>
    <w:lvl w:ilvl="1" w:tentative="0">
      <w:start w:val="1"/>
      <w:numFmt w:val="lowerLetter"/>
      <w:lvlText w:val="%2)"/>
      <w:lvlJc w:val="left"/>
      <w:pPr>
        <w:tabs>
          <w:tab w:val="left" w:pos="1467"/>
        </w:tabs>
        <w:ind w:left="1467" w:hanging="420"/>
      </w:pPr>
    </w:lvl>
    <w:lvl w:ilvl="2" w:tentative="0">
      <w:start w:val="1"/>
      <w:numFmt w:val="lowerRoman"/>
      <w:lvlText w:val="%3."/>
      <w:lvlJc w:val="right"/>
      <w:pPr>
        <w:tabs>
          <w:tab w:val="left" w:pos="1887"/>
        </w:tabs>
        <w:ind w:left="1887" w:hanging="420"/>
      </w:pPr>
    </w:lvl>
    <w:lvl w:ilvl="3" w:tentative="0">
      <w:start w:val="1"/>
      <w:numFmt w:val="decimal"/>
      <w:lvlText w:val="%4."/>
      <w:lvlJc w:val="left"/>
      <w:pPr>
        <w:tabs>
          <w:tab w:val="left" w:pos="2307"/>
        </w:tabs>
        <w:ind w:left="2307" w:hanging="420"/>
      </w:pPr>
    </w:lvl>
    <w:lvl w:ilvl="4" w:tentative="0">
      <w:start w:val="1"/>
      <w:numFmt w:val="lowerLetter"/>
      <w:lvlText w:val="%5)"/>
      <w:lvlJc w:val="left"/>
      <w:pPr>
        <w:tabs>
          <w:tab w:val="left" w:pos="2727"/>
        </w:tabs>
        <w:ind w:left="2727" w:hanging="420"/>
      </w:pPr>
    </w:lvl>
    <w:lvl w:ilvl="5" w:tentative="0">
      <w:start w:val="1"/>
      <w:numFmt w:val="lowerRoman"/>
      <w:lvlText w:val="%6."/>
      <w:lvlJc w:val="right"/>
      <w:pPr>
        <w:tabs>
          <w:tab w:val="left" w:pos="3147"/>
        </w:tabs>
        <w:ind w:left="3147" w:hanging="420"/>
      </w:pPr>
    </w:lvl>
    <w:lvl w:ilvl="6" w:tentative="0">
      <w:start w:val="1"/>
      <w:numFmt w:val="decimal"/>
      <w:lvlText w:val="%7."/>
      <w:lvlJc w:val="left"/>
      <w:pPr>
        <w:tabs>
          <w:tab w:val="left" w:pos="3567"/>
        </w:tabs>
        <w:ind w:left="3567" w:hanging="420"/>
      </w:pPr>
    </w:lvl>
    <w:lvl w:ilvl="7" w:tentative="0">
      <w:start w:val="1"/>
      <w:numFmt w:val="lowerLetter"/>
      <w:lvlText w:val="%8)"/>
      <w:lvlJc w:val="left"/>
      <w:pPr>
        <w:tabs>
          <w:tab w:val="left" w:pos="3987"/>
        </w:tabs>
        <w:ind w:left="3987" w:hanging="420"/>
      </w:pPr>
    </w:lvl>
    <w:lvl w:ilvl="8" w:tentative="0">
      <w:start w:val="1"/>
      <w:numFmt w:val="lowerRoman"/>
      <w:lvlText w:val="%9."/>
      <w:lvlJc w:val="right"/>
      <w:pPr>
        <w:tabs>
          <w:tab w:val="left" w:pos="4407"/>
        </w:tabs>
        <w:ind w:left="4407" w:hanging="420"/>
      </w:pPr>
    </w:lvl>
  </w:abstractNum>
  <w:abstractNum w:abstractNumId="1">
    <w:nsid w:val="0000000B"/>
    <w:multiLevelType w:val="singleLevel"/>
    <w:tmpl w:val="0000000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0B73"/>
    <w:rsid w:val="00370B73"/>
    <w:rsid w:val="00405F15"/>
    <w:rsid w:val="006B0DA8"/>
    <w:rsid w:val="007062B0"/>
    <w:rsid w:val="00A340D8"/>
    <w:rsid w:val="00B42433"/>
    <w:rsid w:val="00ED254F"/>
    <w:rsid w:val="EFFFD9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cs="黑体"/>
      <w:b/>
      <w:bCs/>
      <w:sz w:val="28"/>
      <w:szCs w:val="2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6"/>
    <w:qFormat/>
    <w:uiPriority w:val="0"/>
    <w:pPr>
      <w:tabs>
        <w:tab w:val="center" w:pos="4153"/>
        <w:tab w:val="right" w:pos="8306"/>
      </w:tabs>
      <w:snapToGrid w:val="0"/>
      <w:jc w:val="left"/>
    </w:pPr>
    <w:rPr>
      <w:sz w:val="18"/>
      <w:szCs w:val="18"/>
    </w:rPr>
  </w:style>
  <w:style w:type="paragraph" w:styleId="7">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8"/>
    <w:qFormat/>
    <w:uiPriority w:val="0"/>
    <w:pPr>
      <w:widowControl/>
      <w:spacing w:after="200" w:line="276" w:lineRule="auto"/>
      <w:jc w:val="left"/>
    </w:pPr>
    <w:rPr>
      <w:rFonts w:ascii="Calibri" w:hAnsi="Calibri" w:cs="黑体"/>
      <w:i/>
      <w:iCs/>
      <w:color w:val="F0A22E"/>
      <w:spacing w:val="15"/>
      <w:kern w:val="0"/>
      <w:sz w:val="24"/>
    </w:rPr>
  </w:style>
  <w:style w:type="paragraph" w:styleId="9">
    <w:name w:val="Title"/>
    <w:basedOn w:val="1"/>
    <w:next w:val="1"/>
    <w:link w:val="19"/>
    <w:qFormat/>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2">
    <w:name w:val="标题 1 Char"/>
    <w:link w:val="2"/>
    <w:semiHidden/>
    <w:qFormat/>
    <w:uiPriority w:val="0"/>
    <w:rPr>
      <w:rFonts w:ascii="Times New Roman" w:hAnsi="Times New Roman" w:eastAsia="宋体" w:cs="Times New Roman"/>
      <w:b/>
      <w:bCs/>
      <w:kern w:val="44"/>
      <w:sz w:val="44"/>
      <w:szCs w:val="44"/>
    </w:rPr>
  </w:style>
  <w:style w:type="character" w:customStyle="1" w:styleId="13">
    <w:name w:val="标题 2 Char"/>
    <w:link w:val="3"/>
    <w:semiHidden/>
    <w:qFormat/>
    <w:uiPriority w:val="0"/>
    <w:rPr>
      <w:rFonts w:ascii="Calibri" w:hAnsi="Calibri" w:eastAsia="宋体" w:cs="黑体"/>
      <w:b/>
      <w:bCs/>
      <w:sz w:val="32"/>
      <w:szCs w:val="32"/>
    </w:rPr>
  </w:style>
  <w:style w:type="character" w:customStyle="1" w:styleId="14">
    <w:name w:val="标题 3 Char"/>
    <w:link w:val="4"/>
    <w:semiHidden/>
    <w:qFormat/>
    <w:uiPriority w:val="0"/>
    <w:rPr>
      <w:rFonts w:ascii="Times New Roman" w:hAnsi="Times New Roman" w:eastAsia="宋体" w:cs="Times New Roman"/>
      <w:b/>
      <w:bCs/>
      <w:sz w:val="32"/>
      <w:szCs w:val="32"/>
    </w:rPr>
  </w:style>
  <w:style w:type="character" w:customStyle="1" w:styleId="15">
    <w:name w:val="标题 4 Char"/>
    <w:link w:val="5"/>
    <w:semiHidden/>
    <w:qFormat/>
    <w:uiPriority w:val="0"/>
    <w:rPr>
      <w:rFonts w:ascii="Calibri" w:hAnsi="Calibri" w:eastAsia="宋体" w:cs="黑体"/>
      <w:b/>
      <w:bCs/>
      <w:sz w:val="28"/>
      <w:szCs w:val="28"/>
    </w:rPr>
  </w:style>
  <w:style w:type="character" w:customStyle="1" w:styleId="16">
    <w:name w:val="页脚 Char"/>
    <w:link w:val="6"/>
    <w:semiHidden/>
    <w:qFormat/>
    <w:uiPriority w:val="0"/>
    <w:rPr>
      <w:sz w:val="18"/>
      <w:szCs w:val="18"/>
    </w:rPr>
  </w:style>
  <w:style w:type="character" w:customStyle="1" w:styleId="17">
    <w:name w:val="页眉 Char"/>
    <w:link w:val="7"/>
    <w:semiHidden/>
    <w:qFormat/>
    <w:uiPriority w:val="0"/>
    <w:rPr>
      <w:sz w:val="18"/>
      <w:szCs w:val="18"/>
    </w:rPr>
  </w:style>
  <w:style w:type="character" w:customStyle="1" w:styleId="18">
    <w:name w:val="副标题 Char"/>
    <w:link w:val="8"/>
    <w:semiHidden/>
    <w:qFormat/>
    <w:uiPriority w:val="0"/>
    <w:rPr>
      <w:rFonts w:ascii="Calibri" w:hAnsi="Calibri" w:eastAsia="宋体" w:cs="黑体"/>
      <w:i/>
      <w:iCs/>
      <w:color w:val="F0A22E"/>
      <w:spacing w:val="15"/>
      <w:kern w:val="0"/>
      <w:sz w:val="24"/>
      <w:szCs w:val="24"/>
    </w:rPr>
  </w:style>
  <w:style w:type="character" w:customStyle="1" w:styleId="19">
    <w:name w:val="标题 Char"/>
    <w:link w:val="9"/>
    <w:semiHidden/>
    <w:qFormat/>
    <w:uiPriority w:val="0"/>
    <w:rPr>
      <w:rFonts w:ascii="Calibri" w:hAnsi="Calibri" w:eastAsia="宋体" w:cs="黑体"/>
      <w:color w:val="392B23"/>
      <w:spacing w:val="5"/>
      <w:kern w:val="28"/>
      <w:sz w:val="52"/>
      <w:szCs w:val="52"/>
    </w:rPr>
  </w:style>
  <w:style w:type="paragraph" w:customStyle="1" w:styleId="20">
    <w:name w:val="批注框文本 Char Char"/>
    <w:basedOn w:val="1"/>
    <w:link w:val="22"/>
    <w:qFormat/>
    <w:uiPriority w:val="0"/>
    <w:rPr>
      <w:sz w:val="18"/>
      <w:szCs w:val="18"/>
    </w:rPr>
  </w:style>
  <w:style w:type="paragraph" w:customStyle="1" w:styleId="21">
    <w:name w:val="无间隔1"/>
    <w:link w:val="23"/>
    <w:qFormat/>
    <w:uiPriority w:val="0"/>
    <w:pPr>
      <w:spacing w:after="160" w:line="480" w:lineRule="auto"/>
    </w:pPr>
    <w:rPr>
      <w:rFonts w:ascii="Times New Roman" w:hAnsi="Times New Roman" w:eastAsia="宋体" w:cs="Times New Roman"/>
      <w:sz w:val="22"/>
      <w:lang w:val="en-US" w:eastAsia="zh-CN" w:bidi="ar-SA"/>
    </w:rPr>
  </w:style>
  <w:style w:type="character" w:customStyle="1" w:styleId="22">
    <w:name w:val="批注框文本 Char Char Char Char"/>
    <w:link w:val="20"/>
    <w:semiHidden/>
    <w:qFormat/>
    <w:uiPriority w:val="0"/>
    <w:rPr>
      <w:rFonts w:ascii="Times New Roman" w:hAnsi="Times New Roman" w:eastAsia="宋体" w:cs="Times New Roman"/>
      <w:sz w:val="18"/>
      <w:szCs w:val="18"/>
    </w:rPr>
  </w:style>
  <w:style w:type="character" w:customStyle="1" w:styleId="23">
    <w:name w:val="无间隔 Char"/>
    <w:link w:val="21"/>
    <w:semiHidden/>
    <w:qFormat/>
    <w:uiPriority w:val="0"/>
    <w:rPr>
      <w:kern w:val="0"/>
      <w:sz w:val="22"/>
    </w:rPr>
  </w:style>
  <w:style w:type="character" w:customStyle="1" w:styleId="24">
    <w:name w:val="Style1"/>
    <w:qFormat/>
    <w:uiPriority w:val="0"/>
    <w:rPr>
      <w:rFonts w:ascii="Cambria" w:hAnsi="黑体" w:eastAsia="黑体" w:cs="黑体"/>
      <w:sz w:val="22"/>
      <w:szCs w:val="22"/>
      <w:lang w:eastAsia="zh-CN"/>
    </w:rPr>
  </w:style>
  <w:style w:type="character" w:customStyle="1" w:styleId="25">
    <w:name w:val="Style2"/>
    <w:qFormat/>
    <w:uiPriority w:val="0"/>
    <w:rPr>
      <w:rFonts w:ascii="Cambria" w:hAnsi="黑体" w:eastAsia="黑体" w:cs="黑体"/>
      <w:sz w:val="22"/>
      <w:szCs w:val="22"/>
      <w:lang w:eastAsia="zh-CN"/>
    </w:rPr>
  </w:style>
  <w:style w:type="character" w:customStyle="1" w:styleId="26">
    <w:name w:val="Style3"/>
    <w:qFormat/>
    <w:uiPriority w:val="0"/>
    <w:rPr>
      <w:rFonts w:ascii="Cambria" w:hAnsi="黑体" w:eastAsia="黑体" w:cs="黑体"/>
      <w:szCs w:val="22"/>
      <w:lang w:eastAsia="zh-CN"/>
    </w:rPr>
  </w:style>
  <w:style w:type="character" w:customStyle="1" w:styleId="27">
    <w:name w:val="Style4"/>
    <w:qFormat/>
    <w:uiPriority w:val="0"/>
    <w:rPr>
      <w:rFonts w:ascii="Cambria" w:hAnsi="黑体" w:eastAsia="黑体" w:cs="黑体"/>
      <w:szCs w:val="22"/>
      <w:lang w:eastAsia="zh-CN"/>
    </w:rPr>
  </w:style>
  <w:style w:type="character" w:customStyle="1" w:styleId="28">
    <w:name w:val="Style5"/>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15</Pages>
  <Words>759</Words>
  <Characters>4328</Characters>
  <Lines>36</Lines>
  <Paragraphs>10</Paragraphs>
  <TotalTime>24</TotalTime>
  <ScaleCrop>false</ScaleCrop>
  <LinksUpToDate>false</LinksUpToDate>
  <CharactersWithSpaces>5077</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2018-08-30T16:38:00Z</dcterms:created>
  <dc:creator>User</dc:creator>
  <cp:lastModifiedBy>caizhengju</cp:lastModifiedBy>
  <dcterms:modified xsi:type="dcterms:W3CDTF">2024-01-02T16:16:12Z</dcterms:modified>
  <dc:subject>石家庄市xxx部门</dc:subject>
  <dc:title>AI霓</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4DD8CC07D3D3DAA94CC69365CC5A790E</vt:lpwstr>
  </property>
</Properties>
</file>