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-991870</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东侯坊乡</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FgAAAGRycy9QSwECFAAU&#10;AAAACACHTuJAHDPDVNsAAAAMAQAADwAAAAAAAAABACAAAAA4AAAAZHJzL2Rvd25yZXYueG1sUEsB&#10;AhQAFAAAAAgAh07iQMuksXhOAgAAgQQAAA4AAAAAAAAAAQAgAAAAQAEAAGRycy9lMm9Eb2MueG1s&#10;UEsFBgAAAAAGAAYAWQEAAAAG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东侯坊乡</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东侯坊乡</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一、 财政拨款收入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二、 事业收入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三、 其他收入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四、 用事业基金弥补收支差额</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五、 年初结转和结余</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六、 结余分配</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七、 年末结转和结余</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八、 基本支出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九、 项目支出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 基本建设支出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十一、 其他资本性支出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十二、 “ 三公” 经费</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十三、 其他交通费用</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十四、 公务用车购置</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十五、 其他交通工具购置</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十六、 机关运行经费</w:t>
      </w:r>
    </w:p>
    <w:p>
      <w:pPr>
        <w:spacing w:line="580" w:lineRule="exact"/>
        <w:rPr>
          <w:rFonts w:ascii="宋体" w:hAnsi="宋体" w:cs="宋体"/>
          <w:b/>
          <w:bCs/>
          <w:sz w:val="32"/>
          <w:szCs w:val="32"/>
        </w:rPr>
      </w:pPr>
    </w:p>
    <w:p>
      <w:pPr>
        <w:rPr>
          <w:rFonts w:ascii="宋体" w:hAnsi="宋体" w:cs="宋体"/>
          <w:sz w:val="32"/>
          <w:szCs w:val="32"/>
        </w:rPr>
      </w:pPr>
    </w:p>
    <w:p>
      <w:pPr>
        <w:rPr>
          <w:rFonts w:ascii="宋体" w:hAnsi="宋体" w:cs="宋体"/>
          <w:sz w:val="32"/>
          <w:szCs w:val="32"/>
        </w:rPr>
      </w:pPr>
    </w:p>
    <w:p>
      <w:pPr>
        <w:rPr>
          <w:rFonts w:ascii="宋体" w:hAnsi="宋体" w:cs="宋体"/>
          <w:sz w:val="32"/>
          <w:szCs w:val="32"/>
        </w:rPr>
      </w:pPr>
    </w:p>
    <w:p>
      <w:pPr>
        <w:rPr>
          <w:rFonts w:ascii="宋体" w:hAnsi="宋体" w:cs="宋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69504"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69504;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D1fZXNG&#10;AgAAeQ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E2+Ks/DJkyCNJSepNiv+g3OFVV3gOlpmJXg&#10;5HmLUi5EiFfCYziADOsTL3HUmpCSNhJnDflv/9Inf/QMVs46DFvJw9e18Ioz/cGim0fjg4M0nfly&#10;MJ3t4+KfWlZPLXZtTgnzPMaiOpnF5B/1Vqw9mS/YsmXKCpOwErlLHrfiaRxWAFsq1XKZnTCPTsQL&#10;e+1kCj2Qu1xHqtvMe6Jp4AZNSBdMZG7HZnvSyD+9Z6/HP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iKw6neAAAADQEAAA8AAAAAAAAAAQAgAAAAOAAAAGRycy9kb3ducmV2LnhtbFBLAQIUABQA&#10;AAAIAIdO4kA9X2VzRgIAAHkEAAAOAAAAAAAAAAEAIAAAAEMBAABkcnMvZTJvRG9jLnhtbFBLBQYA&#10;AAAABgAGAFkBAAD7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Pr>
        <w:pStyle w:val="3"/>
        <w:spacing w:before="0" w:after="0" w:line="560" w:lineRule="exact"/>
        <w:rPr>
          <w:rFonts w:ascii="宋体" w:hAnsi="宋体" w:eastAsia="宋体" w:cs="宋体"/>
          <w:kern w:val="0"/>
        </w:rPr>
      </w:pPr>
      <w:r>
        <w:rPr>
          <w:rFonts w:hint="eastAsia" w:ascii="宋体" w:hAnsi="宋体" w:eastAsia="宋体" w:cs="宋体"/>
          <w:kern w:val="0"/>
        </w:rPr>
        <w:t>一、部门职责</w:t>
      </w:r>
    </w:p>
    <w:p>
      <w:pPr>
        <w:ind w:firstLine="640" w:firstLineChars="200"/>
        <w:jc w:val="left"/>
        <w:outlineLvl w:val="0"/>
        <w:rPr>
          <w:rFonts w:ascii="宋体" w:hAnsi="宋体" w:cs="宋体"/>
          <w:sz w:val="32"/>
          <w:szCs w:val="32"/>
        </w:rPr>
      </w:pPr>
      <w:r>
        <w:rPr>
          <w:rFonts w:hint="eastAsia" w:ascii="宋体" w:hAnsi="宋体" w:cs="宋体"/>
          <w:sz w:val="32"/>
          <w:szCs w:val="32"/>
        </w:rPr>
        <w:t>宣传、贯彻、执行党的路线方针政策和国家的法律、法规,执行本级人民代表大会的决议和上级国家行政机关的决定和命令,其主要职能为:</w:t>
      </w:r>
    </w:p>
    <w:p>
      <w:pPr>
        <w:ind w:firstLine="832" w:firstLineChars="260"/>
        <w:jc w:val="left"/>
        <w:outlineLvl w:val="0"/>
        <w:rPr>
          <w:rFonts w:ascii="宋体" w:hAnsi="宋体" w:cs="宋体"/>
          <w:sz w:val="32"/>
          <w:szCs w:val="32"/>
        </w:rPr>
      </w:pPr>
      <w:r>
        <w:rPr>
          <w:rFonts w:hint="eastAsia" w:ascii="宋体" w:hAnsi="宋体" w:cs="宋体"/>
          <w:sz w:val="32"/>
          <w:szCs w:val="32"/>
        </w:rPr>
        <w:t>1.促进经济发展</w:t>
      </w:r>
    </w:p>
    <w:p>
      <w:pPr>
        <w:ind w:firstLine="832" w:firstLineChars="260"/>
        <w:jc w:val="left"/>
        <w:outlineLvl w:val="0"/>
        <w:rPr>
          <w:rFonts w:ascii="宋体" w:hAnsi="宋体" w:cs="宋体"/>
          <w:sz w:val="32"/>
          <w:szCs w:val="32"/>
        </w:rPr>
      </w:pPr>
      <w:r>
        <w:rPr>
          <w:rFonts w:hint="eastAsia" w:ascii="宋体" w:hAnsi="宋体" w:cs="宋体"/>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ind w:firstLine="832" w:firstLineChars="260"/>
        <w:jc w:val="left"/>
        <w:outlineLvl w:val="0"/>
        <w:rPr>
          <w:rFonts w:ascii="宋体" w:hAnsi="宋体" w:cs="宋体"/>
          <w:sz w:val="32"/>
          <w:szCs w:val="32"/>
        </w:rPr>
      </w:pPr>
      <w:r>
        <w:rPr>
          <w:rFonts w:hint="eastAsia" w:ascii="宋体" w:hAnsi="宋体" w:cs="宋体"/>
          <w:sz w:val="32"/>
          <w:szCs w:val="32"/>
        </w:rPr>
        <w:t>2.加强社会管理</w:t>
      </w:r>
    </w:p>
    <w:p>
      <w:pPr>
        <w:ind w:firstLine="832" w:firstLineChars="260"/>
        <w:jc w:val="left"/>
        <w:outlineLvl w:val="0"/>
        <w:rPr>
          <w:rFonts w:ascii="宋体" w:hAnsi="宋体" w:cs="宋体"/>
          <w:sz w:val="32"/>
          <w:szCs w:val="32"/>
        </w:rPr>
      </w:pPr>
      <w:r>
        <w:rPr>
          <w:rFonts w:hint="eastAsia" w:ascii="宋体" w:hAnsi="宋体" w:cs="宋体"/>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ind w:firstLine="832" w:firstLineChars="260"/>
        <w:jc w:val="left"/>
        <w:outlineLvl w:val="0"/>
        <w:rPr>
          <w:rFonts w:ascii="宋体" w:hAnsi="宋体" w:cs="宋体"/>
          <w:sz w:val="32"/>
          <w:szCs w:val="32"/>
        </w:rPr>
      </w:pPr>
      <w:r>
        <w:rPr>
          <w:rFonts w:hint="eastAsia" w:ascii="宋体" w:hAnsi="宋体" w:cs="宋体"/>
          <w:sz w:val="32"/>
          <w:szCs w:val="32"/>
        </w:rPr>
        <w:t>3.提供公共服务</w:t>
      </w:r>
    </w:p>
    <w:p>
      <w:pPr>
        <w:ind w:firstLine="832" w:firstLineChars="260"/>
        <w:jc w:val="left"/>
        <w:outlineLvl w:val="0"/>
        <w:rPr>
          <w:rFonts w:ascii="宋体" w:hAnsi="宋体" w:cs="宋体"/>
          <w:sz w:val="32"/>
          <w:szCs w:val="32"/>
        </w:rPr>
      </w:pPr>
      <w:r>
        <w:rPr>
          <w:rFonts w:hint="eastAsia" w:ascii="宋体" w:hAnsi="宋体" w:cs="宋体"/>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ind w:firstLine="832" w:firstLineChars="260"/>
        <w:jc w:val="left"/>
        <w:outlineLvl w:val="0"/>
        <w:rPr>
          <w:rFonts w:ascii="宋体" w:hAnsi="宋体" w:cs="宋体"/>
          <w:sz w:val="32"/>
          <w:szCs w:val="32"/>
        </w:rPr>
      </w:pPr>
      <w:r>
        <w:rPr>
          <w:rFonts w:hint="eastAsia" w:ascii="宋体" w:hAnsi="宋体" w:cs="宋体"/>
          <w:sz w:val="32"/>
          <w:szCs w:val="32"/>
        </w:rPr>
        <w:t>4.维护农村稳定</w:t>
      </w:r>
    </w:p>
    <w:p>
      <w:pPr>
        <w:ind w:firstLine="832" w:firstLineChars="260"/>
        <w:jc w:val="left"/>
        <w:outlineLvl w:val="0"/>
        <w:rPr>
          <w:rFonts w:ascii="宋体" w:hAnsi="宋体" w:cs="宋体"/>
          <w:sz w:val="32"/>
          <w:szCs w:val="32"/>
        </w:rPr>
      </w:pPr>
      <w:r>
        <w:rPr>
          <w:rFonts w:hint="eastAsia" w:ascii="宋体" w:hAnsi="宋体" w:cs="宋体"/>
          <w:sz w:val="32"/>
          <w:szCs w:val="32"/>
        </w:rPr>
        <w:t>主要包括:（1）做好社会治安综合</w:t>
      </w:r>
      <w:r>
        <w:rPr>
          <w:rFonts w:hint="eastAsia" w:ascii="宋体" w:hAnsi="宋体" w:cs="宋体"/>
          <w:sz w:val="32"/>
          <w:szCs w:val="32"/>
          <w:lang w:eastAsia="zh-CN"/>
        </w:rPr>
        <w:t>治理</w:t>
      </w:r>
      <w:r>
        <w:rPr>
          <w:rFonts w:hint="eastAsia" w:ascii="宋体" w:hAnsi="宋体" w:cs="宋体"/>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无极县东侯坊乡人民政府</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8"/>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2336;mso-width-relative:page;mso-height-relative:page;" filled="f" stroked="f" coordsize="21600,21600" o:gfxdata="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WAAAAZHJzL1BLAQIUABQAAAAIAIdO4kBO&#10;az3Q3AAAAA0BAAAPAAAAAAAAAAEAIAAAADgAAABkcnMvZG93bnJldi54bWxQSwECFAAUAAAACACH&#10;TuJAQn4EAkMCAAB3BAAADgAAAAAAAAABACAAAABBAQAAZHJzL2Uyb0RvYy54bWxQSwUGAAAAAAYA&#10;BgBZAQAA9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3267"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r>
              <w:rPr>
                <w:rFonts w:hint="eastAsia" w:ascii="宋体" w:hAnsi="宋体" w:cs="宋体"/>
                <w:color w:val="000000"/>
                <w:kern w:val="0"/>
                <w:sz w:val="20"/>
                <w:szCs w:val="20"/>
              </w:rPr>
              <w:t>部门：无极县东侯坊乡人民政府</w:t>
            </w: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1339.79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1290.9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48.42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20"/>
                <w:szCs w:val="20"/>
              </w:rPr>
              <w:t>1339.79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49"/>
              </w:tabs>
              <w:spacing w:after="0" w:line="200" w:lineRule="exact"/>
              <w:jc w:val="center"/>
              <w:rPr>
                <w:rFonts w:ascii="宋体" w:hAnsi="宋体" w:cs="宋体"/>
                <w:color w:val="000000"/>
                <w:sz w:val="20"/>
                <w:szCs w:val="20"/>
              </w:rPr>
            </w:pPr>
            <w:r>
              <w:rPr>
                <w:rFonts w:hint="eastAsia" w:ascii="宋体" w:hAnsi="宋体" w:cs="宋体"/>
                <w:color w:val="000000"/>
                <w:sz w:val="20"/>
                <w:szCs w:val="20"/>
              </w:rPr>
              <w:t>1339.32</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40.01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40.49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1379.80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1379.8</w:t>
            </w:r>
          </w:p>
          <w:p>
            <w:pPr>
              <w:widowControl/>
              <w:spacing w:after="0" w:line="200" w:lineRule="exact"/>
              <w:rPr>
                <w:rFonts w:ascii="宋体" w:hAnsi="宋体" w:cs="宋体"/>
                <w:color w:val="000000"/>
                <w:sz w:val="20"/>
                <w:szCs w:val="20"/>
              </w:rPr>
            </w:pP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7756" w:type="dxa"/>
        <w:jc w:val="center"/>
        <w:tblLayout w:type="fixed"/>
        <w:tblCellMar>
          <w:top w:w="0" w:type="dxa"/>
          <w:left w:w="0" w:type="dxa"/>
          <w:bottom w:w="0" w:type="dxa"/>
          <w:right w:w="0" w:type="dxa"/>
        </w:tblCellMar>
      </w:tblPr>
      <w:tblGrid>
        <w:gridCol w:w="335"/>
        <w:gridCol w:w="179"/>
        <w:gridCol w:w="520"/>
        <w:gridCol w:w="1851"/>
        <w:gridCol w:w="90"/>
        <w:gridCol w:w="170"/>
        <w:gridCol w:w="90"/>
        <w:gridCol w:w="602"/>
        <w:gridCol w:w="123"/>
        <w:gridCol w:w="90"/>
        <w:gridCol w:w="726"/>
        <w:gridCol w:w="90"/>
        <w:gridCol w:w="411"/>
        <w:gridCol w:w="314"/>
        <w:gridCol w:w="90"/>
        <w:gridCol w:w="28"/>
        <w:gridCol w:w="540"/>
        <w:gridCol w:w="90"/>
        <w:gridCol w:w="780"/>
        <w:gridCol w:w="547"/>
        <w:gridCol w:w="90"/>
      </w:tblGrid>
      <w:tr>
        <w:tblPrEx>
          <w:tblCellMar>
            <w:top w:w="0" w:type="dxa"/>
            <w:left w:w="0" w:type="dxa"/>
            <w:bottom w:w="0" w:type="dxa"/>
            <w:right w:w="0" w:type="dxa"/>
          </w:tblCellMar>
        </w:tblPrEx>
        <w:trPr>
          <w:gridAfter w:val="1"/>
          <w:wAfter w:w="90" w:type="dxa"/>
          <w:trHeight w:val="770" w:hRule="atLeast"/>
          <w:jc w:val="center"/>
        </w:trPr>
        <w:tc>
          <w:tcPr>
            <w:tcW w:w="7666" w:type="dxa"/>
            <w:gridSpan w:val="20"/>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51"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5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417"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gridAfter w:val="1"/>
          <w:wAfter w:w="90" w:type="dxa"/>
          <w:trHeight w:val="362" w:hRule="atLeast"/>
          <w:jc w:val="center"/>
        </w:trPr>
        <w:tc>
          <w:tcPr>
            <w:tcW w:w="2885"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无极县东侯坊乡人民政府</w:t>
            </w:r>
          </w:p>
        </w:tc>
        <w:tc>
          <w:tcPr>
            <w:tcW w:w="26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5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417"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90" w:type="dxa"/>
          <w:trHeight w:val="325" w:hRule="atLeast"/>
          <w:jc w:val="center"/>
        </w:trPr>
        <w:tc>
          <w:tcPr>
            <w:tcW w:w="2885"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52" w:type="dxa"/>
            <w:gridSpan w:val="4"/>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39"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50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432"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54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87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547"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gridAfter w:val="1"/>
          <w:wAfter w:w="90" w:type="dxa"/>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851"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52" w:type="dxa"/>
            <w:gridSpan w:val="4"/>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39"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0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432"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4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87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47"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gridAfter w:val="1"/>
          <w:wAfter w:w="90" w:type="dxa"/>
          <w:trHeight w:val="391" w:hRule="atLeast"/>
          <w:jc w:val="center"/>
        </w:trPr>
        <w:tc>
          <w:tcPr>
            <w:tcW w:w="288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5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50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43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5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gridAfter w:val="1"/>
          <w:wAfter w:w="90" w:type="dxa"/>
          <w:trHeight w:val="544" w:hRule="atLeast"/>
          <w:jc w:val="center"/>
        </w:trPr>
        <w:tc>
          <w:tcPr>
            <w:tcW w:w="288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52" w:type="dxa"/>
            <w:gridSpan w:val="4"/>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1339.79</w:t>
            </w:r>
          </w:p>
        </w:tc>
        <w:tc>
          <w:tcPr>
            <w:tcW w:w="93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 w:val="18"/>
                <w:szCs w:val="18"/>
              </w:rPr>
            </w:pPr>
            <w:r>
              <w:rPr>
                <w:rFonts w:hint="eastAsia" w:ascii="宋体" w:hAnsi="宋体" w:cs="宋体"/>
                <w:b/>
                <w:color w:val="000000"/>
                <w:kern w:val="0"/>
                <w:sz w:val="22"/>
                <w:szCs w:val="22"/>
              </w:rPr>
              <w:t>1,339.79</w:t>
            </w:r>
          </w:p>
        </w:tc>
        <w:tc>
          <w:tcPr>
            <w:tcW w:w="5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432"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54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87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547"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r>
      <w:tr>
        <w:tblPrEx>
          <w:tblCellMar>
            <w:top w:w="0" w:type="dxa"/>
            <w:left w:w="0" w:type="dxa"/>
            <w:bottom w:w="0" w:type="dxa"/>
            <w:right w:w="0" w:type="dxa"/>
          </w:tblCellMar>
        </w:tblPrEx>
        <w:trPr>
          <w:gridAfter w:val="1"/>
          <w:wAfter w:w="90" w:type="dxa"/>
          <w:trHeight w:val="51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一般公共服务支出</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1,270.18</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1,270.18</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9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20103</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政府办公厅（室）及相关机构事务</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1,270.18</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1,270.18</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90" w:type="dxa"/>
          <w:trHeight w:val="529"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r>
              <w:rPr>
                <w:rFonts w:hint="eastAsia"/>
              </w:rPr>
              <w:t>2010301</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r>
              <w:rPr>
                <w:rFonts w:hint="eastAsia"/>
              </w:rPr>
              <w:t>行政运行</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pPr>
            <w:r>
              <w:rPr>
                <w:rFonts w:hint="eastAsia"/>
              </w:rPr>
              <w:t>1,247.53</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pPr>
            <w:r>
              <w:rPr>
                <w:rFonts w:hint="eastAsia"/>
              </w:rPr>
              <w:t>1,247.53</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tc>
      </w:tr>
      <w:tr>
        <w:tblPrEx>
          <w:tblCellMar>
            <w:top w:w="0" w:type="dxa"/>
            <w:left w:w="0" w:type="dxa"/>
            <w:bottom w:w="0" w:type="dxa"/>
            <w:right w:w="0" w:type="dxa"/>
          </w:tblCellMar>
        </w:tblPrEx>
        <w:trPr>
          <w:gridAfter w:val="1"/>
          <w:wAfter w:w="9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2010399</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其他政府办公厅（室）及相关机构事务支出</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22.64</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22.64</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9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社会保障和就业支出</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40.27</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40.27</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9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20805</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行政事业单位离退休</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15.27</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15.27</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9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2080505</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机关事业单位基本养老保险缴费支出</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15.27</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15.27</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9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20899</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其他社会保障和就业支出</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90" w:type="dxa"/>
          <w:trHeight w:val="69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2089901</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其他社会保障和就业支出</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9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211</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节能环保支出</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29.35</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29.35</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90" w:type="dxa"/>
          <w:trHeight w:val="30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21103</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污染防治</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29.35</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29.35</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90" w:type="dxa"/>
          <w:trHeight w:val="589"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2110301</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大气</w:t>
            </w:r>
          </w:p>
        </w:tc>
        <w:tc>
          <w:tcPr>
            <w:tcW w:w="9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29.35</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29.35</w:t>
            </w:r>
          </w:p>
        </w:tc>
        <w:tc>
          <w:tcPr>
            <w:tcW w:w="5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3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90" w:type="dxa"/>
          <w:trHeight w:val="481" w:hRule="atLeast"/>
          <w:jc w:val="center"/>
        </w:trPr>
        <w:tc>
          <w:tcPr>
            <w:tcW w:w="7666" w:type="dxa"/>
            <w:gridSpan w:val="20"/>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310" w:type="dxa"/>
        <w:tblInd w:w="0" w:type="dxa"/>
        <w:tblLayout w:type="fixed"/>
        <w:tblCellMar>
          <w:top w:w="0" w:type="dxa"/>
          <w:left w:w="0" w:type="dxa"/>
          <w:bottom w:w="0" w:type="dxa"/>
          <w:right w:w="0" w:type="dxa"/>
        </w:tblCellMar>
      </w:tblPr>
      <w:tblGrid>
        <w:gridCol w:w="290"/>
        <w:gridCol w:w="289"/>
        <w:gridCol w:w="803"/>
        <w:gridCol w:w="1764"/>
        <w:gridCol w:w="785"/>
        <w:gridCol w:w="90"/>
        <w:gridCol w:w="945"/>
        <w:gridCol w:w="608"/>
        <w:gridCol w:w="245"/>
        <w:gridCol w:w="947"/>
        <w:gridCol w:w="171"/>
        <w:gridCol w:w="384"/>
        <w:gridCol w:w="491"/>
        <w:gridCol w:w="94"/>
        <w:gridCol w:w="1026"/>
        <w:gridCol w:w="1378"/>
      </w:tblGrid>
      <w:tr>
        <w:tblPrEx>
          <w:tblCellMar>
            <w:top w:w="0" w:type="dxa"/>
            <w:left w:w="0" w:type="dxa"/>
            <w:bottom w:w="0" w:type="dxa"/>
            <w:right w:w="0" w:type="dxa"/>
          </w:tblCellMar>
        </w:tblPrEx>
        <w:trPr>
          <w:gridAfter w:val="1"/>
          <w:wAfter w:w="1378" w:type="dxa"/>
          <w:trHeight w:val="798" w:hRule="atLeast"/>
        </w:trPr>
        <w:tc>
          <w:tcPr>
            <w:tcW w:w="8932"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549"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5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04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gridAfter w:val="1"/>
          <w:wAfter w:w="1378" w:type="dxa"/>
          <w:trHeight w:val="350" w:hRule="atLeast"/>
        </w:trPr>
        <w:tc>
          <w:tcPr>
            <w:tcW w:w="3146"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无极县东侯坊乡人民政府</w:t>
            </w:r>
          </w:p>
        </w:tc>
        <w:tc>
          <w:tcPr>
            <w:tcW w:w="1820"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995"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1378" w:type="dxa"/>
          <w:trHeight w:val="237" w:hRule="atLeast"/>
        </w:trPr>
        <w:tc>
          <w:tcPr>
            <w:tcW w:w="393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3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85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947"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55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58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26"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gridAfter w:val="1"/>
          <w:wAfter w:w="1378" w:type="dxa"/>
          <w:trHeight w:val="444"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5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35"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5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47"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55"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85"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26"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1378" w:type="dxa"/>
          <w:trHeight w:val="395" w:hRule="atLeast"/>
        </w:trPr>
        <w:tc>
          <w:tcPr>
            <w:tcW w:w="393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3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53"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4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55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585"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2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1"/>
          <w:wAfter w:w="1378" w:type="dxa"/>
          <w:trHeight w:val="90" w:hRule="atLeast"/>
        </w:trPr>
        <w:tc>
          <w:tcPr>
            <w:tcW w:w="3931" w:type="dxa"/>
            <w:gridSpan w:val="5"/>
            <w:tcBorders>
              <w:top w:val="nil"/>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3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1,339.32</w:t>
            </w:r>
          </w:p>
        </w:tc>
        <w:tc>
          <w:tcPr>
            <w:tcW w:w="85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596.16</w:t>
            </w:r>
          </w:p>
        </w:tc>
        <w:tc>
          <w:tcPr>
            <w:tcW w:w="94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743.16</w:t>
            </w:r>
          </w:p>
        </w:tc>
        <w:tc>
          <w:tcPr>
            <w:tcW w:w="55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58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2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gridAfter w:val="1"/>
          <w:wAfter w:w="137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w:t>
            </w:r>
          </w:p>
        </w:tc>
        <w:tc>
          <w:tcPr>
            <w:tcW w:w="2549" w:type="dxa"/>
            <w:gridSpan w:val="2"/>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一般公共服务支出</w:t>
            </w:r>
          </w:p>
        </w:tc>
        <w:tc>
          <w:tcPr>
            <w:tcW w:w="103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1,290.90</w:t>
            </w:r>
          </w:p>
        </w:tc>
        <w:tc>
          <w:tcPr>
            <w:tcW w:w="85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572.74</w:t>
            </w:r>
          </w:p>
        </w:tc>
        <w:tc>
          <w:tcPr>
            <w:tcW w:w="94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718.16</w:t>
            </w:r>
          </w:p>
        </w:tc>
        <w:tc>
          <w:tcPr>
            <w:tcW w:w="55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8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7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20103</w:t>
            </w:r>
          </w:p>
        </w:tc>
        <w:tc>
          <w:tcPr>
            <w:tcW w:w="2549" w:type="dxa"/>
            <w:gridSpan w:val="2"/>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政府办公厅（室）及相关机构事务</w:t>
            </w:r>
          </w:p>
        </w:tc>
        <w:tc>
          <w:tcPr>
            <w:tcW w:w="103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1,290.90</w:t>
            </w:r>
          </w:p>
        </w:tc>
        <w:tc>
          <w:tcPr>
            <w:tcW w:w="85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572.74</w:t>
            </w:r>
          </w:p>
        </w:tc>
        <w:tc>
          <w:tcPr>
            <w:tcW w:w="94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718.16</w:t>
            </w:r>
          </w:p>
        </w:tc>
        <w:tc>
          <w:tcPr>
            <w:tcW w:w="55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8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78" w:type="dxa"/>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2010301</w:t>
            </w:r>
          </w:p>
        </w:tc>
        <w:tc>
          <w:tcPr>
            <w:tcW w:w="2549" w:type="dxa"/>
            <w:gridSpan w:val="2"/>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行政运行</w:t>
            </w:r>
          </w:p>
        </w:tc>
        <w:tc>
          <w:tcPr>
            <w:tcW w:w="103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1,273.22</w:t>
            </w:r>
          </w:p>
        </w:tc>
        <w:tc>
          <w:tcPr>
            <w:tcW w:w="85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572.74</w:t>
            </w:r>
          </w:p>
        </w:tc>
        <w:tc>
          <w:tcPr>
            <w:tcW w:w="94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700.48</w:t>
            </w:r>
          </w:p>
        </w:tc>
        <w:tc>
          <w:tcPr>
            <w:tcW w:w="55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8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78" w:type="dxa"/>
          <w:trHeight w:val="1780"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2010399</w:t>
            </w:r>
          </w:p>
        </w:tc>
        <w:tc>
          <w:tcPr>
            <w:tcW w:w="2549" w:type="dxa"/>
            <w:gridSpan w:val="2"/>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其他政府办公厅（室）及相关机构事务支出</w:t>
            </w:r>
          </w:p>
        </w:tc>
        <w:tc>
          <w:tcPr>
            <w:tcW w:w="103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17.68</w:t>
            </w:r>
          </w:p>
        </w:tc>
        <w:tc>
          <w:tcPr>
            <w:tcW w:w="85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94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17.68</w:t>
            </w:r>
          </w:p>
        </w:tc>
        <w:tc>
          <w:tcPr>
            <w:tcW w:w="55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8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78" w:type="dxa"/>
          <w:trHeight w:val="468" w:hRule="atLeast"/>
        </w:trPr>
        <w:tc>
          <w:tcPr>
            <w:tcW w:w="1382"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w:t>
            </w:r>
          </w:p>
        </w:tc>
        <w:tc>
          <w:tcPr>
            <w:tcW w:w="2549" w:type="dxa"/>
            <w:gridSpan w:val="2"/>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社会保障和就业支出</w:t>
            </w:r>
          </w:p>
        </w:tc>
        <w:tc>
          <w:tcPr>
            <w:tcW w:w="103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48.42</w:t>
            </w:r>
          </w:p>
        </w:tc>
        <w:tc>
          <w:tcPr>
            <w:tcW w:w="85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23.42</w:t>
            </w:r>
          </w:p>
        </w:tc>
        <w:tc>
          <w:tcPr>
            <w:tcW w:w="94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c>
          <w:tcPr>
            <w:tcW w:w="55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8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78" w:type="dxa"/>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20805</w:t>
            </w:r>
          </w:p>
        </w:tc>
        <w:tc>
          <w:tcPr>
            <w:tcW w:w="254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行政事业单位离退休</w:t>
            </w:r>
          </w:p>
        </w:tc>
        <w:tc>
          <w:tcPr>
            <w:tcW w:w="103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23.42</w:t>
            </w:r>
          </w:p>
        </w:tc>
        <w:tc>
          <w:tcPr>
            <w:tcW w:w="85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23.42</w:t>
            </w:r>
          </w:p>
        </w:tc>
        <w:tc>
          <w:tcPr>
            <w:tcW w:w="94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55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8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78" w:type="dxa"/>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2080505</w:t>
            </w:r>
          </w:p>
        </w:tc>
        <w:tc>
          <w:tcPr>
            <w:tcW w:w="254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 xml:space="preserve">  机关事业单位基本养老保险缴费支出</w:t>
            </w:r>
          </w:p>
        </w:tc>
        <w:tc>
          <w:tcPr>
            <w:tcW w:w="103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2"/>
                <w:szCs w:val="22"/>
              </w:rPr>
            </w:pPr>
            <w:r>
              <w:rPr>
                <w:rFonts w:hint="eastAsia" w:ascii="宋体" w:hAnsi="宋体" w:cs="宋体"/>
                <w:color w:val="000000"/>
                <w:kern w:val="0"/>
                <w:sz w:val="22"/>
                <w:szCs w:val="22"/>
              </w:rPr>
              <w:t>23.42</w:t>
            </w:r>
          </w:p>
        </w:tc>
        <w:tc>
          <w:tcPr>
            <w:tcW w:w="85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2"/>
                <w:szCs w:val="22"/>
              </w:rPr>
            </w:pPr>
            <w:r>
              <w:rPr>
                <w:rFonts w:hint="eastAsia" w:ascii="宋体" w:hAnsi="宋体" w:cs="宋体"/>
                <w:color w:val="000000"/>
                <w:kern w:val="0"/>
                <w:sz w:val="22"/>
                <w:szCs w:val="22"/>
              </w:rPr>
              <w:t>23.42</w:t>
            </w:r>
          </w:p>
        </w:tc>
        <w:tc>
          <w:tcPr>
            <w:tcW w:w="94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55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8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78" w:type="dxa"/>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20899</w:t>
            </w:r>
          </w:p>
        </w:tc>
        <w:tc>
          <w:tcPr>
            <w:tcW w:w="254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其他社会保障和就业支出</w:t>
            </w:r>
          </w:p>
        </w:tc>
        <w:tc>
          <w:tcPr>
            <w:tcW w:w="103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w:t>
            </w:r>
          </w:p>
        </w:tc>
        <w:tc>
          <w:tcPr>
            <w:tcW w:w="85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szCs w:val="21"/>
              </w:rPr>
              <w:t>0</w:t>
            </w:r>
          </w:p>
        </w:tc>
        <w:tc>
          <w:tcPr>
            <w:tcW w:w="94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c>
          <w:tcPr>
            <w:tcW w:w="55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8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78" w:type="dxa"/>
          <w:trHeight w:val="98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2089901</w:t>
            </w:r>
          </w:p>
        </w:tc>
        <w:tc>
          <w:tcPr>
            <w:tcW w:w="254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其他社会保障和就业支出</w:t>
            </w:r>
          </w:p>
        </w:tc>
        <w:tc>
          <w:tcPr>
            <w:tcW w:w="103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c>
          <w:tcPr>
            <w:tcW w:w="85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94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c>
          <w:tcPr>
            <w:tcW w:w="55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8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Cs w:val="21"/>
        </w:rPr>
        <w:t>注：本表反映部门本年度各项支出情况。</w:t>
      </w: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部门：无极县东侯坊乡人民政府</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17"/>
              </w:tabs>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1339.79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82"/>
              </w:tabs>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1290.9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1290.9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48.42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1339.79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1339.32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1339.32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w:t>
            </w:r>
          </w:p>
        </w:tc>
      </w:tr>
      <w:tr>
        <w:tblPrEx>
          <w:tblCellMar>
            <w:top w:w="0" w:type="dxa"/>
            <w:left w:w="0" w:type="dxa"/>
            <w:bottom w:w="0" w:type="dxa"/>
            <w:right w:w="0" w:type="dxa"/>
          </w:tblCellMar>
        </w:tblPrEx>
        <w:trPr>
          <w:trHeight w:val="19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40.01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40.49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40.01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b/>
                <w:bCs/>
                <w:color w:val="000000"/>
                <w:sz w:val="18"/>
                <w:szCs w:val="18"/>
              </w:rPr>
              <w:t>1379.8</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1379.8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1379.8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35"/>
              </w:tabs>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0</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无极县东侯坊乡人民政府</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1,339.32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596.16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743.16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1,290.90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572.74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718.16</w:t>
            </w:r>
          </w:p>
        </w:tc>
      </w:tr>
      <w:tr>
        <w:tblPrEx>
          <w:tblCellMar>
            <w:top w:w="0" w:type="dxa"/>
            <w:left w:w="0" w:type="dxa"/>
            <w:bottom w:w="0" w:type="dxa"/>
            <w:right w:w="0" w:type="dxa"/>
          </w:tblCellMar>
        </w:tblPrEx>
        <w:trPr>
          <w:trHeight w:val="625"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1,290.90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572.74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718.16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1,273.22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572.74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700.48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其他政府办公厅（室）及相关机构事务支出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17.68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17.68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社会保险和就业支出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48.42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23.42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行政事业单位离通体</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23.42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23.42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23.42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23.42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25.00</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sz w:val="40"/>
                <w:szCs w:val="40"/>
              </w:rPr>
            </w:pPr>
            <w:r>
              <w:rPr>
                <w:rFonts w:hint="eastAsia" w:ascii="黑体" w:hAnsi="宋体" w:eastAsia="黑体" w:cs="黑体"/>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sz w:val="22"/>
                <w:szCs w:val="22"/>
              </w:rPr>
            </w:pPr>
            <w:r>
              <w:rPr>
                <w:rFonts w:hint="eastAsia" w:ascii="宋体" w:hAnsi="宋体" w:cs="宋体"/>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sz w:val="22"/>
                <w:szCs w:val="22"/>
              </w:rPr>
            </w:pPr>
            <w:r>
              <w:rPr>
                <w:rFonts w:hint="eastAsia" w:ascii="宋体" w:hAnsi="宋体" w:cs="宋体"/>
                <w:kern w:val="0"/>
                <w:sz w:val="22"/>
                <w:szCs w:val="22"/>
              </w:rPr>
              <w:t>部门：</w:t>
            </w:r>
            <w:r>
              <w:rPr>
                <w:rFonts w:hint="eastAsia" w:ascii="宋体" w:hAnsi="宋体" w:cs="宋体"/>
                <w:kern w:val="0"/>
                <w:sz w:val="20"/>
                <w:szCs w:val="20"/>
              </w:rPr>
              <w:t>无极县东侯坊乡人民政府</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sz w:val="22"/>
                <w:szCs w:val="22"/>
              </w:rPr>
            </w:pPr>
            <w:r>
              <w:rPr>
                <w:rFonts w:hint="eastAsia" w:ascii="宋体" w:hAnsi="宋体" w:cs="宋体"/>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373.87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166.84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169.58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50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29"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93.68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62.49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r>
              <w:rPr>
                <w:rFonts w:hint="eastAsia" w:ascii="宋体" w:hAnsi="宋体" w:cs="宋体"/>
                <w:sz w:val="20"/>
                <w:szCs w:val="20"/>
              </w:rPr>
              <w:t>26</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6.62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r>
              <w:rPr>
                <w:rFonts w:hint="eastAsia" w:ascii="宋体" w:hAnsi="宋体" w:cs="宋体"/>
                <w:sz w:val="20"/>
                <w:szCs w:val="20"/>
              </w:rPr>
              <w:t>23</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23.42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r>
              <w:rPr>
                <w:rFonts w:hint="eastAsia" w:ascii="宋体" w:hAnsi="宋体" w:cs="宋体"/>
                <w:sz w:val="20"/>
                <w:szCs w:val="20"/>
              </w:rPr>
              <w:t>3</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18.09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29.45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0.5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4.45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13.51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403.32</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192.84</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部门：无极县东侯坊乡人民政府</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2.93</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无极县东侯坊乡人民政府</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34.02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34.02</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34.02</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城乡社区支出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34.02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105.74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34.02</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国有土地使用权出让收入及对应专项债务收入安排的支出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r>
              <w:rPr>
                <w:rFonts w:hint="eastAsia" w:ascii="宋体" w:hAnsi="宋体" w:cs="宋体"/>
                <w:color w:val="000000"/>
                <w:szCs w:val="21"/>
              </w:rPr>
              <w:t>34.02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r>
              <w:rPr>
                <w:rFonts w:hint="eastAsia" w:ascii="宋体" w:hAnsi="宋体" w:cs="宋体"/>
                <w:color w:val="000000"/>
                <w:szCs w:val="21"/>
              </w:rPr>
              <w:t>34.02</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r>
              <w:rPr>
                <w:rFonts w:hint="eastAsia" w:ascii="宋体" w:hAnsi="宋体" w:cs="宋体"/>
                <w:color w:val="000000"/>
                <w:szCs w:val="21"/>
              </w:rPr>
              <w:t>34.02</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2120801</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  征地和拆迁补偿支出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34.02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34.02</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34.02</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无极县东侯坊乡人民政府</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注：本部门本年度无相关支出情况，按要求空表列示。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无极县东侯坊乡人民政府</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187.42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187.42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187.42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187.42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187.42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187.42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187.06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187.06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187.06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187.06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187.06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187.0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注：1.本表反映部门本年度纳入部门预算范围的政府采购预算及支出情况。     </w:t>
            </w:r>
          </w:p>
        </w:tc>
      </w:tr>
    </w:tbl>
    <w:p>
      <w:pPr>
        <w:widowControl/>
        <w:spacing w:after="0" w:line="560" w:lineRule="exact"/>
        <w:ind w:firstLine="440"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 w:val="22"/>
          <w:szCs w:val="22"/>
        </w:rPr>
        <w:t>2.本部门本年度无相关采购情况，按要求空表列示。</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438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4384;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NlmnozeAAAADQEAAA8AAAAAAAAAAQAgAAAAOAAAAGRycy9kb3ducmV2LnhtbFBLAQIUABQAAAAI&#10;AIdO4kDAN8yzQwIAAHUEAAAOAAAAAAAAAAEAIAAAAEMBAABkcnMvZTJvRG9jLnhtbFBLBQYAAAAA&#10;BgAGAFkBAAD4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本部门2018年度收支总计（含结转和结余）2759.6万元。与2017年度决算相比，收支各增加1198.66万元，上升177.79%，主要原因是项目支出增加。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本部门2018年度本年收入合计1379.8万元，其中：财政拨款收入1379.8万元，占100%；事业收入0万元，占0%；经营收入0万元，占0%；其他收入0万元，占0%。如图1所示：</w:t>
      </w:r>
    </w:p>
    <w:p>
      <w:pPr>
        <w:adjustRightInd w:val="0"/>
        <w:snapToGrid w:val="0"/>
        <w:spacing w:after="0" w:line="240" w:lineRule="auto"/>
        <w:ind w:firstLine="1260" w:firstLineChars="600"/>
      </w:pPr>
    </w:p>
    <w:p>
      <w:pPr>
        <w:adjustRightInd w:val="0"/>
        <w:snapToGrid w:val="0"/>
        <w:spacing w:after="0" w:line="240" w:lineRule="auto"/>
        <w:ind w:firstLine="1260" w:firstLineChars="600"/>
      </w:pPr>
    </w:p>
    <w:p>
      <w:pPr>
        <w:adjustRightInd w:val="0"/>
        <w:snapToGrid w:val="0"/>
        <w:spacing w:after="0" w:line="240" w:lineRule="auto"/>
        <w:ind w:firstLine="1260" w:firstLineChars="600"/>
      </w:pPr>
      <w:r>
        <w:rPr>
          <w:rFonts w:hint="eastAsia"/>
        </w:rPr>
        <w:drawing>
          <wp:inline distT="0" distB="0" distL="114300" distR="114300">
            <wp:extent cx="4133850" cy="2552700"/>
            <wp:effectExtent l="0" t="0" r="0" b="0"/>
            <wp:docPr id="24" name="图片 24" descr="15686894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1568689406(1)"/>
                    <pic:cNvPicPr>
                      <a:picLocks noChangeAspect="1"/>
                    </pic:cNvPicPr>
                  </pic:nvPicPr>
                  <pic:blipFill>
                    <a:blip r:embed="rId9"/>
                    <a:stretch>
                      <a:fillRect/>
                    </a:stretch>
                  </pic:blipFill>
                  <pic:spPr>
                    <a:xfrm>
                      <a:off x="0" y="0"/>
                      <a:ext cx="4133850" cy="2552700"/>
                    </a:xfrm>
                    <a:prstGeom prst="rect">
                      <a:avLst/>
                    </a:prstGeom>
                  </pic:spPr>
                </pic:pic>
              </a:graphicData>
            </a:graphic>
          </wp:inline>
        </w:drawing>
      </w:r>
    </w:p>
    <w:p>
      <w:pPr>
        <w:adjustRightInd w:val="0"/>
        <w:snapToGrid w:val="0"/>
        <w:spacing w:after="0" w:line="240" w:lineRule="auto"/>
        <w:ind w:firstLine="1260" w:firstLineChars="600"/>
      </w:pPr>
    </w:p>
    <w:p>
      <w:pPr>
        <w:adjustRightInd w:val="0"/>
        <w:snapToGrid w:val="0"/>
        <w:spacing w:after="0" w:line="240" w:lineRule="auto"/>
        <w:ind w:firstLine="1260" w:firstLineChars="600"/>
      </w:pPr>
    </w:p>
    <w:p>
      <w:pPr>
        <w:adjustRightInd w:val="0"/>
        <w:snapToGrid w:val="0"/>
        <w:spacing w:after="0" w:line="240" w:lineRule="auto"/>
        <w:ind w:firstLine="1920" w:firstLineChars="600"/>
        <w:rPr>
          <w:rFonts w:ascii="仿宋_GB2312" w:eastAsia="仿宋_GB2312" w:cs="DengXian-Regular"/>
          <w:sz w:val="32"/>
          <w:szCs w:val="32"/>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本部门2018年度本年支出合计1339.32万元，其中：基本支出596.16万元，占44.51%；项目支出743.16万元，占55.49%；经营支出0万元，占0%。如图2所示：</w:t>
      </w:r>
    </w:p>
    <w:p>
      <w:pPr>
        <w:adjustRightInd w:val="0"/>
        <w:snapToGrid w:val="0"/>
        <w:spacing w:after="0" w:line="240" w:lineRule="auto"/>
        <w:ind w:firstLine="1260" w:firstLineChars="600"/>
      </w:pPr>
    </w:p>
    <w:p>
      <w:pPr>
        <w:adjustRightInd w:val="0"/>
        <w:snapToGrid w:val="0"/>
        <w:spacing w:after="0" w:line="240" w:lineRule="auto"/>
        <w:ind w:firstLine="1260" w:firstLineChars="600"/>
      </w:pPr>
      <w:r>
        <w:drawing>
          <wp:inline distT="0" distB="0" distL="114300" distR="114300">
            <wp:extent cx="4352925" cy="2857500"/>
            <wp:effectExtent l="0" t="0" r="9525" b="0"/>
            <wp:docPr id="1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4"/>
                    <pic:cNvPicPr>
                      <a:picLocks noChangeAspect="1"/>
                    </pic:cNvPicPr>
                  </pic:nvPicPr>
                  <pic:blipFill>
                    <a:blip r:embed="rId10"/>
                    <a:stretch>
                      <a:fillRect/>
                    </a:stretch>
                  </pic:blipFill>
                  <pic:spPr>
                    <a:xfrm>
                      <a:off x="0" y="0"/>
                      <a:ext cx="4352925" cy="2857500"/>
                    </a:xfrm>
                    <a:prstGeom prst="rect">
                      <a:avLst/>
                    </a:prstGeom>
                    <a:noFill/>
                    <a:ln>
                      <a:noFill/>
                    </a:ln>
                  </pic:spPr>
                </pic:pic>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本部门2018年度财政拨款本年收入1339.79万元,比2017年度增加619.52元，增长86.01%，主要是本部门2018年度项目增加，财政拨款较上年度增加；本年支出1339.32万元，增加598.86万元，增长80.86%，主要是项目支出。</w:t>
      </w:r>
    </w:p>
    <w:p>
      <w:pPr>
        <w:adjustRightInd w:val="0"/>
        <w:snapToGrid w:val="0"/>
        <w:spacing w:after="0" w:line="580" w:lineRule="exact"/>
        <w:ind w:firstLine="640" w:firstLineChars="200"/>
        <w:rPr>
          <w:rFonts w:ascii="仿宋_GB2312" w:eastAsia="仿宋_GB2312" w:cs="DengXian-Regular"/>
          <w:color w:val="000000" w:themeColor="text1"/>
          <w:sz w:val="32"/>
          <w:szCs w:val="32"/>
          <w14:textFill>
            <w14:solidFill>
              <w14:schemeClr w14:val="tx1"/>
            </w14:solidFill>
          </w14:textFill>
        </w:rPr>
      </w:pPr>
      <w:r>
        <w:rPr>
          <w:rFonts w:hint="eastAsia" w:ascii="仿宋_GB2312" w:eastAsia="仿宋_GB2312" w:cs="DengXian-Regular"/>
          <w:color w:val="000000" w:themeColor="text1"/>
          <w:sz w:val="32"/>
          <w:szCs w:val="32"/>
          <w14:textFill>
            <w14:solidFill>
              <w14:schemeClr w14:val="tx1"/>
            </w14:solidFill>
          </w14:textFill>
        </w:rPr>
        <w:t>其中：一般公共预算财政拨款本年收入1339.79万元，比上年增加641.93万元，增长91.99%；主要是本部门2018年度项目增加，财政拨款较上年度增加；本年支出1339.32万元，比上年增加621.27万元，增长86.52%，主要</w:t>
      </w:r>
      <w:r>
        <w:rPr>
          <w:rFonts w:hint="eastAsia" w:ascii="仿宋_GB2312" w:eastAsia="仿宋_GB2312" w:cs="DengXian-Regular"/>
          <w:color w:val="000000" w:themeColor="text1"/>
          <w:sz w:val="32"/>
          <w:szCs w:val="32"/>
          <w:lang w:eastAsia="zh-CN"/>
          <w14:textFill>
            <w14:solidFill>
              <w14:schemeClr w14:val="tx1"/>
            </w14:solidFill>
          </w14:textFill>
        </w:rPr>
        <w:t>是</w:t>
      </w:r>
      <w:r>
        <w:rPr>
          <w:rFonts w:hint="eastAsia" w:ascii="仿宋_GB2312" w:eastAsia="仿宋_GB2312" w:cs="DengXian-Regular"/>
          <w:color w:val="000000" w:themeColor="text1"/>
          <w:sz w:val="32"/>
          <w:szCs w:val="32"/>
          <w14:textFill>
            <w14:solidFill>
              <w14:schemeClr w14:val="tx1"/>
            </w14:solidFill>
          </w14:textFill>
        </w:rPr>
        <w:t>本部门2018年度项目增加，增加了支出。政府性基金预算财政拨款本年收入0万元，比上年减少22.41万元，减少100%，主要原因是无政府性基金项目</w:t>
      </w:r>
    </w:p>
    <w:p>
      <w:pPr>
        <w:adjustRightInd w:val="0"/>
        <w:snapToGrid w:val="0"/>
        <w:spacing w:after="0" w:line="580" w:lineRule="exact"/>
        <w:ind w:firstLine="420" w:firstLineChars="200"/>
        <w:rPr>
          <w:rFonts w:ascii="楷体_GB2312" w:eastAsia="楷体_GB2312" w:cs="DengXian-Bold"/>
          <w:b/>
          <w:bCs/>
          <w:sz w:val="32"/>
          <w:szCs w:val="32"/>
        </w:rPr>
      </w:pPr>
      <w:r>
        <w:drawing>
          <wp:inline distT="0" distB="0" distL="114300" distR="114300">
            <wp:extent cx="4667250" cy="8526780"/>
            <wp:effectExtent l="0" t="0" r="0" b="7620"/>
            <wp:docPr id="1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6"/>
                    <pic:cNvPicPr>
                      <a:picLocks noChangeAspect="1"/>
                    </pic:cNvPicPr>
                  </pic:nvPicPr>
                  <pic:blipFill>
                    <a:blip r:embed="rId11"/>
                    <a:stretch>
                      <a:fillRect/>
                    </a:stretch>
                  </pic:blipFill>
                  <pic:spPr>
                    <a:xfrm>
                      <a:off x="0" y="0"/>
                      <a:ext cx="4667250" cy="8526780"/>
                    </a:xfrm>
                    <a:prstGeom prst="rect">
                      <a:avLst/>
                    </a:prstGeom>
                    <a:noFill/>
                    <a:ln>
                      <a:noFill/>
                    </a:ln>
                  </pic:spPr>
                </pic:pic>
              </a:graphicData>
            </a:graphic>
          </wp:inline>
        </w:drawing>
      </w:r>
    </w:p>
    <w:p>
      <w:pPr>
        <w:spacing w:after="0" w:line="1680" w:lineRule="auto"/>
        <w:ind w:firstLine="420" w:firstLineChars="200"/>
        <w:rPr>
          <w:rFonts w:ascii="楷体_GB2312" w:eastAsia="楷体_GB2312" w:cs="DengXian-Bold"/>
          <w:b/>
          <w:bCs/>
          <w:sz w:val="32"/>
          <w:szCs w:val="32"/>
        </w:rPr>
      </w:pPr>
      <w:r>
        <w:drawing>
          <wp:inline distT="0" distB="0" distL="114300" distR="114300">
            <wp:extent cx="4667250" cy="2057400"/>
            <wp:effectExtent l="0" t="0" r="0" b="0"/>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11"/>
                    <a:stretch>
                      <a:fillRect/>
                    </a:stretch>
                  </pic:blipFill>
                  <pic:spPr>
                    <a:xfrm>
                      <a:off x="0" y="0"/>
                      <a:ext cx="4667250" cy="2057400"/>
                    </a:xfrm>
                    <a:prstGeom prst="rect">
                      <a:avLst/>
                    </a:prstGeom>
                    <a:noFill/>
                    <a:ln>
                      <a:noFill/>
                    </a:ln>
                  </pic:spPr>
                </pic:pic>
              </a:graphicData>
            </a:graphic>
          </wp:inline>
        </w:drawing>
      </w:r>
    </w:p>
    <w:p>
      <w:pPr>
        <w:spacing w:after="0" w:line="580" w:lineRule="exact"/>
        <w:ind w:firstLine="420" w:firstLineChars="200"/>
        <w:rPr>
          <w:rFonts w:ascii="楷体_GB2312" w:eastAsia="楷体_GB2312" w:cs="DengXian-Bold"/>
          <w:b/>
          <w:bCs/>
          <w:sz w:val="32"/>
          <w:szCs w:val="32"/>
        </w:rPr>
      </w:pPr>
      <w:r>
        <w:drawing>
          <wp:inline distT="0" distB="0" distL="114300" distR="114300">
            <wp:extent cx="4667250" cy="4371340"/>
            <wp:effectExtent l="0" t="0" r="0" b="10160"/>
            <wp:docPr id="4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21"/>
                    <pic:cNvPicPr>
                      <a:picLocks noChangeAspect="1"/>
                    </pic:cNvPicPr>
                  </pic:nvPicPr>
                  <pic:blipFill>
                    <a:blip r:embed="rId12"/>
                    <a:stretch>
                      <a:fillRect/>
                    </a:stretch>
                  </pic:blipFill>
                  <pic:spPr>
                    <a:xfrm>
                      <a:off x="0" y="0"/>
                      <a:ext cx="4667250" cy="4371340"/>
                    </a:xfrm>
                    <a:prstGeom prst="rect">
                      <a:avLst/>
                    </a:prstGeom>
                    <a:noFill/>
                    <a:ln>
                      <a:noFill/>
                    </a:ln>
                  </pic:spPr>
                </pic:pic>
              </a:graphicData>
            </a:graphic>
          </wp:inline>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1339.79万元，完成年初预算的223.35%,比年初预算增加839.94元，决算数大于预算数主要原因是人员经费和日常公用经费及项目支出预估过少；本年支出1339.32万元，完成年初预算的267.92%,比年初预算增加839.47万元，决算数大于预算数主要原因是主要是人员经费和日常公用经费及项目支出预估过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其中，一般公共预算财政拨款本年收入1339.79万元，完成年初预算233.35%，比年初预算增加1839.94万元，主要</w:t>
      </w:r>
      <w:r>
        <w:rPr>
          <w:rFonts w:hint="eastAsia" w:ascii="仿宋_GB2312" w:eastAsia="仿宋_GB2312" w:cs="DengXian-Regular"/>
          <w:sz w:val="32"/>
          <w:szCs w:val="32"/>
          <w:lang w:eastAsia="zh-CN"/>
        </w:rPr>
        <w:t>是</w:t>
      </w:r>
      <w:r>
        <w:rPr>
          <w:rFonts w:hint="eastAsia" w:ascii="仿宋_GB2312" w:eastAsia="仿宋_GB2312" w:cs="DengXian-Regular"/>
          <w:sz w:val="32"/>
          <w:szCs w:val="32"/>
        </w:rPr>
        <w:t>人员经费和日常公用经费及项目支出预估过少；支出1339.32万元，完成年初预算267.92%，比年初预算增加839.47万元，主要</w:t>
      </w:r>
      <w:r>
        <w:rPr>
          <w:rFonts w:hint="eastAsia" w:ascii="仿宋_GB2312" w:eastAsia="仿宋_GB2312" w:cs="DengXian-Regular"/>
          <w:sz w:val="32"/>
          <w:szCs w:val="32"/>
          <w:lang w:eastAsia="zh-CN"/>
        </w:rPr>
        <w:t>是</w:t>
      </w:r>
      <w:r>
        <w:rPr>
          <w:rFonts w:hint="eastAsia" w:ascii="仿宋_GB2312" w:eastAsia="仿宋_GB2312" w:cs="DengXian-Regular"/>
          <w:sz w:val="32"/>
          <w:szCs w:val="32"/>
        </w:rPr>
        <w:t>人员经费和日常公用经费及项目支出预估过少。政府性基金预算财政拨款本年收入0万元，无年初预算。</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240" w:lineRule="auto"/>
        <w:ind w:firstLine="420" w:firstLineChars="200"/>
        <w:rPr>
          <w:rFonts w:ascii="仿宋_GB2312" w:eastAsia="仿宋_GB2312" w:cs="DengXian-Regular"/>
          <w:sz w:val="32"/>
          <w:szCs w:val="32"/>
        </w:rPr>
      </w:pPr>
      <w:r>
        <w:drawing>
          <wp:inline distT="0" distB="0" distL="114300" distR="114300">
            <wp:extent cx="4667250" cy="3590925"/>
            <wp:effectExtent l="0" t="0" r="0" b="9525"/>
            <wp:docPr id="4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22"/>
                    <pic:cNvPicPr>
                      <a:picLocks noChangeAspect="1"/>
                    </pic:cNvPicPr>
                  </pic:nvPicPr>
                  <pic:blipFill>
                    <a:blip r:embed="rId13"/>
                    <a:stretch>
                      <a:fillRect/>
                    </a:stretch>
                  </pic:blipFill>
                  <pic:spPr>
                    <a:xfrm>
                      <a:off x="0" y="0"/>
                      <a:ext cx="4667250" cy="3590925"/>
                    </a:xfrm>
                    <a:prstGeom prst="rect">
                      <a:avLst/>
                    </a:prstGeom>
                    <a:noFill/>
                    <a:ln>
                      <a:noFill/>
                    </a:ln>
                  </pic:spPr>
                </pic:pic>
              </a:graphicData>
            </a:graphic>
          </wp:inline>
        </w:drawing>
      </w: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年度财政拨款支出1339.32万元，主要用于以下方面：一般公共服务（类）支出1290.9万元，占96.38%；社会保障和就业支出48.42万元，占3.62%。</w:t>
      </w: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240" w:lineRule="auto"/>
        <w:rPr>
          <w:rFonts w:ascii="楷体_GB2312" w:eastAsia="楷体_GB2312" w:cs="DengXian-Bold"/>
          <w:b/>
          <w:bCs/>
          <w:sz w:val="32"/>
          <w:szCs w:val="32"/>
        </w:rPr>
      </w:pPr>
      <w:r>
        <w:drawing>
          <wp:inline distT="0" distB="0" distL="114300" distR="114300">
            <wp:extent cx="4667250" cy="3333750"/>
            <wp:effectExtent l="0" t="0" r="0" b="0"/>
            <wp:docPr id="4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23"/>
                    <pic:cNvPicPr>
                      <a:picLocks noChangeAspect="1"/>
                    </pic:cNvPicPr>
                  </pic:nvPicPr>
                  <pic:blipFill>
                    <a:blip r:embed="rId14"/>
                    <a:stretch>
                      <a:fillRect/>
                    </a:stretch>
                  </pic:blipFill>
                  <pic:spPr>
                    <a:xfrm>
                      <a:off x="0" y="0"/>
                      <a:ext cx="4667250" cy="3333750"/>
                    </a:xfrm>
                    <a:prstGeom prst="rect">
                      <a:avLst/>
                    </a:prstGeom>
                    <a:noFill/>
                    <a:ln>
                      <a:noFill/>
                    </a:ln>
                  </pic:spPr>
                </pic:pic>
              </a:graphicData>
            </a:graphic>
          </wp:inline>
        </w:drawing>
      </w: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596.16元，其中：人员经费373.87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192.84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“三公”经费支出共计2.93万元，较年初预算减少1.57万元，减少34.89%，主要是认真贯彻落实中央</w:t>
      </w:r>
      <w:bookmarkStart w:id="0" w:name="_GoBack"/>
      <w:bookmarkEnd w:id="0"/>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本部门2018年度因公出国（境）团组0个、共0人；参加其他单位组织的因公出国（境）团组0个、共0人；无本单位组织的出国（境）团组。因公出国（境）费支出较年初预算持平无增减变化，。</w:t>
      </w:r>
    </w:p>
    <w:p>
      <w:pPr>
        <w:ind w:firstLine="64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（二）公务用车购置及运行维护费支出2.93万元。</w:t>
      </w:r>
      <w:r>
        <w:rPr>
          <w:rFonts w:hint="eastAsia" w:ascii="仿宋_GB2312" w:eastAsia="仿宋_GB2312" w:cs="DengXian-Regular"/>
          <w:sz w:val="32"/>
          <w:szCs w:val="32"/>
        </w:rPr>
        <w:t>本部门2018年度公务用车购置及运行维护费较年初预算减少1.57万元，减少34.89%,主要是认真贯彻落实中央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本部门2018年度单位公务用车保有量1辆。公车运行维护费支出较年初预算减少34.89%,主要是认真贯彻落实中央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本部门2018年度公务接待共0批次、0人次。公务接待费支出较年初预算持平无增减变化,本部门2018年度未发生公务接待经费支出，。</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1号），本单位认真开展了预算绩效管理改革开展情况自查，对部门全面规范绩效预算编制、严格预算执行管理、推进绩效评价工作、推进预决算信息公开等方面进行了自评，考核结果为良好。</w:t>
      </w:r>
    </w:p>
    <w:p>
      <w:pPr>
        <w:numPr>
          <w:ilvl w:val="0"/>
          <w:numId w:val="2"/>
        </w:num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东丰村占地补、东侯坊乡合同工工资、正无路两侧绿化带日常维护，县大外环公路建设前期征迁占地补4个项目，涉及资金200.2482万元。评价结果为优秀的项目有0个，良好的项目有4个，一般的项目有0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项目绩效自评：根据年初设定的绩效目标，东侯坊乡合同工工资项目绩效自评结果为良好。项目全年预算数为33万元，执行数为33万元，完成预算的100%。主要产出和效果合同工工资已全部发放到位，人员满意。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本部门2018年度机关运行经费支出192.84万元，比年初预算数增加144.8万元，增长301.42%。主要原因是本部门2018年度机关运行经费支出预估过少，工作业务量增加，支出增加。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本部门2018年度政府采购支出总额187.06万元，从采购类型来看，政府采购货物支出0万元、政府采购工程支出187.06万元、政府采购服务支出 0万元。授予中小企业合同金0万元，占政府采购支出总额的0%，其中授予小微企业合同金额0万元，占政府采购支出总额的 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比上年增加0辆，主要是厉行节约。其中，副部（省）级及以上领导用车0辆，主要领导干部用车0辆，机要通信用车0辆，应急保障用车1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万元以上通用设备0台（套），比上年无增减变化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1、本部门2018年度国有资本经营预算财政拨款收入支出无收支及结转结余情况。故国有资本经营预算财政拨款收入支出决算表以空表列示。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643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6432;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BFRhO1E&#10;AgAAdw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JHX5GmYR8mQhpKj1LoV/0e58pUW8B0ZpgUb/lV&#10;i1KumQ+3zGE0UD6WJ9zgqKVBSrOXKGmM+/YvffRHx2ClpMOoldR/XTMnKJEfNHr5dnQaWQnpcjqe&#10;FLi4x5bVY4teqwuDaR5hTS1PYvQP8iDWzqgv2LFFzAoT0xy5SxoO4kUYFgA7ysVikZwwjZaFa720&#10;PIYeyF2sg6nbxHukaeAGTYgXzGNqx3534sA/vievh//F/A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DZZp6M3gAAAA0BAAAPAAAAAAAAAAEAIAAAADgAAABkcnMvZG93bnJldi54bWxQSwECFAAUAAAA&#10;CACHTuJAEVGE7UQCAAB3BAAADgAAAAAAAAABACAAAABDAQAAZHJzL2Uyb0RvYy54bWxQSwUGAAAA&#10;AAYABgBZAQAA+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86"/>
    <w:family w:val="auto"/>
    <w:pitch w:val="default"/>
    <w:sig w:usb0="00000000" w:usb1="00000000" w:usb2="00000000" w:usb3="00000000" w:csb0="0000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MS-UIGothic,Bold">
    <w:altName w:val="方正黑体_GBK"/>
    <w:panose1 w:val="00000000000000000000"/>
    <w:charset w:val="81"/>
    <w:family w:val="auto"/>
    <w:pitch w:val="default"/>
    <w:sig w:usb0="00000000" w:usb1="00000000" w:usb2="00000010" w:usb3="00000000" w:csb0="00080000" w:csb1="00000000"/>
  </w:font>
  <w:font w:name="黑体">
    <w:altName w:val="方正黑体_GBK"/>
    <w:panose1 w:val="00000000000000000000"/>
    <w:charset w:val="00"/>
    <w:family w:val="auto"/>
    <w:pitch w:val="default"/>
    <w:sig w:usb0="00000000" w:usb1="00000000" w:usb2="00000000" w:usb3="00000000" w:csb0="00000000"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spacing w:line="72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29F771"/>
    <w:multiLevelType w:val="singleLevel"/>
    <w:tmpl w:val="3629F771"/>
    <w:lvl w:ilvl="0" w:tentative="0">
      <w:start w:val="2"/>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24E7F"/>
    <w:rsid w:val="000475A0"/>
    <w:rsid w:val="000838C3"/>
    <w:rsid w:val="000B2446"/>
    <w:rsid w:val="000D7C65"/>
    <w:rsid w:val="000E2F81"/>
    <w:rsid w:val="00117946"/>
    <w:rsid w:val="00117E2C"/>
    <w:rsid w:val="00146C47"/>
    <w:rsid w:val="00152FB8"/>
    <w:rsid w:val="00172A27"/>
    <w:rsid w:val="00176658"/>
    <w:rsid w:val="0018239E"/>
    <w:rsid w:val="001B3410"/>
    <w:rsid w:val="001C030D"/>
    <w:rsid w:val="001C4A84"/>
    <w:rsid w:val="001E5902"/>
    <w:rsid w:val="00221B5E"/>
    <w:rsid w:val="002247CE"/>
    <w:rsid w:val="00224E91"/>
    <w:rsid w:val="00233705"/>
    <w:rsid w:val="00275CA2"/>
    <w:rsid w:val="002A65A5"/>
    <w:rsid w:val="002C04C4"/>
    <w:rsid w:val="002D08B0"/>
    <w:rsid w:val="002D1AE3"/>
    <w:rsid w:val="002F2ECE"/>
    <w:rsid w:val="00341C8F"/>
    <w:rsid w:val="0035463A"/>
    <w:rsid w:val="0035529C"/>
    <w:rsid w:val="00391D9D"/>
    <w:rsid w:val="00391E1D"/>
    <w:rsid w:val="003B6C51"/>
    <w:rsid w:val="003C1413"/>
    <w:rsid w:val="003C549F"/>
    <w:rsid w:val="003D5A16"/>
    <w:rsid w:val="003E7DB3"/>
    <w:rsid w:val="003F7EC9"/>
    <w:rsid w:val="00431175"/>
    <w:rsid w:val="004B49E3"/>
    <w:rsid w:val="004B6E37"/>
    <w:rsid w:val="004C32BA"/>
    <w:rsid w:val="00502871"/>
    <w:rsid w:val="00507432"/>
    <w:rsid w:val="00575922"/>
    <w:rsid w:val="00575A0F"/>
    <w:rsid w:val="005A6C90"/>
    <w:rsid w:val="005E3FB0"/>
    <w:rsid w:val="005F4B66"/>
    <w:rsid w:val="005F5208"/>
    <w:rsid w:val="00617AB8"/>
    <w:rsid w:val="00641318"/>
    <w:rsid w:val="0064405D"/>
    <w:rsid w:val="00685302"/>
    <w:rsid w:val="00695557"/>
    <w:rsid w:val="006D4EA7"/>
    <w:rsid w:val="0070012A"/>
    <w:rsid w:val="0070664B"/>
    <w:rsid w:val="007071B8"/>
    <w:rsid w:val="007414DE"/>
    <w:rsid w:val="0074209C"/>
    <w:rsid w:val="007905A9"/>
    <w:rsid w:val="007E5500"/>
    <w:rsid w:val="007F055B"/>
    <w:rsid w:val="0080644C"/>
    <w:rsid w:val="00811C2F"/>
    <w:rsid w:val="00833D46"/>
    <w:rsid w:val="00840A97"/>
    <w:rsid w:val="008C0149"/>
    <w:rsid w:val="008C689C"/>
    <w:rsid w:val="008D5DED"/>
    <w:rsid w:val="008E25CA"/>
    <w:rsid w:val="008F34FC"/>
    <w:rsid w:val="00935058"/>
    <w:rsid w:val="00944CD7"/>
    <w:rsid w:val="009831B2"/>
    <w:rsid w:val="0099132D"/>
    <w:rsid w:val="009A1ABE"/>
    <w:rsid w:val="009B0828"/>
    <w:rsid w:val="009E21A4"/>
    <w:rsid w:val="009E7261"/>
    <w:rsid w:val="009F22C6"/>
    <w:rsid w:val="00A07E50"/>
    <w:rsid w:val="00A15397"/>
    <w:rsid w:val="00A35CE0"/>
    <w:rsid w:val="00A4462E"/>
    <w:rsid w:val="00A44AA4"/>
    <w:rsid w:val="00A44C89"/>
    <w:rsid w:val="00A61623"/>
    <w:rsid w:val="00A84687"/>
    <w:rsid w:val="00AB0A0E"/>
    <w:rsid w:val="00AD3B6E"/>
    <w:rsid w:val="00B1751F"/>
    <w:rsid w:val="00B56722"/>
    <w:rsid w:val="00B74D39"/>
    <w:rsid w:val="00B91DA4"/>
    <w:rsid w:val="00C12630"/>
    <w:rsid w:val="00C34562"/>
    <w:rsid w:val="00C3774E"/>
    <w:rsid w:val="00C57456"/>
    <w:rsid w:val="00C65387"/>
    <w:rsid w:val="00C82719"/>
    <w:rsid w:val="00C87FAB"/>
    <w:rsid w:val="00C91FF7"/>
    <w:rsid w:val="00C94E53"/>
    <w:rsid w:val="00D0048E"/>
    <w:rsid w:val="00D23E7A"/>
    <w:rsid w:val="00D61063"/>
    <w:rsid w:val="00DB35AF"/>
    <w:rsid w:val="00DD72D7"/>
    <w:rsid w:val="00DE4EFA"/>
    <w:rsid w:val="00DF5B88"/>
    <w:rsid w:val="00E0589E"/>
    <w:rsid w:val="00E241FA"/>
    <w:rsid w:val="00E2595E"/>
    <w:rsid w:val="00E35374"/>
    <w:rsid w:val="00E50C19"/>
    <w:rsid w:val="00E64655"/>
    <w:rsid w:val="00E73081"/>
    <w:rsid w:val="00E856C9"/>
    <w:rsid w:val="00E8744D"/>
    <w:rsid w:val="00EB6A8B"/>
    <w:rsid w:val="00EF38C6"/>
    <w:rsid w:val="00F679C7"/>
    <w:rsid w:val="00F7711A"/>
    <w:rsid w:val="00FA0D58"/>
    <w:rsid w:val="00FA56F4"/>
    <w:rsid w:val="00FB4EDA"/>
    <w:rsid w:val="00FD3BD5"/>
    <w:rsid w:val="00FE3DC8"/>
    <w:rsid w:val="010A31A2"/>
    <w:rsid w:val="023F5B94"/>
    <w:rsid w:val="02AE44BE"/>
    <w:rsid w:val="02CE0EFD"/>
    <w:rsid w:val="02F603A4"/>
    <w:rsid w:val="04073F84"/>
    <w:rsid w:val="05724B25"/>
    <w:rsid w:val="05CE7184"/>
    <w:rsid w:val="078A187C"/>
    <w:rsid w:val="07E60591"/>
    <w:rsid w:val="09DE78D7"/>
    <w:rsid w:val="0A5163B9"/>
    <w:rsid w:val="0A894B95"/>
    <w:rsid w:val="0B60750A"/>
    <w:rsid w:val="0C6A2D3F"/>
    <w:rsid w:val="0DEA0537"/>
    <w:rsid w:val="0E923BBA"/>
    <w:rsid w:val="0F760045"/>
    <w:rsid w:val="0FB64893"/>
    <w:rsid w:val="10686488"/>
    <w:rsid w:val="106C7F45"/>
    <w:rsid w:val="10DF728A"/>
    <w:rsid w:val="112C0488"/>
    <w:rsid w:val="11CC613B"/>
    <w:rsid w:val="1264200E"/>
    <w:rsid w:val="13030BC5"/>
    <w:rsid w:val="13536E31"/>
    <w:rsid w:val="13B01001"/>
    <w:rsid w:val="13EC6E48"/>
    <w:rsid w:val="13F464CE"/>
    <w:rsid w:val="141C5B77"/>
    <w:rsid w:val="143B60A7"/>
    <w:rsid w:val="148D24B1"/>
    <w:rsid w:val="15227247"/>
    <w:rsid w:val="15296E9F"/>
    <w:rsid w:val="15B530F0"/>
    <w:rsid w:val="16461F11"/>
    <w:rsid w:val="16DA1C06"/>
    <w:rsid w:val="16E117DD"/>
    <w:rsid w:val="18A6606D"/>
    <w:rsid w:val="18B71E24"/>
    <w:rsid w:val="18D8339D"/>
    <w:rsid w:val="19092605"/>
    <w:rsid w:val="197D440A"/>
    <w:rsid w:val="19F825BA"/>
    <w:rsid w:val="1A014690"/>
    <w:rsid w:val="1A21388F"/>
    <w:rsid w:val="1A2E7FAA"/>
    <w:rsid w:val="1A557873"/>
    <w:rsid w:val="1A570D2F"/>
    <w:rsid w:val="1A6A55A2"/>
    <w:rsid w:val="1B9D04E2"/>
    <w:rsid w:val="1D64509D"/>
    <w:rsid w:val="20D9436F"/>
    <w:rsid w:val="20F86577"/>
    <w:rsid w:val="21A6023E"/>
    <w:rsid w:val="21CE64B8"/>
    <w:rsid w:val="23333B89"/>
    <w:rsid w:val="24FF6CA0"/>
    <w:rsid w:val="2691528F"/>
    <w:rsid w:val="27150970"/>
    <w:rsid w:val="27163BFB"/>
    <w:rsid w:val="278C2943"/>
    <w:rsid w:val="27AA042A"/>
    <w:rsid w:val="28380962"/>
    <w:rsid w:val="2852244E"/>
    <w:rsid w:val="28F9395C"/>
    <w:rsid w:val="28FB0B8D"/>
    <w:rsid w:val="29180557"/>
    <w:rsid w:val="29356AA4"/>
    <w:rsid w:val="2A9870FC"/>
    <w:rsid w:val="2AF17E72"/>
    <w:rsid w:val="2B161D15"/>
    <w:rsid w:val="2B986A28"/>
    <w:rsid w:val="2C114C99"/>
    <w:rsid w:val="2D0A7E00"/>
    <w:rsid w:val="2D1A3BAB"/>
    <w:rsid w:val="2D2B7942"/>
    <w:rsid w:val="2D2F1369"/>
    <w:rsid w:val="2D46481D"/>
    <w:rsid w:val="2E733B28"/>
    <w:rsid w:val="2E7C1F33"/>
    <w:rsid w:val="2FB963FD"/>
    <w:rsid w:val="30DF380E"/>
    <w:rsid w:val="31852B5A"/>
    <w:rsid w:val="31C61C5F"/>
    <w:rsid w:val="32241FE2"/>
    <w:rsid w:val="328175B2"/>
    <w:rsid w:val="32D01238"/>
    <w:rsid w:val="331C22DB"/>
    <w:rsid w:val="335B2C84"/>
    <w:rsid w:val="33701024"/>
    <w:rsid w:val="339A3B60"/>
    <w:rsid w:val="33D514D5"/>
    <w:rsid w:val="345D7136"/>
    <w:rsid w:val="36D37F59"/>
    <w:rsid w:val="37733734"/>
    <w:rsid w:val="37B8213F"/>
    <w:rsid w:val="37E2269A"/>
    <w:rsid w:val="39AE2F65"/>
    <w:rsid w:val="3B660B86"/>
    <w:rsid w:val="3CA647FA"/>
    <w:rsid w:val="3D1E7E00"/>
    <w:rsid w:val="3D562BD3"/>
    <w:rsid w:val="3DA94AB6"/>
    <w:rsid w:val="3DFC59A8"/>
    <w:rsid w:val="3DFE1FEA"/>
    <w:rsid w:val="3E410C49"/>
    <w:rsid w:val="3E682AEC"/>
    <w:rsid w:val="3ECF245E"/>
    <w:rsid w:val="3EEF26F8"/>
    <w:rsid w:val="3FB96314"/>
    <w:rsid w:val="40091F1E"/>
    <w:rsid w:val="404023CC"/>
    <w:rsid w:val="418A0386"/>
    <w:rsid w:val="41982CC9"/>
    <w:rsid w:val="43233342"/>
    <w:rsid w:val="45005CCA"/>
    <w:rsid w:val="451E7643"/>
    <w:rsid w:val="453F2187"/>
    <w:rsid w:val="45812EA7"/>
    <w:rsid w:val="458C24DF"/>
    <w:rsid w:val="45D92D1F"/>
    <w:rsid w:val="470C636D"/>
    <w:rsid w:val="471B1825"/>
    <w:rsid w:val="47956648"/>
    <w:rsid w:val="480D321F"/>
    <w:rsid w:val="485B5164"/>
    <w:rsid w:val="49000DAE"/>
    <w:rsid w:val="49832415"/>
    <w:rsid w:val="4B473901"/>
    <w:rsid w:val="4BF7591D"/>
    <w:rsid w:val="4DF27F82"/>
    <w:rsid w:val="4F72510F"/>
    <w:rsid w:val="50F714E7"/>
    <w:rsid w:val="51603B70"/>
    <w:rsid w:val="5177004D"/>
    <w:rsid w:val="518E4327"/>
    <w:rsid w:val="51BD4789"/>
    <w:rsid w:val="53081528"/>
    <w:rsid w:val="5356294B"/>
    <w:rsid w:val="53A102A2"/>
    <w:rsid w:val="53A44FAF"/>
    <w:rsid w:val="545B34B3"/>
    <w:rsid w:val="54D839BF"/>
    <w:rsid w:val="54E63BD0"/>
    <w:rsid w:val="55DD4BFF"/>
    <w:rsid w:val="5664554B"/>
    <w:rsid w:val="56BC3708"/>
    <w:rsid w:val="56CB060D"/>
    <w:rsid w:val="58B538D2"/>
    <w:rsid w:val="594329EC"/>
    <w:rsid w:val="5A0D721F"/>
    <w:rsid w:val="5AB61C53"/>
    <w:rsid w:val="5BCB607D"/>
    <w:rsid w:val="5BD131E2"/>
    <w:rsid w:val="5BEE1540"/>
    <w:rsid w:val="5C951B80"/>
    <w:rsid w:val="5CE16D12"/>
    <w:rsid w:val="5D752857"/>
    <w:rsid w:val="5DE61A5D"/>
    <w:rsid w:val="5DFA3824"/>
    <w:rsid w:val="5E0E0498"/>
    <w:rsid w:val="5E194F23"/>
    <w:rsid w:val="5E933369"/>
    <w:rsid w:val="5F883B46"/>
    <w:rsid w:val="5FBF4082"/>
    <w:rsid w:val="608010BF"/>
    <w:rsid w:val="60DB5167"/>
    <w:rsid w:val="60F01D22"/>
    <w:rsid w:val="60F031CE"/>
    <w:rsid w:val="610B2B89"/>
    <w:rsid w:val="611C492C"/>
    <w:rsid w:val="61A759BD"/>
    <w:rsid w:val="61D00409"/>
    <w:rsid w:val="62140D23"/>
    <w:rsid w:val="62AB34A4"/>
    <w:rsid w:val="631636D9"/>
    <w:rsid w:val="6394530E"/>
    <w:rsid w:val="63C04243"/>
    <w:rsid w:val="649C01C7"/>
    <w:rsid w:val="64B10B4E"/>
    <w:rsid w:val="650F0ABC"/>
    <w:rsid w:val="65695CE8"/>
    <w:rsid w:val="65E81AD0"/>
    <w:rsid w:val="66407111"/>
    <w:rsid w:val="66426E72"/>
    <w:rsid w:val="67C90E70"/>
    <w:rsid w:val="68887810"/>
    <w:rsid w:val="68DB2866"/>
    <w:rsid w:val="690A1D1E"/>
    <w:rsid w:val="699A3F60"/>
    <w:rsid w:val="69E7620B"/>
    <w:rsid w:val="6A550260"/>
    <w:rsid w:val="6AB1306E"/>
    <w:rsid w:val="6AB63847"/>
    <w:rsid w:val="6B31317A"/>
    <w:rsid w:val="6C310CE0"/>
    <w:rsid w:val="6C943C7A"/>
    <w:rsid w:val="6DF92CE6"/>
    <w:rsid w:val="6EAF31EF"/>
    <w:rsid w:val="6F272F27"/>
    <w:rsid w:val="6F440620"/>
    <w:rsid w:val="70880F5B"/>
    <w:rsid w:val="71434551"/>
    <w:rsid w:val="721C2409"/>
    <w:rsid w:val="72383F02"/>
    <w:rsid w:val="7276790A"/>
    <w:rsid w:val="72902E62"/>
    <w:rsid w:val="72916A95"/>
    <w:rsid w:val="72E65131"/>
    <w:rsid w:val="72FB364A"/>
    <w:rsid w:val="73C61104"/>
    <w:rsid w:val="74245EF8"/>
    <w:rsid w:val="756922A3"/>
    <w:rsid w:val="756F57DB"/>
    <w:rsid w:val="77522317"/>
    <w:rsid w:val="776452EA"/>
    <w:rsid w:val="78AC28B9"/>
    <w:rsid w:val="7D0F43DF"/>
    <w:rsid w:val="7DC663B9"/>
    <w:rsid w:val="7DDD2E86"/>
    <w:rsid w:val="7E201F5B"/>
    <w:rsid w:val="7E3067EC"/>
    <w:rsid w:val="7E424FB0"/>
    <w:rsid w:val="7E700F11"/>
    <w:rsid w:val="7FAEA76E"/>
    <w:rsid w:val="7FD15F63"/>
    <w:rsid w:val="7FD21032"/>
    <w:rsid w:val="7FEF2026"/>
    <w:rsid w:val="EF6ED9C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9.jpe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36</Pages>
  <Words>1860</Words>
  <Characters>10603</Characters>
  <Lines>88</Lines>
  <Paragraphs>24</Paragraphs>
  <TotalTime>4</TotalTime>
  <ScaleCrop>false</ScaleCrop>
  <LinksUpToDate>false</LinksUpToDate>
  <CharactersWithSpaces>12439</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2019-08-29T00:40:00Z</dcterms:created>
  <dc:creator>User</dc:creator>
  <cp:lastModifiedBy>caizhengju</cp:lastModifiedBy>
  <cp:lastPrinted>2019-09-11T19:12:00Z</cp:lastPrinted>
  <dcterms:modified xsi:type="dcterms:W3CDTF">2024-01-02T16:19:21Z</dcterms:modified>
  <dc:subject>石家庄市xxx部门</dc:subject>
  <dc:title>2017年度部门决算</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C60E0852815A59E8D8C693659198F580</vt:lpwstr>
  </property>
</Properties>
</file>