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0" w:name="_GoBack"/>
      <w:bookmarkEnd w:id="0"/>
    </w:p>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hslzntkAAAAL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BqVam5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NAoY&#10;LtgAAAALAQAADwAAAAAAAAABACAAAAA4AAAAZHJzL2Rvd25yZXYueG1sUEsBAhQAFAAAAAgAh07i&#10;QPdejw8MAgAA/QMAAA4AAAAAAAAAAQAgAAAAPQEAAGRycy9lMm9Eb2MueG1sUEsFBgAAAAAGAAYA&#10;WQEAAL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WAAAAZHJzL1BLAQIUABQAAAAIAIdO4kDTXJ8l2gAAAAwBAAAPAAAAAAAAAAEAIAAA&#10;ADgAAABkcnMvZG93bnJldi54bWxQSwECFAAUAAAACACHTuJAq8zQyp8CAAAqBwAADgAAAAAAAAAB&#10;ACAAAAA/AQAAZHJzL2Uyb0RvYy54bWxQSwUGAAAAAAYABgBZAQAAUA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0" o:spid="_x0000_s1026" o:spt="203" style="position:absolute;left:0pt;margin-left:389.45pt;margin-top:14.15pt;height:312.1pt;width:600.25pt;z-index:-251649024;mso-width-relative:page;mso-height-relative:page;" coordorigin="13622,283" coordsize="12005,6517" o:gfxdata="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无极县东侯坊乡人民政府</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firstLineChars="200"/>
        <w:jc w:val="left"/>
        <w:outlineLvl w:val="0"/>
        <w:rPr>
          <w:rFonts w:ascii="宋体" w:hAnsi="宋体" w:cs="宋体"/>
          <w:sz w:val="32"/>
          <w:szCs w:val="32"/>
        </w:rPr>
      </w:pPr>
      <w:r>
        <w:rPr>
          <w:rFonts w:hint="eastAsia" w:ascii="宋体" w:hAnsi="宋体" w:cs="宋体"/>
          <w:sz w:val="32"/>
          <w:szCs w:val="32"/>
        </w:rPr>
        <w:t>宣传、贯彻、执行党的路线方针政策和国家的法律、法规,执行本级人民代表大会的决议和上级国家行政机关的决定和命令,其主要职能为:</w:t>
      </w:r>
    </w:p>
    <w:p>
      <w:pPr>
        <w:ind w:firstLine="832" w:firstLineChars="260"/>
        <w:jc w:val="left"/>
        <w:outlineLvl w:val="0"/>
        <w:rPr>
          <w:rFonts w:ascii="宋体" w:hAnsi="宋体" w:cs="宋体"/>
          <w:sz w:val="32"/>
          <w:szCs w:val="32"/>
        </w:rPr>
      </w:pPr>
      <w:r>
        <w:rPr>
          <w:rFonts w:hint="eastAsia" w:ascii="宋体" w:hAnsi="宋体" w:cs="宋体"/>
          <w:sz w:val="32"/>
          <w:szCs w:val="32"/>
        </w:rPr>
        <w:t>1.促进经济发展</w:t>
      </w:r>
    </w:p>
    <w:p>
      <w:pPr>
        <w:ind w:firstLine="832" w:firstLineChars="260"/>
        <w:jc w:val="left"/>
        <w:outlineLvl w:val="0"/>
        <w:rPr>
          <w:rFonts w:ascii="宋体" w:hAnsi="宋体" w:cs="宋体"/>
          <w:sz w:val="32"/>
          <w:szCs w:val="32"/>
        </w:rPr>
      </w:pPr>
      <w:r>
        <w:rPr>
          <w:rFonts w:hint="eastAsia" w:ascii="宋体" w:hAnsi="宋体" w:cs="宋体"/>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832" w:firstLineChars="260"/>
        <w:jc w:val="left"/>
        <w:outlineLvl w:val="0"/>
        <w:rPr>
          <w:rFonts w:ascii="宋体" w:hAnsi="宋体" w:cs="宋体"/>
          <w:sz w:val="32"/>
          <w:szCs w:val="32"/>
        </w:rPr>
      </w:pPr>
      <w:r>
        <w:rPr>
          <w:rFonts w:hint="eastAsia" w:ascii="宋体" w:hAnsi="宋体" w:cs="宋体"/>
          <w:sz w:val="32"/>
          <w:szCs w:val="32"/>
        </w:rPr>
        <w:t>2.加强社会管理</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832" w:firstLineChars="260"/>
        <w:jc w:val="left"/>
        <w:outlineLvl w:val="0"/>
        <w:rPr>
          <w:rFonts w:ascii="宋体" w:hAnsi="宋体" w:cs="宋体"/>
          <w:sz w:val="32"/>
          <w:szCs w:val="32"/>
        </w:rPr>
      </w:pPr>
      <w:r>
        <w:rPr>
          <w:rFonts w:hint="eastAsia" w:ascii="宋体" w:hAnsi="宋体" w:cs="宋体"/>
          <w:sz w:val="32"/>
          <w:szCs w:val="32"/>
        </w:rPr>
        <w:t>3.提供公共服务</w:t>
      </w:r>
    </w:p>
    <w:p>
      <w:pPr>
        <w:ind w:firstLine="832" w:firstLineChars="260"/>
        <w:jc w:val="left"/>
        <w:outlineLvl w:val="0"/>
        <w:rPr>
          <w:rFonts w:ascii="宋体" w:hAnsi="宋体" w:cs="宋体"/>
          <w:sz w:val="32"/>
          <w:szCs w:val="32"/>
        </w:rPr>
      </w:pPr>
      <w:r>
        <w:rPr>
          <w:rFonts w:hint="eastAsia" w:ascii="宋体" w:hAnsi="宋体" w:cs="宋体"/>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832" w:firstLineChars="260"/>
        <w:jc w:val="left"/>
        <w:outlineLvl w:val="0"/>
        <w:rPr>
          <w:rFonts w:ascii="宋体" w:hAnsi="宋体" w:cs="宋体"/>
          <w:sz w:val="32"/>
          <w:szCs w:val="32"/>
        </w:rPr>
      </w:pPr>
      <w:r>
        <w:rPr>
          <w:rFonts w:hint="eastAsia" w:ascii="宋体" w:hAnsi="宋体" w:cs="宋体"/>
          <w:sz w:val="32"/>
          <w:szCs w:val="32"/>
        </w:rPr>
        <w:t>4.维护农村稳定</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主要包括:（1）做好社会治安综合</w:t>
      </w:r>
      <w:r>
        <w:rPr>
          <w:rFonts w:hint="eastAsia" w:ascii="宋体" w:hAnsi="宋体" w:eastAsia="宋体" w:cs="宋体"/>
          <w:sz w:val="32"/>
          <w:szCs w:val="32"/>
          <w:lang w:eastAsia="zh-CN"/>
        </w:rPr>
        <w:t>治理</w:t>
      </w:r>
      <w:r>
        <w:rPr>
          <w:rFonts w:hint="eastAsia" w:ascii="宋体" w:hAnsi="宋体" w:cs="宋体"/>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无极县东侯坊乡人民政府</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本部门2019年度收支总计（含结转和结余）3238.6万元。与2018年度决算相比，收支各增加239.5万元，增长17.36%，主要原因是社会保障和就业支出，城乡社区支出增加。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本部门2019年度本年收入合计1578.81万元，其中：财政拨款收入1578.81万元，占100%；事业收入0万元，占0%；经营收入0万元，占0%；其他收入0万元，占0%。如图所示</w:t>
      </w:r>
    </w:p>
    <w:p>
      <w:pPr>
        <w:adjustRightInd w:val="0"/>
        <w:snapToGrid w:val="0"/>
        <w:spacing w:line="580" w:lineRule="exact"/>
        <w:ind w:firstLine="1260" w:firstLineChars="600"/>
        <w:rPr>
          <w:rFonts w:ascii="仿宋_GB2312" w:hAnsi="Times New Roman" w:eastAsia="仿宋_GB2312" w:cs="DengXian-Regular"/>
          <w:sz w:val="32"/>
          <w:szCs w:val="32"/>
        </w:rPr>
      </w:pPr>
      <w:r>
        <w:rPr>
          <w:rFonts w:hint="eastAsia"/>
        </w:rPr>
        <w:drawing>
          <wp:anchor distT="0" distB="0" distL="114300" distR="114300" simplePos="0" relativeHeight="251693056" behindDoc="0" locked="0" layoutInCell="1" allowOverlap="1">
            <wp:simplePos x="0" y="0"/>
            <wp:positionH relativeFrom="column">
              <wp:posOffset>691515</wp:posOffset>
            </wp:positionH>
            <wp:positionV relativeFrom="paragraph">
              <wp:posOffset>156845</wp:posOffset>
            </wp:positionV>
            <wp:extent cx="4021455" cy="2483485"/>
            <wp:effectExtent l="0" t="0" r="17145" b="12065"/>
            <wp:wrapSquare wrapText="bothSides"/>
            <wp:docPr id="28" name="图片 28" descr="15686894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1568689406(1)"/>
                    <pic:cNvPicPr>
                      <a:picLocks noChangeAspect="1"/>
                    </pic:cNvPicPr>
                  </pic:nvPicPr>
                  <pic:blipFill>
                    <a:blip r:embed="rId32"/>
                    <a:stretch>
                      <a:fillRect/>
                    </a:stretch>
                  </pic:blipFill>
                  <pic:spPr>
                    <a:xfrm>
                      <a:off x="0" y="0"/>
                      <a:ext cx="4021455" cy="2483485"/>
                    </a:xfrm>
                    <a:prstGeom prst="rect">
                      <a:avLst/>
                    </a:prstGeom>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本部门2019年度本年支出合计1619.30万元，其中：基本支出1204.93万元，占74.41%；项目支出414.37万元，占25.59%；经营支出0万元，占0%。如图所示：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432435</wp:posOffset>
            </wp:positionH>
            <wp:positionV relativeFrom="paragraph">
              <wp:posOffset>160655</wp:posOffset>
            </wp:positionV>
            <wp:extent cx="4219575" cy="2686050"/>
            <wp:effectExtent l="47625" t="4445" r="57150" b="109855"/>
            <wp:wrapSquare wrapText="bothSides"/>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本部门2019年度财政拨款本年收入1578.81万元,比2018年度增加239.02万元，增长17.84%，主要是</w:t>
      </w:r>
      <w:r>
        <w:rPr>
          <w:rFonts w:hint="eastAsia" w:ascii="仿宋_GB2312" w:eastAsia="仿宋_GB2312" w:cs="DengXian-Regular"/>
          <w:sz w:val="32"/>
          <w:szCs w:val="32"/>
        </w:rPr>
        <w:t>本部门2019年度项目增加，财政拨款较上年度增加；</w:t>
      </w:r>
      <w:r>
        <w:rPr>
          <w:rFonts w:hint="eastAsia" w:ascii="仿宋_GB2312" w:hAnsi="Times New Roman" w:eastAsia="仿宋_GB2312" w:cs="DengXian-Regular"/>
          <w:sz w:val="32"/>
          <w:szCs w:val="32"/>
        </w:rPr>
        <w:t>本年支出1619.3万元，增加279.98万元，增长20.9%，主要是社会保障和就业支出、城乡社区支出增加。具体情况如下：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一般公共预算财政拨款本年收入1481.96万元，比上年增加142.17万元；主要是</w:t>
      </w:r>
      <w:r>
        <w:rPr>
          <w:rFonts w:hint="eastAsia" w:ascii="仿宋_GB2312" w:eastAsia="仿宋_GB2312" w:cs="DengXian-Regular"/>
          <w:color w:val="000000" w:themeColor="text1"/>
          <w:sz w:val="32"/>
          <w:szCs w:val="32"/>
        </w:rPr>
        <w:t>本部门2019年度项目增加，财政拨款较上年度增加</w:t>
      </w:r>
      <w:r>
        <w:rPr>
          <w:rFonts w:hint="eastAsia" w:ascii="仿宋_GB2312" w:hAnsi="Times New Roman" w:eastAsia="仿宋_GB2312" w:cs="DengXian-Regular"/>
          <w:sz w:val="32"/>
          <w:szCs w:val="32"/>
        </w:rPr>
        <w:t>；本年支出1522.45万元，比上年增加183.13万元，增长13.67%，主要是社会保障和就业支出增加。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96.85万元，比上年增加96.85万元，增长100%，主要原因是本部门2019年度增加政府性基金预算项目；本年支出96.85万元，比上年增加96.85万元，增长100%，主要是政府性基金预算收入全部用于城乡社区支出。</w:t>
      </w:r>
    </w:p>
    <w:p>
      <w:pPr>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95104" behindDoc="0" locked="0" layoutInCell="1" allowOverlap="1">
            <wp:simplePos x="0" y="0"/>
            <wp:positionH relativeFrom="column">
              <wp:posOffset>574675</wp:posOffset>
            </wp:positionH>
            <wp:positionV relativeFrom="paragraph">
              <wp:posOffset>227330</wp:posOffset>
            </wp:positionV>
            <wp:extent cx="4451350" cy="2522855"/>
            <wp:effectExtent l="47625" t="4445" r="53975" b="101600"/>
            <wp:wrapSquare wrapText="bothSides"/>
            <wp:docPr id="3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本部门2019年度财政拨款本年收入1578.81万元，完成年初预算的158.49%（如图4）,比年初预算增加582.64万元，决算数大于预算数主要原因是人员增加，项目增加,</w:t>
      </w:r>
      <w:r>
        <w:rPr>
          <w:rFonts w:hint="eastAsia" w:ascii="仿宋_GB2312" w:eastAsia="仿宋_GB2312" w:cs="DengXian-Regular"/>
          <w:sz w:val="32"/>
          <w:szCs w:val="32"/>
        </w:rPr>
        <w:t>人员经费和日常公用经费及项目支出预估过少</w:t>
      </w:r>
      <w:r>
        <w:rPr>
          <w:rFonts w:hint="eastAsia" w:ascii="仿宋_GB2312" w:hAnsi="Times New Roman" w:eastAsia="仿宋_GB2312" w:cs="DengXian-Regular"/>
          <w:sz w:val="32"/>
          <w:szCs w:val="32"/>
        </w:rPr>
        <w:t>；本年支出1619.3万元，完成年初预算的162.55%,比年初预算增加623.13万元，决算数大于预算数主要原因是业务量增加，支出增加。具体情况如下：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一般公共预算财政拨款本年收入完成年初预算148.77%，比年初预算增加485.79万元，主要是</w:t>
      </w:r>
      <w:r>
        <w:rPr>
          <w:rFonts w:hint="eastAsia" w:ascii="仿宋_GB2312" w:eastAsia="仿宋_GB2312" w:cs="DengXian-Regular"/>
          <w:sz w:val="32"/>
          <w:szCs w:val="32"/>
        </w:rPr>
        <w:t>人员经费和日常公用经费及项目支出预估过少</w:t>
      </w:r>
      <w:r>
        <w:rPr>
          <w:rFonts w:hint="eastAsia" w:ascii="仿宋_GB2312" w:hAnsi="Times New Roman" w:eastAsia="仿宋_GB2312" w:cs="DengXian-Regular"/>
          <w:sz w:val="32"/>
          <w:szCs w:val="32"/>
        </w:rPr>
        <w:t>；支出完成年初预算152.83%，比年初预算增加526.28万元，主要是业务量增加，支出增加。</w:t>
      </w:r>
    </w:p>
    <w:p>
      <w:pPr>
        <w:numPr>
          <w:ilvl w:val="0"/>
          <w:numId w:val="2"/>
        </w:num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7152" behindDoc="0" locked="0" layoutInCell="1" allowOverlap="1">
            <wp:simplePos x="0" y="0"/>
            <wp:positionH relativeFrom="column">
              <wp:posOffset>838200</wp:posOffset>
            </wp:positionH>
            <wp:positionV relativeFrom="paragraph">
              <wp:posOffset>1304290</wp:posOffset>
            </wp:positionV>
            <wp:extent cx="3733800" cy="2800350"/>
            <wp:effectExtent l="47625" t="4445" r="47625" b="109855"/>
            <wp:wrapSquare wrapText="bothSides"/>
            <wp:docPr id="3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Pr>
          <w:rFonts w:hint="eastAsia" w:ascii="仿宋_GB2312" w:hAnsi="Times New Roman" w:eastAsia="仿宋_GB2312" w:cs="DengXian-Regular"/>
          <w:sz w:val="32"/>
          <w:szCs w:val="32"/>
        </w:rPr>
        <w:t>政府性基金预算财政拨款本年收入96.85万元，比年初预算增加96.85万元，主要是收到占地补偿赔付款；支出完成96.85万元，比年初预算增加96.85万元，主要是用于拨付占地赔付款。</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年度财政拨款支出1619.3万元，主要用于以下方面一般公共服务支出1320.19万元，占81.53%，；社会保障和就业支出140.09万元，占8.65%；卫生健康支出22.83万元，占1.41%；节能环保支出29.35万元，占1.81%；城乡社区支出 96.85万元，占5.98%；农林水支出10万元，占0.62%。</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96128" behindDoc="0" locked="0" layoutInCell="1" allowOverlap="1">
            <wp:simplePos x="0" y="0"/>
            <wp:positionH relativeFrom="column">
              <wp:posOffset>506730</wp:posOffset>
            </wp:positionH>
            <wp:positionV relativeFrom="paragraph">
              <wp:posOffset>153035</wp:posOffset>
            </wp:positionV>
            <wp:extent cx="4032250" cy="2858770"/>
            <wp:effectExtent l="57150" t="0" r="63500" b="74930"/>
            <wp:wrapSquare wrapText="bothSides"/>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1204.93万元，其中：人员经费751.65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453.28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2.68万元，完成预算的89.33%,较预算减少0.32万元，降低10.67%，主要原因是公车正常运行支出减少；较2018年度减少0.25万元，降低8.53%，主要是公车正常运行支出减少。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本部门2019年度未发生“因公出国（境）费支出”经费支出，“较2018年度决算无增减变化。”。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（二）公务用车购置及运行维护费支出2.68万元。</w:t>
      </w:r>
      <w:r>
        <w:rPr>
          <w:rFonts w:hint="eastAsia" w:ascii="仿宋_GB2312" w:hAnsi="Times New Roman" w:eastAsia="仿宋_GB2312" w:cs="DengXian-Regular"/>
          <w:sz w:val="32"/>
          <w:szCs w:val="32"/>
        </w:rPr>
        <w:t>本部门2019年度公务用车购置及运行维护费较预算减少0.32万元，降低10.67%,主要是公车正常运行支出减少；较上年减少0.25万元，降低8.53%,主要是公车正常运行支出减少。</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w:t>
      </w:r>
      <w:r>
        <w:rPr>
          <w:rFonts w:hint="eastAsia" w:ascii="仿宋_GB2312" w:eastAsia="仿宋_GB2312" w:cs="DengXian-Regular"/>
          <w:sz w:val="32"/>
          <w:szCs w:val="32"/>
        </w:rPr>
        <w:t>公务用车购置费支出较预算无增减变化，本部门2019年度未发生“公务用车购置”经费支出；与2018年度决算无增减变化。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本部门2019年度单位公务用车保有量1辆。公车运行维护费支出较预算减少0.32万元，降低10.67%,主要是公车正常运行支出减少；较上年减少0.25万元，降低8.53%，主要是公车正常运行支出减少。</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w:t>
      </w:r>
      <w:r>
        <w:rPr>
          <w:rFonts w:hint="eastAsia" w:ascii="仿宋_GB2312" w:eastAsia="仿宋_GB2312" w:cs="DengXian-Regular"/>
          <w:sz w:val="32"/>
          <w:szCs w:val="32"/>
        </w:rPr>
        <w:t>公务接待费支出较年初预算无增减变化,本部门2019年度未发生公务接待经费支出，“较2018年度决算无增减变化。”。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2个，共涉及资金116.01万元，占一般公共预算项目支出总额的36.54%。组织对“南池阳至正港线道路翻新工程”“东马葡萄园建设补贴”等2个项目开展了部门评价，涉及一般公共预算支出116.01万元。从评价情况来看，</w:t>
      </w:r>
      <w:r>
        <w:rPr>
          <w:rFonts w:hint="eastAsia" w:ascii="仿宋_GB2312" w:eastAsia="仿宋_GB2312" w:cs="DengXian-Regular"/>
          <w:sz w:val="32"/>
          <w:szCs w:val="32"/>
        </w:rPr>
        <w:t>评价结果为优秀的项目有1个，良好的项目有1个.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本部门在今年部门决算公开中反映南池阳至正港线道路翻新工程项目及东马葡萄园建设补贴项目等2个项目绩效自评结果。</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南池阳至正港线道路翻新工程项目自评综述：根据年初设定的绩效目标，南池阳至正港线道路翻新工程项目绩效自评得分为94分。全年预算数为106.01万元，执行数为106.01万元，完成预算的100%。项目绩效目标完成情况：一是</w:t>
      </w:r>
      <w:r>
        <w:rPr>
          <w:rFonts w:hint="eastAsia" w:ascii="仿宋" w:hAnsi="仿宋" w:eastAsia="仿宋" w:cs="仿宋"/>
          <w:sz w:val="32"/>
          <w:szCs w:val="32"/>
        </w:rPr>
        <w:t>项目自评组织情况，通过多方收集资料，然后进行了严格的自评过程得出评价结果</w:t>
      </w:r>
      <w:r>
        <w:rPr>
          <w:rFonts w:hint="eastAsia" w:ascii="仿宋_GB2312" w:hAnsi="仿宋_GB2312" w:eastAsia="仿宋_GB2312" w:cs="仿宋_GB2312"/>
          <w:sz w:val="32"/>
          <w:szCs w:val="32"/>
        </w:rPr>
        <w:t>；二是</w:t>
      </w:r>
      <w:r>
        <w:rPr>
          <w:rFonts w:hint="eastAsia" w:ascii="仿宋" w:hAnsi="仿宋" w:eastAsia="仿宋" w:cs="仿宋"/>
          <w:sz w:val="32"/>
          <w:szCs w:val="32"/>
        </w:rPr>
        <w:t>绩效评价结果分为优、良、合格、不合格四个等级。即：分值≥95分为优，95＞分值≥80分为良，80＞分值≥60分为合格，分值＜60为不合格</w:t>
      </w:r>
      <w:r>
        <w:rPr>
          <w:rFonts w:hint="eastAsia" w:ascii="仿宋_GB2312" w:hAnsi="仿宋_GB2312" w:eastAsia="仿宋_GB2312" w:cs="仿宋_GB2312"/>
          <w:sz w:val="32"/>
          <w:szCs w:val="32"/>
        </w:rPr>
        <w:t>。三是工程按期完成情况：工程按时按质量完成。发现的主要问题及原因：一是</w:t>
      </w:r>
      <w:r>
        <w:rPr>
          <w:rFonts w:hint="eastAsia" w:ascii="仿宋" w:hAnsi="仿宋" w:eastAsia="仿宋" w:cs="仿宋"/>
          <w:sz w:val="32"/>
          <w:szCs w:val="32"/>
        </w:rPr>
        <w:t>项目进行中可能出现的一系列的问题</w:t>
      </w:r>
      <w:r>
        <w:rPr>
          <w:rFonts w:hint="eastAsia" w:ascii="仿宋_GB2312" w:hAnsi="仿宋_GB2312" w:eastAsia="仿宋_GB2312" w:cs="仿宋_GB2312"/>
          <w:sz w:val="32"/>
          <w:szCs w:val="32"/>
        </w:rPr>
        <w:t>；二是</w:t>
      </w:r>
      <w:r>
        <w:rPr>
          <w:rFonts w:hint="eastAsia" w:ascii="仿宋" w:hAnsi="仿宋" w:eastAsia="仿宋" w:cs="仿宋"/>
          <w:sz w:val="32"/>
          <w:szCs w:val="32"/>
        </w:rPr>
        <w:t>项目进行中和群众要求有时出现不一致情况</w:t>
      </w:r>
      <w:r>
        <w:rPr>
          <w:rFonts w:hint="eastAsia" w:ascii="仿宋_GB2312" w:hAnsi="仿宋_GB2312" w:eastAsia="仿宋_GB2312" w:cs="仿宋_GB2312"/>
          <w:sz w:val="32"/>
          <w:szCs w:val="32"/>
        </w:rPr>
        <w:t>。下一步改进措施：一是</w:t>
      </w:r>
      <w:r>
        <w:rPr>
          <w:rFonts w:hint="eastAsia" w:ascii="仿宋" w:hAnsi="仿宋" w:eastAsia="仿宋" w:cs="仿宋"/>
          <w:sz w:val="32"/>
          <w:szCs w:val="32"/>
        </w:rPr>
        <w:t>在前期准备的过程中要进行充分的准备，提前做好应急预案</w:t>
      </w:r>
      <w:r>
        <w:rPr>
          <w:rFonts w:hint="eastAsia" w:ascii="仿宋_GB2312" w:hAnsi="仿宋_GB2312" w:eastAsia="仿宋_GB2312" w:cs="仿宋_GB2312"/>
          <w:sz w:val="32"/>
          <w:szCs w:val="32"/>
        </w:rPr>
        <w:t>；二是</w:t>
      </w:r>
      <w:r>
        <w:rPr>
          <w:rFonts w:hint="eastAsia" w:ascii="仿宋" w:hAnsi="仿宋" w:eastAsia="仿宋" w:cs="仿宋"/>
          <w:sz w:val="32"/>
          <w:szCs w:val="32"/>
        </w:rPr>
        <w:t>要加强对群众的宣传力度，倾听群众意见，多途径、多方式的做好群众工作</w:t>
      </w:r>
      <w:r>
        <w:rPr>
          <w:rFonts w:hint="eastAsia" w:ascii="仿宋_GB2312" w:hAnsi="仿宋_GB2312" w:eastAsia="仿宋_GB2312" w:cs="仿宋_GB2312"/>
          <w:sz w:val="32"/>
          <w:szCs w:val="32"/>
        </w:rPr>
        <w:t>。</w:t>
      </w:r>
    </w:p>
    <w:p>
      <w:pPr>
        <w:numPr>
          <w:ilvl w:val="0"/>
          <w:numId w:val="4"/>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东马葡萄园建设补贴项目自评综述：根据年初设定的绩效目标，东马葡萄园建设补贴项目绩效自评得分为96分。全年预算数为10万元，执行数为10万元，完成预算的100%。项目绩效目标完成情况：一是补贴对象满意度，通过对补贴对象满意度调查，满意度为100%。二是补贴对象地面硬化面积增加20%，完成预期目标。三是补贴对象经济效益增长情况。通过项目补贴，补贴对象规模增大，经济效益增加10%。发现的主要问题及原因：补贴对象单一，其他较小葡萄园未得到补贴。下一步改进措施：</w:t>
      </w:r>
      <w:r>
        <w:rPr>
          <w:rFonts w:hint="eastAsia" w:ascii="仿宋" w:hAnsi="仿宋" w:eastAsia="仿宋" w:cs="仿宋"/>
          <w:sz w:val="32"/>
          <w:szCs w:val="32"/>
        </w:rPr>
        <w:t>加强政策的宣传解读工作，消除群众顾虑，多途径、多方式的做好群众工作</w:t>
      </w:r>
      <w:r>
        <w:rPr>
          <w:rFonts w:hint="eastAsia" w:ascii="仿宋_GB2312" w:hAnsi="仿宋_GB2312" w:eastAsia="仿宋_GB2312" w:cs="仿宋_GB2312"/>
          <w:sz w:val="32"/>
          <w:szCs w:val="32"/>
        </w:rPr>
        <w:t>。</w:t>
      </w:r>
    </w:p>
    <w:p>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仿宋_GB2312" w:hAnsi="仿宋_GB2312" w:eastAsia="仿宋_GB2312" w:cs="仿宋_GB2312"/>
          <w:sz w:val="32"/>
          <w:szCs w:val="32"/>
        </w:rPr>
        <w:t>本部门无财政评价项目绩效评价情况。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本部门2019年度机关运行经费支出453.28万元，比2018年度增加260.44万元，增长135.05%。主要原因</w:t>
      </w:r>
      <w:r>
        <w:rPr>
          <w:rFonts w:hint="eastAsia" w:ascii="仿宋_GB2312" w:eastAsia="仿宋_GB2312" w:cs="DengXian-Regular"/>
          <w:sz w:val="32"/>
          <w:szCs w:val="32"/>
        </w:rPr>
        <w:t>本部门2019年度机关运行经费支出预估过少，人员增加，工作业务量增加，支出增加。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本部门2019年度政府采购支出总额277.30万元，从采购类型来看，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277.30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w:t>
      </w:r>
      <w:r>
        <w:rPr>
          <w:rFonts w:hint="eastAsia" w:ascii="仿宋_GB2312" w:eastAsia="仿宋_GB2312" w:cs="DengXian-Regular"/>
          <w:sz w:val="32"/>
          <w:szCs w:val="32"/>
        </w:rPr>
        <w:t>本部门共有车辆1辆，比上年增加0辆，主要是厉行节约。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1、本部门2019年度国有资本经营预算财政拨款收入支出无收支及结转结余情况。故国有资本经营预算财政拨款收入支出决算表以空表列示。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1" w:firstLineChars="200"/>
        <w:jc w:val="left"/>
        <w:rPr>
          <w:rFonts w:cs="MS-UIGothic,Bold" w:asciiTheme="majorEastAsia" w:hAnsiTheme="majorEastAsia" w:eastAsiaTheme="majorEastAsia"/>
          <w:b/>
          <w:bCs/>
          <w:kern w:val="0"/>
          <w:sz w:val="44"/>
          <w:szCs w:val="44"/>
        </w:rPr>
        <w:sectPr>
          <w:type w:val="continuous"/>
          <w:pgSz w:w="11906" w:h="16838"/>
          <w:pgMar w:top="2098" w:right="1474" w:bottom="1984" w:left="1588" w:header="851" w:footer="992" w:gutter="0"/>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tbl>
      <w:tblPr>
        <w:tblStyle w:val="7"/>
        <w:tblpPr w:leftFromText="180" w:rightFromText="180" w:vertAnchor="text" w:horzAnchor="page" w:tblpXSpec="center" w:tblpY="322"/>
        <w:tblOverlap w:val="never"/>
        <w:tblW w:w="9517" w:type="dxa"/>
        <w:jc w:val="center"/>
        <w:tblLayout w:type="fixed"/>
        <w:tblCellMar>
          <w:top w:w="0" w:type="dxa"/>
          <w:left w:w="0" w:type="dxa"/>
          <w:bottom w:w="0" w:type="dxa"/>
          <w:right w:w="0" w:type="dxa"/>
        </w:tblCellMar>
      </w:tblPr>
      <w:tblGrid>
        <w:gridCol w:w="3236"/>
        <w:gridCol w:w="731"/>
        <w:gridCol w:w="874"/>
        <w:gridCol w:w="3291"/>
        <w:gridCol w:w="541"/>
        <w:gridCol w:w="844"/>
      </w:tblGrid>
      <w:tr>
        <w:tblPrEx>
          <w:tblCellMar>
            <w:top w:w="0" w:type="dxa"/>
            <w:left w:w="0" w:type="dxa"/>
            <w:bottom w:w="0" w:type="dxa"/>
            <w:right w:w="0" w:type="dxa"/>
          </w:tblCellMar>
        </w:tblPrEx>
        <w:trPr>
          <w:trHeight w:val="422"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7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部门：无极县东侯坊乡人民政府</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7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8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676"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1481.96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1320.19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96.85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extAlignment w:val="center"/>
              <w:rPr>
                <w:rFonts w:ascii="宋体" w:hAnsi="宋体" w:eastAsia="宋体" w:cs="宋体"/>
                <w:color w:val="000000"/>
                <w:sz w:val="22"/>
              </w:rPr>
            </w:pPr>
            <w:r>
              <w:rPr>
                <w:rFonts w:hint="eastAsia" w:ascii="宋体" w:hAnsi="宋体" w:eastAsia="宋体" w:cs="宋体"/>
                <w:color w:val="000000"/>
                <w:kern w:val="0"/>
                <w:sz w:val="22"/>
              </w:rPr>
              <w:t>140.09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29.35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96.85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1578.81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1619.3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40.49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1619.3　</w:t>
            </w:r>
          </w:p>
        </w:tc>
        <w:tc>
          <w:tcPr>
            <w:tcW w:w="32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1619.3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pPr w:leftFromText="180" w:rightFromText="180" w:vertAnchor="text" w:horzAnchor="page" w:tblpX="1060" w:tblpY="168"/>
        <w:tblOverlap w:val="never"/>
        <w:tblW w:w="9545" w:type="dxa"/>
        <w:tblInd w:w="0" w:type="dxa"/>
        <w:tblLayout w:type="fixed"/>
        <w:tblCellMar>
          <w:top w:w="0" w:type="dxa"/>
          <w:left w:w="0" w:type="dxa"/>
          <w:bottom w:w="0" w:type="dxa"/>
          <w:right w:w="0" w:type="dxa"/>
        </w:tblCellMar>
      </w:tblPr>
      <w:tblGrid>
        <w:gridCol w:w="654"/>
        <w:gridCol w:w="382"/>
        <w:gridCol w:w="240"/>
        <w:gridCol w:w="2900"/>
        <w:gridCol w:w="247"/>
        <w:gridCol w:w="170"/>
        <w:gridCol w:w="90"/>
        <w:gridCol w:w="602"/>
        <w:gridCol w:w="123"/>
        <w:gridCol w:w="90"/>
        <w:gridCol w:w="726"/>
        <w:gridCol w:w="90"/>
        <w:gridCol w:w="476"/>
        <w:gridCol w:w="339"/>
        <w:gridCol w:w="248"/>
        <w:gridCol w:w="410"/>
        <w:gridCol w:w="272"/>
        <w:gridCol w:w="777"/>
        <w:gridCol w:w="709"/>
      </w:tblGrid>
      <w:tr>
        <w:tblPrEx>
          <w:tblCellMar>
            <w:top w:w="0" w:type="dxa"/>
            <w:left w:w="0" w:type="dxa"/>
            <w:bottom w:w="0" w:type="dxa"/>
            <w:right w:w="0" w:type="dxa"/>
          </w:tblCellMar>
        </w:tblPrEx>
        <w:trPr>
          <w:trHeight w:val="770" w:hRule="atLeast"/>
        </w:trPr>
        <w:tc>
          <w:tcPr>
            <w:tcW w:w="9545" w:type="dxa"/>
            <w:gridSpan w:val="19"/>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宋体" w:hAnsi="宋体" w:eastAsia="宋体" w:cs="宋体"/>
                <w:color w:val="000000"/>
                <w:sz w:val="22"/>
              </w:rPr>
            </w:pPr>
            <w:r>
              <w:rPr>
                <w:rFonts w:hint="eastAsia" w:ascii="宋体" w:hAnsi="宋体" w:eastAsia="宋体" w:cs="宋体"/>
                <w:color w:val="000000"/>
                <w:kern w:val="0"/>
                <w:sz w:val="40"/>
                <w:szCs w:val="40"/>
              </w:rPr>
              <w:t>收入决算表</w:t>
            </w:r>
          </w:p>
        </w:tc>
      </w:tr>
      <w:tr>
        <w:tblPrEx>
          <w:tblCellMar>
            <w:top w:w="0" w:type="dxa"/>
            <w:left w:w="0" w:type="dxa"/>
            <w:bottom w:w="0" w:type="dxa"/>
            <w:right w:w="0" w:type="dxa"/>
          </w:tblCellMar>
        </w:tblPrEx>
        <w:trPr>
          <w:trHeight w:val="362" w:hRule="atLeast"/>
        </w:trPr>
        <w:tc>
          <w:tcPr>
            <w:tcW w:w="654"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382"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2900"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247" w:type="dxa"/>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26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65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175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eastAsia="宋体" w:cs="宋体"/>
                <w:color w:val="000000"/>
                <w:sz w:val="22"/>
              </w:rPr>
            </w:pPr>
            <w:r>
              <w:rPr>
                <w:rFonts w:hint="eastAsia" w:ascii="宋体" w:hAnsi="宋体" w:eastAsia="宋体" w:cs="宋体"/>
                <w:color w:val="000000"/>
                <w:kern w:val="0"/>
                <w:sz w:val="22"/>
              </w:rPr>
              <w:t>公开02表</w:t>
            </w:r>
          </w:p>
        </w:tc>
      </w:tr>
      <w:tr>
        <w:tblPrEx>
          <w:tblCellMar>
            <w:top w:w="0" w:type="dxa"/>
            <w:left w:w="0" w:type="dxa"/>
            <w:bottom w:w="0" w:type="dxa"/>
            <w:right w:w="0" w:type="dxa"/>
          </w:tblCellMar>
        </w:tblPrEx>
        <w:trPr>
          <w:trHeight w:val="362" w:hRule="atLeast"/>
        </w:trPr>
        <w:tc>
          <w:tcPr>
            <w:tcW w:w="4176"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eastAsia="宋体" w:cs="宋体"/>
                <w:color w:val="000000"/>
                <w:sz w:val="22"/>
              </w:rPr>
            </w:pPr>
            <w:r>
              <w:rPr>
                <w:rFonts w:hint="eastAsia" w:ascii="宋体" w:hAnsi="宋体" w:eastAsia="宋体" w:cs="宋体"/>
                <w:color w:val="000000"/>
                <w:kern w:val="0"/>
                <w:sz w:val="22"/>
              </w:rPr>
              <w:t>部门：无极县东侯坊乡人民政府</w:t>
            </w:r>
          </w:p>
        </w:tc>
        <w:tc>
          <w:tcPr>
            <w:tcW w:w="41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1153"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68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rPr>
                <w:rFonts w:ascii="宋体" w:hAnsi="宋体" w:eastAsia="宋体" w:cs="宋体"/>
                <w:color w:val="000000"/>
                <w:sz w:val="22"/>
              </w:rPr>
            </w:pPr>
          </w:p>
        </w:tc>
        <w:tc>
          <w:tcPr>
            <w:tcW w:w="148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right"/>
              <w:textAlignment w:val="center"/>
              <w:rPr>
                <w:rFonts w:ascii="宋体" w:hAnsi="宋体" w:eastAsia="宋体" w:cs="宋体"/>
                <w:color w:val="000000"/>
                <w:sz w:val="22"/>
              </w:rPr>
            </w:pPr>
            <w:r>
              <w:rPr>
                <w:rFonts w:hint="eastAsia" w:ascii="宋体" w:hAnsi="宋体" w:eastAsia="宋体" w:cs="宋体"/>
                <w:color w:val="000000"/>
                <w:kern w:val="0"/>
                <w:sz w:val="22"/>
              </w:rPr>
              <w:t>金额单位：万元</w:t>
            </w:r>
          </w:p>
        </w:tc>
      </w:tr>
      <w:tr>
        <w:tblPrEx>
          <w:tblCellMar>
            <w:top w:w="0" w:type="dxa"/>
            <w:left w:w="0" w:type="dxa"/>
            <w:bottom w:w="0" w:type="dxa"/>
            <w:right w:w="0" w:type="dxa"/>
          </w:tblCellMar>
        </w:tblPrEx>
        <w:trPr>
          <w:trHeight w:val="325" w:hRule="atLeast"/>
        </w:trPr>
        <w:tc>
          <w:tcPr>
            <w:tcW w:w="4176"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09"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39"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财政拨款收入</w:t>
            </w:r>
          </w:p>
        </w:tc>
        <w:tc>
          <w:tcPr>
            <w:tcW w:w="56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上级补助收入</w:t>
            </w:r>
          </w:p>
        </w:tc>
        <w:tc>
          <w:tcPr>
            <w:tcW w:w="58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事业收入</w:t>
            </w:r>
          </w:p>
        </w:tc>
        <w:tc>
          <w:tcPr>
            <w:tcW w:w="68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经营收入</w:t>
            </w:r>
          </w:p>
        </w:tc>
        <w:tc>
          <w:tcPr>
            <w:tcW w:w="77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附属单位上缴收入</w:t>
            </w:r>
          </w:p>
        </w:tc>
        <w:tc>
          <w:tcPr>
            <w:tcW w:w="709"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626" w:hRule="atLeast"/>
        </w:trPr>
        <w:tc>
          <w:tcPr>
            <w:tcW w:w="127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900"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09"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939"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56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58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68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77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c>
          <w:tcPr>
            <w:tcW w:w="709"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kern w:val="0"/>
                <w:sz w:val="22"/>
              </w:rPr>
            </w:pPr>
          </w:p>
        </w:tc>
      </w:tr>
      <w:tr>
        <w:tblPrEx>
          <w:tblCellMar>
            <w:top w:w="0" w:type="dxa"/>
            <w:left w:w="0" w:type="dxa"/>
            <w:bottom w:w="0" w:type="dxa"/>
            <w:right w:w="0" w:type="dxa"/>
          </w:tblCellMar>
        </w:tblPrEx>
        <w:trPr>
          <w:trHeight w:val="391" w:hRule="atLeast"/>
        </w:trPr>
        <w:tc>
          <w:tcPr>
            <w:tcW w:w="417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0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3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544" w:hRule="atLeast"/>
        </w:trPr>
        <w:tc>
          <w:tcPr>
            <w:tcW w:w="417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09"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r>
              <w:rPr>
                <w:rFonts w:hint="eastAsia" w:ascii="宋体" w:hAnsi="宋体" w:eastAsia="宋体" w:cs="宋体"/>
                <w:b/>
                <w:color w:val="000000"/>
                <w:sz w:val="22"/>
              </w:rPr>
              <w:t>1578.81</w:t>
            </w:r>
          </w:p>
        </w:tc>
        <w:tc>
          <w:tcPr>
            <w:tcW w:w="93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1578.81</w:t>
            </w:r>
          </w:p>
        </w:tc>
        <w:tc>
          <w:tcPr>
            <w:tcW w:w="566"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58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68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77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c>
          <w:tcPr>
            <w:tcW w:w="709"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b/>
                <w:color w:val="000000"/>
                <w:sz w:val="22"/>
              </w:rPr>
            </w:pPr>
          </w:p>
        </w:tc>
      </w:tr>
      <w:tr>
        <w:tblPrEx>
          <w:tblCellMar>
            <w:top w:w="0" w:type="dxa"/>
            <w:left w:w="0" w:type="dxa"/>
            <w:bottom w:w="0" w:type="dxa"/>
            <w:right w:w="0" w:type="dxa"/>
          </w:tblCellMar>
        </w:tblPrEx>
        <w:trPr>
          <w:trHeight w:val="514"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一般公共服务支出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1309.05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1309.05</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20103</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1309.05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1309.05</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2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sz w:val="22"/>
              </w:rPr>
            </w:pPr>
            <w:r>
              <w:rPr>
                <w:rFonts w:hint="eastAsia" w:ascii="宋体" w:hAnsi="宋体" w:eastAsia="宋体" w:cs="宋体"/>
                <w:sz w:val="22"/>
              </w:rPr>
              <w:t>2010301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sz w:val="22"/>
              </w:rPr>
            </w:pPr>
            <w:r>
              <w:rPr>
                <w:rFonts w:hint="eastAsia" w:ascii="宋体" w:hAnsi="宋体" w:eastAsia="宋体" w:cs="宋体"/>
                <w:sz w:val="22"/>
              </w:rPr>
              <w:t>行政运行</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sz w:val="22"/>
              </w:rPr>
            </w:pPr>
            <w:r>
              <w:rPr>
                <w:rFonts w:hint="eastAsia" w:ascii="宋体" w:hAnsi="宋体" w:eastAsia="宋体" w:cs="宋体"/>
                <w:sz w:val="22"/>
              </w:rPr>
              <w:t>1042.01</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sz w:val="22"/>
              </w:rPr>
            </w:pPr>
            <w:r>
              <w:rPr>
                <w:rFonts w:hint="eastAsia" w:ascii="宋体" w:hAnsi="宋体" w:eastAsia="宋体" w:cs="宋体"/>
                <w:sz w:val="22"/>
              </w:rPr>
              <w:t>1042.01</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2010302</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一般行政管理实务</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126.01</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126.01</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2010399</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其他政府办公厅（室）及相关机构事务支出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141.03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141.03</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140.09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140.09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20805</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100.49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100.49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2080501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6.49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6.49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2080502</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事业单位离退休</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9.51</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9.51</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2080505</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84.49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84.49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20808</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抚恤</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15.29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15.29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2080801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死亡抚恤</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15.29</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15.29</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20809</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退役安置</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22.00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22.00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2080901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退役士兵安置</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2080999</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其他退役安置支出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12.00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12.00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20827</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55"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2082702</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1.47</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1.47</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55"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2082703</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0.83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0.83</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71"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210</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卫生健康支出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22.83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22.83</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04"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21011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22.83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22.83</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304"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2101101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行政单位医疗</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22.83</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22.83</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212</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城乡社区支出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96.85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96.85</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21208</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96.85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96.85</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2120801</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96.85</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96.85</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213</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农林水支出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10.00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21306</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农业综合开发</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10.00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589" w:hRule="atLeast"/>
        </w:trPr>
        <w:tc>
          <w:tcPr>
            <w:tcW w:w="12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2130699</w:t>
            </w:r>
          </w:p>
        </w:tc>
        <w:tc>
          <w:tcPr>
            <w:tcW w:w="2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其他农业综合开发支出</w:t>
            </w:r>
          </w:p>
        </w:tc>
        <w:tc>
          <w:tcPr>
            <w:tcW w:w="110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10.00</w:t>
            </w:r>
          </w:p>
        </w:tc>
        <w:tc>
          <w:tcPr>
            <w:tcW w:w="939"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r>
              <w:rPr>
                <w:rFonts w:hint="eastAsia" w:ascii="宋体" w:hAnsi="宋体" w:eastAsia="宋体" w:cs="宋体"/>
                <w:color w:val="000000"/>
                <w:sz w:val="22"/>
              </w:rPr>
              <w:t>10.00</w:t>
            </w:r>
          </w:p>
        </w:tc>
        <w:tc>
          <w:tcPr>
            <w:tcW w:w="56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68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atLeast"/>
              <w:jc w:val="center"/>
              <w:rPr>
                <w:rFonts w:ascii="宋体" w:hAnsi="宋体" w:eastAsia="宋体" w:cs="宋体"/>
                <w:color w:val="000000"/>
                <w:sz w:val="22"/>
              </w:rPr>
            </w:pPr>
          </w:p>
        </w:tc>
      </w:tr>
      <w:tr>
        <w:tblPrEx>
          <w:tblCellMar>
            <w:top w:w="0" w:type="dxa"/>
            <w:left w:w="0" w:type="dxa"/>
            <w:bottom w:w="0" w:type="dxa"/>
            <w:right w:w="0" w:type="dxa"/>
          </w:tblCellMar>
        </w:tblPrEx>
        <w:trPr>
          <w:trHeight w:val="481" w:hRule="atLeast"/>
        </w:trPr>
        <w:tc>
          <w:tcPr>
            <w:tcW w:w="9545" w:type="dxa"/>
            <w:gridSpan w:val="19"/>
            <w:tcBorders>
              <w:top w:val="nil"/>
              <w:left w:val="nil"/>
              <w:bottom w:val="nil"/>
              <w:right w:val="nil"/>
            </w:tcBorders>
            <w:shd w:val="clear" w:color="auto" w:fill="auto"/>
            <w:noWrap/>
            <w:tcMar>
              <w:top w:w="15" w:type="dxa"/>
              <w:left w:w="15" w:type="dxa"/>
              <w:right w:w="15" w:type="dxa"/>
            </w:tcMar>
            <w:vAlign w:val="center"/>
          </w:tcPr>
          <w:p>
            <w:pPr>
              <w:widowControl/>
              <w:spacing w:line="240" w:lineRule="atLeast"/>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tabs>
          <w:tab w:val="left" w:pos="886"/>
        </w:tabs>
        <w:jc w:val="left"/>
      </w:pPr>
    </w:p>
    <w:p>
      <w:pPr>
        <w:jc w:val="left"/>
      </w:pPr>
    </w:p>
    <w:p>
      <w:pPr>
        <w:jc w:val="left"/>
      </w:pPr>
    </w:p>
    <w:p>
      <w:r>
        <w:br w:type="page"/>
      </w:r>
    </w:p>
    <w:tbl>
      <w:tblPr>
        <w:tblStyle w:val="7"/>
        <w:tblW w:w="9680" w:type="dxa"/>
        <w:jc w:val="center"/>
        <w:tblLayout w:type="fixed"/>
        <w:tblCellMar>
          <w:top w:w="0" w:type="dxa"/>
          <w:left w:w="0" w:type="dxa"/>
          <w:bottom w:w="0" w:type="dxa"/>
          <w:right w:w="0" w:type="dxa"/>
        </w:tblCellMar>
      </w:tblPr>
      <w:tblGrid>
        <w:gridCol w:w="565"/>
        <w:gridCol w:w="240"/>
        <w:gridCol w:w="240"/>
        <w:gridCol w:w="2865"/>
        <w:gridCol w:w="1005"/>
        <w:gridCol w:w="990"/>
        <w:gridCol w:w="1050"/>
        <w:gridCol w:w="960"/>
        <w:gridCol w:w="900"/>
        <w:gridCol w:w="865"/>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65"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56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10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9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9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8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04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86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04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6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04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6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9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9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1619.3</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1204.93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414.37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278.17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政府办公厅（室）及相关机构事物</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278.17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2010302</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126.01</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126.01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2010399</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其他政府办公厅（室）及相关机构事务支出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152.17</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152.17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100.49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100.49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9.51</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9.51</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84.49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84.49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22.00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2080999</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其他退役安置支出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2.30</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0.83</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节能环保支出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21103</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污染防治</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2110301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大气</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农林水支出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21306</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农业综合开发</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04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2130699</w:t>
            </w:r>
          </w:p>
        </w:tc>
        <w:tc>
          <w:tcPr>
            <w:tcW w:w="2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其他农业综合开发支出</w:t>
            </w:r>
          </w:p>
        </w:tc>
        <w:tc>
          <w:tcPr>
            <w:tcW w:w="10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873"/>
        <w:gridCol w:w="2385"/>
        <w:gridCol w:w="540"/>
        <w:gridCol w:w="900"/>
        <w:gridCol w:w="825"/>
        <w:gridCol w:w="650"/>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7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部门：无极县东侯坊乡人民政府</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7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2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30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3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9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1481.96</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1578.81</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1619.3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1522.45</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40.49</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40.49</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1619.30</w:t>
            </w:r>
          </w:p>
        </w:tc>
        <w:tc>
          <w:tcPr>
            <w:tcW w:w="23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9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1619.3</w:t>
            </w:r>
          </w:p>
        </w:tc>
        <w:tc>
          <w:tcPr>
            <w:tcW w:w="8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1522.45</w:t>
            </w:r>
          </w:p>
        </w:tc>
        <w:tc>
          <w:tcPr>
            <w:tcW w:w="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10611" w:type="dxa"/>
        <w:jc w:val="center"/>
        <w:tblLayout w:type="fixed"/>
        <w:tblCellMar>
          <w:top w:w="0" w:type="dxa"/>
          <w:left w:w="0" w:type="dxa"/>
          <w:bottom w:w="0" w:type="dxa"/>
          <w:right w:w="0" w:type="dxa"/>
        </w:tblCellMar>
      </w:tblPr>
      <w:tblGrid>
        <w:gridCol w:w="540"/>
        <w:gridCol w:w="240"/>
        <w:gridCol w:w="240"/>
        <w:gridCol w:w="2604"/>
        <w:gridCol w:w="2329"/>
        <w:gridCol w:w="2329"/>
        <w:gridCol w:w="2329"/>
      </w:tblGrid>
      <w:tr>
        <w:tblPrEx>
          <w:tblCellMar>
            <w:top w:w="0" w:type="dxa"/>
            <w:left w:w="0" w:type="dxa"/>
            <w:bottom w:w="0" w:type="dxa"/>
            <w:right w:w="0" w:type="dxa"/>
          </w:tblCellMar>
        </w:tblPrEx>
        <w:trPr>
          <w:trHeight w:val="600" w:hRule="atLeast"/>
          <w:jc w:val="center"/>
        </w:trPr>
        <w:tc>
          <w:tcPr>
            <w:tcW w:w="10611"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5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54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62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02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60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02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0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2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0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62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62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1522.45</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1204.93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317.52</w:t>
            </w:r>
          </w:p>
        </w:tc>
      </w:tr>
      <w:tr>
        <w:tblPrEx>
          <w:tblCellMar>
            <w:top w:w="0" w:type="dxa"/>
            <w:left w:w="0" w:type="dxa"/>
            <w:bottom w:w="0" w:type="dxa"/>
            <w:right w:w="0" w:type="dxa"/>
          </w:tblCellMar>
        </w:tblPrEx>
        <w:trPr>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26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278.17</w:t>
            </w:r>
          </w:p>
        </w:tc>
      </w:tr>
      <w:tr>
        <w:tblPrEx>
          <w:tblCellMar>
            <w:top w:w="0" w:type="dxa"/>
            <w:left w:w="0" w:type="dxa"/>
            <w:bottom w:w="0" w:type="dxa"/>
            <w:right w:w="0" w:type="dxa"/>
          </w:tblCellMar>
        </w:tblPrEx>
        <w:trPr>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26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1320.19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278.17</w:t>
            </w:r>
          </w:p>
        </w:tc>
      </w:tr>
      <w:tr>
        <w:tblPrEx>
          <w:tblCellMar>
            <w:top w:w="0" w:type="dxa"/>
            <w:left w:w="0" w:type="dxa"/>
            <w:bottom w:w="0" w:type="dxa"/>
            <w:right w:w="0" w:type="dxa"/>
          </w:tblCellMar>
        </w:tblPrEx>
        <w:trPr>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2010301</w:t>
            </w:r>
          </w:p>
        </w:tc>
        <w:tc>
          <w:tcPr>
            <w:tcW w:w="26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1042.01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2010302</w:t>
            </w:r>
          </w:p>
        </w:tc>
        <w:tc>
          <w:tcPr>
            <w:tcW w:w="260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126.01</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126.01</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2010399</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其他政府办公厅（室）及相关机构事务支出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152.17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152.17</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140.09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归口管理的行政单位离退休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2080502</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9.51</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84.49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84.49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抚恤</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2080801</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死亡抚恤</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15.29</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2080999</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其他退役安置支出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12.00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2.30</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财政对工伤保险基金的补助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财政对生育保险基金的补助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0.83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26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22.83</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211</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节能环保支出</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21103</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污染防治</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2110301</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大气</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29.35</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213</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农林水支出</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21306</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农业综合开发</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r>
      <w:tr>
        <w:tblPrEx>
          <w:tblCellMar>
            <w:top w:w="0" w:type="dxa"/>
            <w:left w:w="0" w:type="dxa"/>
            <w:bottom w:w="0" w:type="dxa"/>
            <w:right w:w="0" w:type="dxa"/>
          </w:tblCellMar>
        </w:tblPrEx>
        <w:trPr>
          <w:trHeight w:val="308" w:hRule="atLeast"/>
          <w:jc w:val="center"/>
        </w:trPr>
        <w:tc>
          <w:tcPr>
            <w:tcW w:w="1020" w:type="dxa"/>
            <w:gridSpan w:val="3"/>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2130699</w:t>
            </w:r>
          </w:p>
        </w:tc>
        <w:tc>
          <w:tcPr>
            <w:tcW w:w="2604"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其他农业综合开发支出</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10.00</w:t>
            </w:r>
          </w:p>
        </w:tc>
      </w:tr>
    </w:tbl>
    <w:p>
      <w:r>
        <w:br w:type="page"/>
      </w:r>
    </w:p>
    <w:tbl>
      <w:tblPr>
        <w:tblStyle w:val="7"/>
        <w:tblW w:w="10000" w:type="dxa"/>
        <w:jc w:val="center"/>
        <w:tblLayout w:type="fixed"/>
        <w:tblCellMar>
          <w:top w:w="0" w:type="dxa"/>
          <w:left w:w="0" w:type="dxa"/>
          <w:bottom w:w="0" w:type="dxa"/>
          <w:right w:w="0" w:type="dxa"/>
        </w:tblCellMar>
      </w:tblPr>
      <w:tblGrid>
        <w:gridCol w:w="680"/>
        <w:gridCol w:w="2235"/>
        <w:gridCol w:w="696"/>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6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2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68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2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6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68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2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68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2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537.18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424.37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167.05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44.93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178.42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45.45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28.91</w:t>
            </w: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12.95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28.91</w:t>
            </w: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113.63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7.92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22.83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95.05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22.65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214.47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16.01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183.17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137.16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4.64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8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2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18.28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91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751.65</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453.28</w:t>
            </w:r>
          </w:p>
        </w:tc>
      </w:tr>
    </w:tbl>
    <w:p>
      <w:r>
        <w:br w:type="page"/>
      </w:r>
    </w:p>
    <w:tbl>
      <w:tblPr>
        <w:tblStyle w:val="7"/>
        <w:tblW w:w="9220" w:type="dxa"/>
        <w:jc w:val="center"/>
        <w:tblLayout w:type="autofit"/>
        <w:tblCellMar>
          <w:top w:w="0" w:type="dxa"/>
          <w:left w:w="0" w:type="dxa"/>
          <w:bottom w:w="0" w:type="dxa"/>
          <w:right w:w="0" w:type="dxa"/>
        </w:tblCellMar>
      </w:tblPr>
      <w:tblGrid>
        <w:gridCol w:w="785"/>
        <w:gridCol w:w="2310"/>
        <w:gridCol w:w="1423"/>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78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2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78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3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142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785"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1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553"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785"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785"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785"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785"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1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553"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785"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785"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23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4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785"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1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2.68</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2.68</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10187" w:type="dxa"/>
        <w:jc w:val="center"/>
        <w:tblLayout w:type="fixed"/>
        <w:tblCellMar>
          <w:top w:w="0" w:type="dxa"/>
          <w:left w:w="0" w:type="dxa"/>
          <w:bottom w:w="0" w:type="dxa"/>
          <w:right w:w="0" w:type="dxa"/>
        </w:tblCellMar>
      </w:tblPr>
      <w:tblGrid>
        <w:gridCol w:w="534"/>
        <w:gridCol w:w="240"/>
        <w:gridCol w:w="240"/>
        <w:gridCol w:w="2783"/>
        <w:gridCol w:w="1065"/>
        <w:gridCol w:w="1065"/>
        <w:gridCol w:w="1065"/>
        <w:gridCol w:w="1065"/>
        <w:gridCol w:w="1065"/>
        <w:gridCol w:w="1065"/>
      </w:tblGrid>
      <w:tr>
        <w:tblPrEx>
          <w:tblCellMar>
            <w:top w:w="0" w:type="dxa"/>
            <w:left w:w="0" w:type="dxa"/>
            <w:bottom w:w="0" w:type="dxa"/>
            <w:right w:w="0" w:type="dxa"/>
          </w:tblCellMar>
        </w:tblPrEx>
        <w:trPr>
          <w:trHeight w:val="780" w:hRule="atLeast"/>
          <w:jc w:val="center"/>
        </w:trPr>
        <w:tc>
          <w:tcPr>
            <w:tcW w:w="10187"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53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53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79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19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01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78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0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1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01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7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379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2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城乡社区支出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2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国有土地使用权出让收入及对应专项债务收入安排的支出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2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征地和拆迁补偿支出</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96.85</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1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9915" w:type="dxa"/>
        <w:jc w:val="center"/>
        <w:tblLayout w:type="autofit"/>
        <w:tblCellMar>
          <w:top w:w="0" w:type="dxa"/>
          <w:left w:w="0" w:type="dxa"/>
          <w:bottom w:w="0" w:type="dxa"/>
          <w:right w:w="0" w:type="dxa"/>
        </w:tblCellMar>
      </w:tblPr>
      <w:tblGrid>
        <w:gridCol w:w="1134"/>
        <w:gridCol w:w="65"/>
        <w:gridCol w:w="65"/>
        <w:gridCol w:w="4531"/>
        <w:gridCol w:w="846"/>
        <w:gridCol w:w="1638"/>
        <w:gridCol w:w="1638"/>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无极县东侯坊乡人民政府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rPr>
        <w:t>注：本部门本年度无相关支出情况，按要求空表列示。</w:t>
      </w:r>
      <w:r>
        <w:br w:type="page"/>
      </w:r>
      <w:r>
        <w:rPr>
          <w:rFonts w:hint="eastAsia" w:ascii="宋体" w:hAnsi="宋体" w:cs="宋体"/>
          <w:color w:val="000000"/>
          <w:kern w:val="0"/>
          <w:sz w:val="22"/>
        </w:rPr>
        <w:t>注：本部门本年度无相关支出情况，按要求空表列示。</w:t>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等线 Light">
    <w:altName w:val="华文中宋"/>
    <w:panose1 w:val="00000000000000000000"/>
    <w:charset w:val="86"/>
    <w:family w:val="roman"/>
    <w:pitch w:val="default"/>
    <w:sig w:usb0="00000000" w:usb1="00000000" w:usb2="00000000" w:usb3="00000000" w:csb0="00000000"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 w:name="等线 Light">
    <w:altName w:val="C059"/>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6"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FgAAAGRycy9QSwECFAAUAAAACACHTuJAvuKWjNoAAAAKAQAA&#10;DwAAAAAAAAABACAAAAA4AAAAZHJzL2Rvd25yZXYueG1sUEsBAhQAFAAAAAgAh07iQAK4S6E6AgAA&#10;ZQQAAA4AAAAAAAAAAQAgAAAAPwEAAGRycy9lMm9Eb2MueG1sUEsFBgAAAAAGAAYAWQEAAOs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4"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- 33 -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BgWi3T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- 33 -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AogOKBOQIAAGQE&#10;AAAOAAAAAAAAAAEAIAAAAD4BAABkcnMvZTJvRG9jLnhtbFBLBQYAAAAABgAGAFkBAADp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4"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B43ooY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Hl/7ow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OzG97nXAAAABwEAAA8AAAAAAAAAAQAgAAAAOAAAAGRy&#10;cy9kb3ducmV2LnhtbFBLAQIUABQAAAAIAIdO4kAd6HRW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6" name="矩形 2"/>
                      <wps:cNvSpPr/>
                      <wps:spPr>
                        <a:xfrm>
                          <a:off x="881" y="1538"/>
                          <a:ext cx="11925" cy="146"/>
                        </a:xfrm>
                        <a:prstGeom prst="rect">
                          <a:avLst/>
                        </a:prstGeom>
                        <a:solidFill>
                          <a:srgbClr val="FFD966"/>
                        </a:solidFill>
                        <a:ln w="12700">
                          <a:noFill/>
                        </a:ln>
                      </wps:spPr>
                      <wps:bodyPr anchor="ctr" anchorCtr="0" upright="1"/>
                    </wps:wsp>
                    <wps:wsp>
                      <wps:cNvPr id="17"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4" name="矩形 2"/>
                      <wps:cNvSpPr/>
                      <wps:spPr>
                        <a:xfrm>
                          <a:off x="881" y="1538"/>
                          <a:ext cx="11925" cy="146"/>
                        </a:xfrm>
                        <a:prstGeom prst="rect">
                          <a:avLst/>
                        </a:prstGeom>
                        <a:solidFill>
                          <a:srgbClr val="FFD966"/>
                        </a:solidFill>
                        <a:ln w="12700">
                          <a:noFill/>
                        </a:ln>
                      </wps:spPr>
                      <wps:bodyPr anchor="ctr" anchorCtr="0" upright="1"/>
                    </wps:wsp>
                    <wps:wsp>
                      <wps:cNvPr id="2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7"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4" name="矩形 2"/>
                      <wps:cNvSpPr/>
                      <wps:spPr>
                        <a:xfrm>
                          <a:off x="881" y="1538"/>
                          <a:ext cx="11925" cy="146"/>
                        </a:xfrm>
                        <a:prstGeom prst="rect">
                          <a:avLst/>
                        </a:prstGeom>
                        <a:solidFill>
                          <a:srgbClr val="FFD966"/>
                        </a:solidFill>
                        <a:ln w="12700">
                          <a:noFill/>
                        </a:ln>
                      </wps:spPr>
                      <wps:bodyPr anchor="ctr" anchorCtr="0" upright="1"/>
                    </wps:wsp>
                    <wps:wsp>
                      <wps:cNvPr id="35"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6"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5"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2" name="矩形 2"/>
                      <wps:cNvSpPr/>
                      <wps:spPr>
                        <a:xfrm>
                          <a:off x="881" y="1538"/>
                          <a:ext cx="11925" cy="146"/>
                        </a:xfrm>
                        <a:prstGeom prst="rect">
                          <a:avLst/>
                        </a:prstGeom>
                        <a:solidFill>
                          <a:srgbClr val="FFD966"/>
                        </a:solidFill>
                        <a:ln w="12700">
                          <a:noFill/>
                        </a:ln>
                      </wps:spPr>
                      <wps:bodyPr anchor="ctr" anchorCtr="0" upright="1"/>
                    </wps:wsp>
                    <wps:wsp>
                      <wps:cNvPr id="63"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4"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6"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BUL/Yt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AVC/2L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8"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5" name="矩形 2"/>
                      <wps:cNvSpPr/>
                      <wps:spPr>
                        <a:xfrm>
                          <a:off x="881" y="1538"/>
                          <a:ext cx="11925" cy="146"/>
                        </a:xfrm>
                        <a:prstGeom prst="rect">
                          <a:avLst/>
                        </a:prstGeom>
                        <a:solidFill>
                          <a:srgbClr val="FFD966"/>
                        </a:solidFill>
                        <a:ln w="12700">
                          <a:noFill/>
                        </a:ln>
                      </wps:spPr>
                      <wps:bodyPr anchor="ctr" anchorCtr="0" upright="1"/>
                    </wps:wsp>
                    <wps:wsp>
                      <wps:cNvPr id="56"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7"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59"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0"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7" name="矩形 2"/>
                      <wps:cNvSpPr/>
                      <wps:spPr>
                        <a:xfrm>
                          <a:off x="881" y="1538"/>
                          <a:ext cx="11925" cy="146"/>
                        </a:xfrm>
                        <a:prstGeom prst="rect">
                          <a:avLst/>
                        </a:prstGeom>
                        <a:solidFill>
                          <a:srgbClr val="FFD966"/>
                        </a:solidFill>
                        <a:ln w="12700">
                          <a:noFill/>
                        </a:ln>
                      </wps:spPr>
                      <wps:bodyPr anchor="ctr" anchorCtr="0" upright="1"/>
                    </wps:wsp>
                    <wps:wsp>
                      <wps:cNvPr id="48"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9"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1"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FgAAAGRycy9QSwECFAAUAAAACACHTuJAPCAQPtcAAAAHAQAADwAAAAAAAAABACAAAAA4&#10;AAAAZHJzL2Rvd25yZXYueG1sUEsBAhQAFAAAAAgAh07iQNDGOfFLAwAArQgAAA4AAAAAAAAAAQAg&#10;AAAAPAEAAGRycy9lMm9Eb2MueG1sUEsFBgAAAAAGAAYAWQEAAPkGA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2"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8" name="矩形 2"/>
                      <wps:cNvSpPr/>
                      <wps:spPr>
                        <a:xfrm>
                          <a:off x="881" y="1538"/>
                          <a:ext cx="11925" cy="146"/>
                        </a:xfrm>
                        <a:prstGeom prst="rect">
                          <a:avLst/>
                        </a:prstGeom>
                        <a:solidFill>
                          <a:srgbClr val="FFD966"/>
                        </a:solidFill>
                        <a:ln w="12700">
                          <a:noFill/>
                        </a:ln>
                      </wps:spPr>
                      <wps:bodyPr anchor="ctr" anchorCtr="0" upright="1"/>
                    </wps:wsp>
                    <wps:wsp>
                      <wps:cNvPr id="39"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1" name="任意多边形 4"/>
                      <wps:cNvSpPr/>
                      <wps:spPr>
                        <a:xfrm>
                          <a:off x="10467" y="505"/>
                          <a:ext cx="2345" cy="1108"/>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N5InYDYAAAACAEAAA8AAAAAAAAAAQAgAAAA&#10;OAAAAGRycy9kb3ducmV2LnhtbFBLAQIUABQAAAAIAIdO4kAkXdX3SwMAALAIAAAOAAAAAAAAAAEA&#10;IAAAAD0BAABkcnMvZTJvRG9jLnhtbFBLBQYAAAAABgAGAFkBAAD6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0" name="矩形 2"/>
                      <wps:cNvSpPr/>
                      <wps:spPr>
                        <a:xfrm>
                          <a:off x="881" y="1538"/>
                          <a:ext cx="11925" cy="146"/>
                        </a:xfrm>
                        <a:prstGeom prst="rect">
                          <a:avLst/>
                        </a:prstGeom>
                        <a:solidFill>
                          <a:srgbClr val="FFD966"/>
                        </a:solidFill>
                        <a:ln w="12700">
                          <a:noFill/>
                        </a:ln>
                      </wps:spPr>
                      <wps:bodyPr anchor="ctr" anchorCtr="0" upright="1"/>
                    </wps:wsp>
                    <wps:wsp>
                      <wps:cNvPr id="21" name="任意多边形 3"/>
                      <wps:cNvSpPr/>
                      <wps:spPr>
                        <a:xfrm>
                          <a:off x="10177" y="686"/>
                          <a:ext cx="2619" cy="862"/>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67" y="505"/>
                          <a:ext cx="2385" cy="1107"/>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B1F4C"/>
    <w:rsid w:val="007C06CA"/>
    <w:rsid w:val="008163FB"/>
    <w:rsid w:val="0082605B"/>
    <w:rsid w:val="00855C36"/>
    <w:rsid w:val="00857DBE"/>
    <w:rsid w:val="008701BC"/>
    <w:rsid w:val="00883D92"/>
    <w:rsid w:val="008A5362"/>
    <w:rsid w:val="008F21F1"/>
    <w:rsid w:val="008F221B"/>
    <w:rsid w:val="008F5A2D"/>
    <w:rsid w:val="00921602"/>
    <w:rsid w:val="00957EA1"/>
    <w:rsid w:val="00965EE7"/>
    <w:rsid w:val="00966E5B"/>
    <w:rsid w:val="009B4EF0"/>
    <w:rsid w:val="009D271F"/>
    <w:rsid w:val="00A929C2"/>
    <w:rsid w:val="00AD097F"/>
    <w:rsid w:val="00B844F4"/>
    <w:rsid w:val="00BA06A1"/>
    <w:rsid w:val="00BA770A"/>
    <w:rsid w:val="00C054DE"/>
    <w:rsid w:val="00C679A9"/>
    <w:rsid w:val="00C7541C"/>
    <w:rsid w:val="00CC0FAA"/>
    <w:rsid w:val="00CC37B9"/>
    <w:rsid w:val="00CD0736"/>
    <w:rsid w:val="00D1570F"/>
    <w:rsid w:val="00D32830"/>
    <w:rsid w:val="00D34027"/>
    <w:rsid w:val="00DB7153"/>
    <w:rsid w:val="00DB7F05"/>
    <w:rsid w:val="00DE2332"/>
    <w:rsid w:val="00E028C3"/>
    <w:rsid w:val="00E14F77"/>
    <w:rsid w:val="00E3076B"/>
    <w:rsid w:val="00E36978"/>
    <w:rsid w:val="00E715B7"/>
    <w:rsid w:val="00E82A1E"/>
    <w:rsid w:val="00EA05EC"/>
    <w:rsid w:val="00EC06F4"/>
    <w:rsid w:val="00EE4E36"/>
    <w:rsid w:val="00F665F4"/>
    <w:rsid w:val="00FD225F"/>
    <w:rsid w:val="038404B4"/>
    <w:rsid w:val="05B00A30"/>
    <w:rsid w:val="0B011416"/>
    <w:rsid w:val="0C966A7A"/>
    <w:rsid w:val="0C9C1F3A"/>
    <w:rsid w:val="12705178"/>
    <w:rsid w:val="16D50384"/>
    <w:rsid w:val="1D5309F2"/>
    <w:rsid w:val="20CE32BC"/>
    <w:rsid w:val="31C2036A"/>
    <w:rsid w:val="320D02A5"/>
    <w:rsid w:val="348E566F"/>
    <w:rsid w:val="37455CF9"/>
    <w:rsid w:val="3A226944"/>
    <w:rsid w:val="3AEE6A48"/>
    <w:rsid w:val="3C1620AA"/>
    <w:rsid w:val="3D8F080F"/>
    <w:rsid w:val="44CE1FA4"/>
    <w:rsid w:val="487F73ED"/>
    <w:rsid w:val="4A347EAE"/>
    <w:rsid w:val="4B5921B2"/>
    <w:rsid w:val="52600405"/>
    <w:rsid w:val="529B4319"/>
    <w:rsid w:val="5574419F"/>
    <w:rsid w:val="566060E8"/>
    <w:rsid w:val="57773DD6"/>
    <w:rsid w:val="578B79AB"/>
    <w:rsid w:val="57F91504"/>
    <w:rsid w:val="5CCD3FD5"/>
    <w:rsid w:val="61454F7F"/>
    <w:rsid w:val="61FA5F9D"/>
    <w:rsid w:val="64CD6910"/>
    <w:rsid w:val="6789158D"/>
    <w:rsid w:val="67D81BA4"/>
    <w:rsid w:val="6AAF1C96"/>
    <w:rsid w:val="6CF9097D"/>
    <w:rsid w:val="6D2D3A32"/>
    <w:rsid w:val="6FB3281C"/>
    <w:rsid w:val="75681757"/>
    <w:rsid w:val="75A346A8"/>
    <w:rsid w:val="79B9382C"/>
    <w:rsid w:val="7B043B76"/>
    <w:rsid w:val="7C041A6A"/>
    <w:rsid w:val="7E327570"/>
    <w:rsid w:val="FCFF3FB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3.png"/><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24180;&#20915;&#31639;&#20844;&#24320;\&#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1204.93</c:v>
                </c:pt>
                <c:pt idx="1">
                  <c:v>414.37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1578.81</c:v>
                </c:pt>
                <c:pt idx="1">
                  <c:v>1619.3</c:v>
                </c:pt>
              </c:numCache>
            </c:numRef>
          </c:val>
        </c:ser>
        <c:ser>
          <c:idx val="1"/>
          <c:order val="1"/>
          <c:tx>
            <c:strRef>
              <c:f>'[部门决算公开制图模板（修改版）(1).xlsx]收支与决算对比'!$A$6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1339.79</c:v>
                </c:pt>
                <c:pt idx="1">
                  <c:v>1339.32</c:v>
                </c:pt>
              </c:numCache>
            </c:numRef>
          </c:val>
        </c:ser>
        <c:dLbls>
          <c:showLegendKey val="0"/>
          <c:showVal val="1"/>
          <c:showCatName val="0"/>
          <c:showSerName val="0"/>
          <c:showPercent val="0"/>
          <c:showBubbleSize val="0"/>
        </c:dLbls>
        <c:gapWidth val="75"/>
        <c:axId val="193791488"/>
        <c:axId val="193837312"/>
      </c:barChart>
      <c:catAx>
        <c:axId val="193791488"/>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3837312"/>
        <c:crosses val="autoZero"/>
        <c:auto val="1"/>
        <c:lblAlgn val="ctr"/>
        <c:lblOffset val="100"/>
        <c:noMultiLvlLbl val="0"/>
      </c:catAx>
      <c:valAx>
        <c:axId val="193837312"/>
        <c:scaling>
          <c:orientation val="minMax"/>
        </c:scaling>
        <c:delete val="0"/>
        <c:axPos val="l"/>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3791488"/>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0947222222222223"/>
          <c:y val="0.0288706739526412"/>
          <c:w val="0.869289370078741"/>
          <c:h val="0.76881800286328"/>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996.17</c:v>
                </c:pt>
                <c:pt idx="1">
                  <c:v>996.17</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1578.81</c:v>
                </c:pt>
                <c:pt idx="1">
                  <c:v>1619.3</c:v>
                </c:pt>
              </c:numCache>
            </c:numRef>
          </c:val>
        </c:ser>
        <c:dLbls>
          <c:showLegendKey val="0"/>
          <c:showVal val="1"/>
          <c:showCatName val="0"/>
          <c:showSerName val="0"/>
          <c:showPercent val="0"/>
          <c:showBubbleSize val="0"/>
        </c:dLbls>
        <c:gapWidth val="75"/>
        <c:axId val="217630592"/>
        <c:axId val="217640960"/>
      </c:barChart>
      <c:catAx>
        <c:axId val="2176305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7640960"/>
        <c:crosses val="autoZero"/>
        <c:auto val="1"/>
        <c:lblAlgn val="ctr"/>
        <c:lblOffset val="100"/>
        <c:noMultiLvlLbl val="0"/>
      </c:catAx>
      <c:valAx>
        <c:axId val="21764096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7630592"/>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4782172254567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6"/>
              <c:layout>
                <c:manualLayout>
                  <c:x val="0.139525327050654"/>
                  <c:y val="0.159928920479787"/>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7"/>
              <c:layout>
                <c:manualLayout>
                  <c:x val="0.0535358670717341"/>
                  <c:y val="0"/>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8"/>
              <c:layout>
                <c:manualLayout>
                  <c:x val="0.294599913199826"/>
                  <c:y val="0.00111061750333185"/>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1320.19</c:v>
                </c:pt>
                <c:pt idx="5">
                  <c:v>140.09</c:v>
                </c:pt>
                <c:pt idx="6">
                  <c:v>22.83</c:v>
                </c:pt>
                <c:pt idx="7">
                  <c:v>29.35</c:v>
                </c:pt>
                <c:pt idx="8">
                  <c:v>96.85</c:v>
                </c:pt>
                <c:pt idx="9">
                  <c:v>10</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38</Pages>
  <Words>2159</Words>
  <Characters>12310</Characters>
  <Lines>102</Lines>
  <Paragraphs>28</Paragraphs>
  <TotalTime>39</TotalTime>
  <ScaleCrop>false</ScaleCrop>
  <LinksUpToDate>false</LinksUpToDate>
  <CharactersWithSpaces>14441</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2024-01-02T16:17:10Z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434E01E9775406A886C69365405684F0</vt:lpwstr>
  </property>
</Properties>
</file>