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40" w:lineRule="auto"/>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a:stretch>
                      <a:fillRect/>
                    </a:stretch>
                  </pic:blipFill>
                  <pic:spPr>
                    <a:xfrm>
                      <a:off x="0" y="0"/>
                      <a:ext cx="7576820" cy="10796905"/>
                    </a:xfrm>
                    <a:prstGeom prst="rect">
                      <a:avLst/>
                    </a:prstGeom>
                  </pic:spPr>
                </pic:pic>
              </a:graphicData>
            </a:graphic>
          </wp:anchor>
        </w:drawing>
      </w:r>
    </w:p>
    <w:p>
      <w:pPr>
        <w:widowControl/>
        <w:spacing w:line="240" w:lineRule="auto"/>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无极县高头回族乡</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FgAAAGRycy9QSwECFAAUAAAACACH&#10;TuJAHDPDVNsAAAAMAQAADwAAAAAAAAABACAAAAA4AAAAZHJzL2Rvd25yZXYueG1sUEsBAhQAFAAA&#10;AAgAh07iQNxRKgFIAgAAcwQAAA4AAAAAAAAAAQAgAAAAQAEAAGRycy9lMm9Eb2MueG1sUEsFBgAA&#10;AAAGAAYAWQEAAPo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无极县高头回族乡</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spacing w:line="240" w:lineRule="auto"/>
        <w:jc w:val="center"/>
        <w:rPr>
          <w:rFonts w:asciiTheme="minorEastAsia" w:hAnsiTheme="minorEastAsia" w:eastAsiaTheme="minorEastAsia"/>
          <w:b/>
          <w:sz w:val="72"/>
          <w:szCs w:val="72"/>
        </w:rPr>
      </w:pPr>
    </w:p>
    <w:p>
      <w:pPr>
        <w:widowControl/>
        <w:spacing w:line="240" w:lineRule="auto"/>
        <w:jc w:val="center"/>
        <w:rPr>
          <w:rFonts w:asciiTheme="minorEastAsia" w:hAnsiTheme="minorEastAsia" w:eastAsiaTheme="minorEastAsia"/>
          <w:b/>
          <w:sz w:val="72"/>
          <w:szCs w:val="72"/>
        </w:rPr>
      </w:pPr>
    </w:p>
    <w:p>
      <w:pPr>
        <w:widowControl/>
        <w:spacing w:line="240" w:lineRule="auto"/>
        <w:jc w:val="center"/>
        <w:rPr>
          <w:rFonts w:asciiTheme="minorEastAsia" w:hAnsiTheme="minorEastAsia" w:eastAsiaTheme="minorEastAsia"/>
          <w:b/>
          <w:sz w:val="72"/>
          <w:szCs w:val="72"/>
        </w:rPr>
      </w:pPr>
    </w:p>
    <w:p>
      <w:pPr>
        <w:widowControl/>
        <w:spacing w:line="240" w:lineRule="auto"/>
        <w:jc w:val="center"/>
        <w:rPr>
          <w:rFonts w:asciiTheme="minorEastAsia" w:hAnsiTheme="minorEastAsia" w:eastAsiaTheme="minorEastAsia"/>
          <w:b/>
          <w:sz w:val="72"/>
          <w:szCs w:val="72"/>
        </w:rPr>
      </w:pPr>
    </w:p>
    <w:p>
      <w:pPr>
        <w:widowControl/>
        <w:spacing w:line="240" w:lineRule="auto"/>
        <w:jc w:val="center"/>
        <w:rPr>
          <w:rFonts w:asciiTheme="minorEastAsia" w:hAnsiTheme="minorEastAsia" w:eastAsiaTheme="minorEastAsia"/>
          <w:b/>
          <w:sz w:val="72"/>
          <w:szCs w:val="72"/>
        </w:rPr>
      </w:pPr>
    </w:p>
    <w:p>
      <w:pPr>
        <w:widowControl/>
        <w:spacing w:line="240" w:lineRule="auto"/>
        <w:jc w:val="center"/>
        <w:rPr>
          <w:rFonts w:asciiTheme="minorEastAsia" w:hAnsiTheme="minorEastAsia" w:eastAsiaTheme="minorEastAsia"/>
          <w:b/>
          <w:sz w:val="72"/>
          <w:szCs w:val="72"/>
        </w:rPr>
      </w:pPr>
    </w:p>
    <w:p>
      <w:pPr>
        <w:widowControl/>
        <w:spacing w:line="240" w:lineRule="auto"/>
        <w:jc w:val="center"/>
        <w:rPr>
          <w:rFonts w:asciiTheme="minorEastAsia" w:hAnsiTheme="minorEastAsia" w:eastAsiaTheme="minorEastAsia"/>
          <w:b/>
          <w:sz w:val="72"/>
          <w:szCs w:val="72"/>
        </w:rPr>
      </w:pPr>
    </w:p>
    <w:p>
      <w:pPr>
        <w:widowControl/>
        <w:spacing w:line="240" w:lineRule="auto"/>
        <w:jc w:val="center"/>
        <w:rPr>
          <w:rFonts w:asciiTheme="minorEastAsia" w:hAnsiTheme="minorEastAsia" w:eastAsiaTheme="minorEastAsia"/>
          <w:b/>
          <w:sz w:val="72"/>
          <w:szCs w:val="72"/>
        </w:rPr>
      </w:pPr>
    </w:p>
    <w:p>
      <w:pPr>
        <w:widowControl/>
        <w:spacing w:line="240" w:lineRule="auto"/>
        <w:jc w:val="center"/>
        <w:rPr>
          <w:rFonts w:ascii="楷体" w:hAnsi="楷体" w:eastAsia="楷体" w:cs="楷体"/>
          <w:b/>
          <w:sz w:val="40"/>
          <w:szCs w:val="40"/>
        </w:rPr>
      </w:pPr>
    </w:p>
    <w:p>
      <w:pPr>
        <w:widowControl/>
        <w:spacing w:line="240" w:lineRule="auto"/>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widowControl/>
        <w:spacing w:line="240" w:lineRule="auto"/>
        <w:jc w:val="center"/>
      </w:pPr>
      <w:r>
        <w:rPr>
          <w:rFonts w:ascii="黑体" w:hAnsi="宋体" w:eastAsia="黑体" w:cs="黑体"/>
          <w:color w:val="000000"/>
          <w:kern w:val="0"/>
          <w:sz w:val="48"/>
          <w:szCs w:val="48"/>
          <w:lang w:bidi="ar"/>
        </w:rPr>
        <w:t>目 录</w:t>
      </w:r>
    </w:p>
    <w:p>
      <w:pPr>
        <w:widowControl/>
        <w:spacing w:line="240" w:lineRule="auto"/>
        <w:jc w:val="left"/>
      </w:pPr>
      <w:r>
        <w:rPr>
          <w:rFonts w:hint="eastAsia" w:ascii="黑体" w:hAnsi="宋体" w:eastAsia="黑体" w:cs="黑体"/>
          <w:color w:val="000000"/>
          <w:kern w:val="0"/>
          <w:sz w:val="31"/>
          <w:szCs w:val="31"/>
          <w:lang w:bidi="ar"/>
        </w:rPr>
        <w:t xml:space="preserve">第一部分 部门概况 </w:t>
      </w:r>
    </w:p>
    <w:p>
      <w:pPr>
        <w:widowControl/>
        <w:spacing w:line="240" w:lineRule="auto"/>
        <w:jc w:val="left"/>
      </w:pPr>
      <w:r>
        <w:rPr>
          <w:rFonts w:ascii="仿宋_GB2312" w:hAnsi="宋体" w:eastAsia="仿宋_GB2312" w:cs="仿宋_GB2312"/>
          <w:color w:val="000000"/>
          <w:kern w:val="0"/>
          <w:sz w:val="31"/>
          <w:szCs w:val="31"/>
          <w:lang w:bidi="ar"/>
        </w:rPr>
        <w:t xml:space="preserve">一、部门职责 </w:t>
      </w:r>
    </w:p>
    <w:p>
      <w:pPr>
        <w:widowControl/>
        <w:spacing w:line="240" w:lineRule="auto"/>
        <w:jc w:val="left"/>
      </w:pPr>
      <w:r>
        <w:rPr>
          <w:rFonts w:ascii="仿宋_GB2312" w:hAnsi="宋体" w:eastAsia="仿宋_GB2312" w:cs="仿宋_GB2312"/>
          <w:color w:val="000000"/>
          <w:kern w:val="0"/>
          <w:sz w:val="31"/>
          <w:szCs w:val="31"/>
          <w:lang w:bidi="ar"/>
        </w:rPr>
        <w:t xml:space="preserve">二、机构设置 </w:t>
      </w:r>
    </w:p>
    <w:p>
      <w:pPr>
        <w:widowControl/>
        <w:spacing w:line="240" w:lineRule="auto"/>
        <w:jc w:val="left"/>
      </w:pPr>
      <w:r>
        <w:rPr>
          <w:rFonts w:hint="eastAsia" w:ascii="黑体" w:hAnsi="宋体" w:eastAsia="黑体" w:cs="黑体"/>
          <w:color w:val="000000"/>
          <w:kern w:val="0"/>
          <w:sz w:val="31"/>
          <w:szCs w:val="31"/>
          <w:lang w:bidi="ar"/>
        </w:rPr>
        <w:t xml:space="preserve">第二部分 </w:t>
      </w:r>
      <w:bookmarkStart w:id="0" w:name="_GoBack"/>
      <w:r>
        <w:rPr>
          <w:color w:val="000000"/>
          <w:kern w:val="0"/>
          <w:sz w:val="31"/>
          <w:szCs w:val="31"/>
          <w:lang w:bidi="ar"/>
        </w:rPr>
        <w:t>2</w:t>
      </w:r>
      <w:bookmarkEnd w:id="0"/>
      <w:r>
        <w:rPr>
          <w:color w:val="000000"/>
          <w:kern w:val="0"/>
          <w:sz w:val="31"/>
          <w:szCs w:val="31"/>
          <w:lang w:bidi="ar"/>
        </w:rPr>
        <w:t xml:space="preserve">018 </w:t>
      </w:r>
      <w:r>
        <w:rPr>
          <w:rFonts w:hint="eastAsia" w:ascii="黑体" w:hAnsi="宋体" w:eastAsia="黑体" w:cs="黑体"/>
          <w:color w:val="000000"/>
          <w:kern w:val="0"/>
          <w:sz w:val="31"/>
          <w:szCs w:val="31"/>
          <w:lang w:bidi="ar"/>
        </w:rPr>
        <w:t xml:space="preserve">年度部门决算报表 </w:t>
      </w:r>
    </w:p>
    <w:p>
      <w:pPr>
        <w:widowControl/>
        <w:spacing w:line="240" w:lineRule="auto"/>
        <w:jc w:val="left"/>
      </w:pPr>
      <w:r>
        <w:rPr>
          <w:rFonts w:ascii="仿宋_GB2312" w:hAnsi="宋体" w:eastAsia="仿宋_GB2312" w:cs="仿宋_GB2312"/>
          <w:color w:val="000000"/>
          <w:kern w:val="0"/>
          <w:sz w:val="31"/>
          <w:szCs w:val="31"/>
          <w:lang w:bidi="ar"/>
        </w:rPr>
        <w:t xml:space="preserve">一、收入支出决算总表 </w:t>
      </w:r>
    </w:p>
    <w:p>
      <w:pPr>
        <w:widowControl/>
        <w:spacing w:line="240" w:lineRule="auto"/>
        <w:jc w:val="left"/>
      </w:pPr>
      <w:r>
        <w:rPr>
          <w:rFonts w:ascii="仿宋_GB2312" w:hAnsi="宋体" w:eastAsia="仿宋_GB2312" w:cs="仿宋_GB2312"/>
          <w:color w:val="000000"/>
          <w:kern w:val="0"/>
          <w:sz w:val="31"/>
          <w:szCs w:val="31"/>
          <w:lang w:bidi="ar"/>
        </w:rPr>
        <w:t xml:space="preserve">二、收入决算表 </w:t>
      </w:r>
    </w:p>
    <w:p>
      <w:pPr>
        <w:widowControl/>
        <w:spacing w:line="240" w:lineRule="auto"/>
        <w:jc w:val="left"/>
      </w:pPr>
      <w:r>
        <w:rPr>
          <w:rFonts w:ascii="仿宋_GB2312" w:hAnsi="宋体" w:eastAsia="仿宋_GB2312" w:cs="仿宋_GB2312"/>
          <w:color w:val="000000"/>
          <w:kern w:val="0"/>
          <w:sz w:val="31"/>
          <w:szCs w:val="31"/>
          <w:lang w:bidi="ar"/>
        </w:rPr>
        <w:t xml:space="preserve">三、支出决算表 </w:t>
      </w:r>
    </w:p>
    <w:p>
      <w:pPr>
        <w:widowControl/>
        <w:spacing w:line="240" w:lineRule="auto"/>
        <w:jc w:val="left"/>
      </w:pPr>
      <w:r>
        <w:rPr>
          <w:rFonts w:ascii="仿宋_GB2312" w:hAnsi="宋体" w:eastAsia="仿宋_GB2312" w:cs="仿宋_GB2312"/>
          <w:color w:val="000000"/>
          <w:kern w:val="0"/>
          <w:sz w:val="31"/>
          <w:szCs w:val="31"/>
          <w:lang w:bidi="ar"/>
        </w:rPr>
        <w:t xml:space="preserve">四、财政拨款收入支出决算总表 </w:t>
      </w:r>
    </w:p>
    <w:p>
      <w:pPr>
        <w:widowControl/>
        <w:spacing w:line="240" w:lineRule="auto"/>
        <w:jc w:val="left"/>
      </w:pPr>
      <w:r>
        <w:rPr>
          <w:rFonts w:ascii="仿宋_GB2312" w:hAnsi="宋体" w:eastAsia="仿宋_GB2312" w:cs="仿宋_GB2312"/>
          <w:color w:val="000000"/>
          <w:kern w:val="0"/>
          <w:sz w:val="31"/>
          <w:szCs w:val="31"/>
          <w:lang w:bidi="ar"/>
        </w:rPr>
        <w:t xml:space="preserve">五、一般公共预算财政拨款支出决算表 </w:t>
      </w:r>
    </w:p>
    <w:p>
      <w:pPr>
        <w:widowControl/>
        <w:spacing w:line="240" w:lineRule="auto"/>
        <w:jc w:val="left"/>
      </w:pPr>
      <w:r>
        <w:rPr>
          <w:rFonts w:ascii="仿宋_GB2312" w:hAnsi="宋体" w:eastAsia="仿宋_GB2312" w:cs="仿宋_GB2312"/>
          <w:color w:val="000000"/>
          <w:kern w:val="0"/>
          <w:sz w:val="31"/>
          <w:szCs w:val="31"/>
          <w:lang w:bidi="ar"/>
        </w:rPr>
        <w:t xml:space="preserve">六、一般公共预算财政拨款基本支出决算表 </w:t>
      </w:r>
    </w:p>
    <w:p>
      <w:pPr>
        <w:widowControl/>
        <w:spacing w:line="240" w:lineRule="auto"/>
        <w:jc w:val="left"/>
      </w:pPr>
      <w:r>
        <w:rPr>
          <w:rFonts w:ascii="仿宋_GB2312" w:hAnsi="宋体" w:eastAsia="仿宋_GB2312" w:cs="仿宋_GB2312"/>
          <w:color w:val="000000"/>
          <w:kern w:val="0"/>
          <w:sz w:val="31"/>
          <w:szCs w:val="31"/>
          <w:lang w:bidi="ar"/>
        </w:rPr>
        <w:t>七、一般公共预算财政拨款</w:t>
      </w:r>
      <w:r>
        <w:rPr>
          <w:color w:val="000000"/>
          <w:kern w:val="0"/>
          <w:sz w:val="31"/>
          <w:szCs w:val="31"/>
          <w:lang w:bidi="ar"/>
        </w:rPr>
        <w:t>“</w:t>
      </w:r>
      <w:r>
        <w:rPr>
          <w:rFonts w:ascii="仿宋_GB2312" w:hAnsi="宋体" w:eastAsia="仿宋_GB2312" w:cs="仿宋_GB2312"/>
          <w:color w:val="000000"/>
          <w:kern w:val="0"/>
          <w:sz w:val="31"/>
          <w:szCs w:val="31"/>
          <w:lang w:bidi="ar"/>
        </w:rPr>
        <w:t>三公</w:t>
      </w:r>
      <w:r>
        <w:rPr>
          <w:color w:val="000000"/>
          <w:kern w:val="0"/>
          <w:sz w:val="31"/>
          <w:szCs w:val="31"/>
          <w:lang w:bidi="ar"/>
        </w:rPr>
        <w:t>”</w:t>
      </w:r>
      <w:r>
        <w:rPr>
          <w:rFonts w:ascii="仿宋_GB2312" w:hAnsi="宋体" w:eastAsia="仿宋_GB2312" w:cs="仿宋_GB2312"/>
          <w:color w:val="000000"/>
          <w:kern w:val="0"/>
          <w:sz w:val="31"/>
          <w:szCs w:val="31"/>
          <w:lang w:bidi="ar"/>
        </w:rPr>
        <w:t xml:space="preserve">经费支出决算表 </w:t>
      </w:r>
    </w:p>
    <w:p>
      <w:pPr>
        <w:widowControl/>
        <w:spacing w:line="240" w:lineRule="auto"/>
        <w:jc w:val="left"/>
      </w:pPr>
      <w:r>
        <w:rPr>
          <w:rFonts w:ascii="仿宋_GB2312" w:hAnsi="宋体" w:eastAsia="仿宋_GB2312" w:cs="仿宋_GB2312"/>
          <w:color w:val="000000"/>
          <w:kern w:val="0"/>
          <w:sz w:val="31"/>
          <w:szCs w:val="31"/>
          <w:lang w:bidi="ar"/>
        </w:rPr>
        <w:t xml:space="preserve">八、政府性基金预算财政拨款收入支出决算表 </w:t>
      </w:r>
    </w:p>
    <w:p>
      <w:pPr>
        <w:widowControl/>
        <w:spacing w:line="240" w:lineRule="auto"/>
        <w:jc w:val="left"/>
      </w:pPr>
      <w:r>
        <w:rPr>
          <w:rFonts w:ascii="仿宋_GB2312" w:hAnsi="宋体" w:eastAsia="仿宋_GB2312" w:cs="仿宋_GB2312"/>
          <w:color w:val="000000"/>
          <w:kern w:val="0"/>
          <w:sz w:val="31"/>
          <w:szCs w:val="31"/>
          <w:lang w:bidi="ar"/>
        </w:rPr>
        <w:t xml:space="preserve">九、国有资本经营预算财政拨款支出决算表 </w:t>
      </w:r>
    </w:p>
    <w:p>
      <w:pPr>
        <w:widowControl/>
        <w:spacing w:line="240" w:lineRule="auto"/>
        <w:jc w:val="left"/>
      </w:pPr>
      <w:r>
        <w:rPr>
          <w:rFonts w:ascii="仿宋_GB2312" w:hAnsi="宋体" w:eastAsia="仿宋_GB2312" w:cs="仿宋_GB2312"/>
          <w:color w:val="000000"/>
          <w:kern w:val="0"/>
          <w:sz w:val="31"/>
          <w:szCs w:val="31"/>
          <w:lang w:bidi="ar"/>
        </w:rPr>
        <w:t>十、政府采购情况表</w:t>
      </w:r>
    </w:p>
    <w:p>
      <w:pPr>
        <w:widowControl/>
        <w:spacing w:line="240" w:lineRule="auto"/>
        <w:jc w:val="left"/>
        <w:rPr>
          <w:rFonts w:ascii="黑体" w:hAnsi="宋体" w:eastAsia="黑体" w:cs="黑体"/>
          <w:color w:val="000000"/>
          <w:kern w:val="0"/>
          <w:sz w:val="31"/>
          <w:szCs w:val="31"/>
          <w:lang w:bidi="ar"/>
        </w:rPr>
      </w:pPr>
    </w:p>
    <w:p>
      <w:pPr>
        <w:widowControl/>
        <w:spacing w:line="240" w:lineRule="auto"/>
        <w:jc w:val="left"/>
      </w:pPr>
      <w:r>
        <w:rPr>
          <w:rFonts w:ascii="黑体" w:hAnsi="宋体" w:eastAsia="黑体" w:cs="黑体"/>
          <w:color w:val="000000"/>
          <w:kern w:val="0"/>
          <w:sz w:val="31"/>
          <w:szCs w:val="31"/>
          <w:lang w:bidi="ar"/>
        </w:rPr>
        <w:t>第三部分 无极县</w:t>
      </w:r>
      <w:r>
        <w:rPr>
          <w:rFonts w:hint="eastAsia" w:ascii="黑体" w:hAnsi="宋体" w:eastAsia="黑体" w:cs="黑体"/>
          <w:color w:val="000000"/>
          <w:kern w:val="0"/>
          <w:sz w:val="31"/>
          <w:szCs w:val="31"/>
          <w:lang w:bidi="ar"/>
        </w:rPr>
        <w:t>高头回族乡</w:t>
      </w:r>
      <w:r>
        <w:rPr>
          <w:color w:val="000000"/>
          <w:kern w:val="0"/>
          <w:sz w:val="31"/>
          <w:szCs w:val="31"/>
          <w:lang w:bidi="ar"/>
        </w:rPr>
        <w:t xml:space="preserve">2018 </w:t>
      </w:r>
      <w:r>
        <w:rPr>
          <w:rFonts w:hint="eastAsia" w:ascii="黑体" w:hAnsi="宋体" w:eastAsia="黑体" w:cs="黑体"/>
          <w:color w:val="000000"/>
          <w:kern w:val="0"/>
          <w:sz w:val="31"/>
          <w:szCs w:val="31"/>
          <w:lang w:bidi="ar"/>
        </w:rPr>
        <w:t xml:space="preserve">年部门决算情况说明 </w:t>
      </w:r>
    </w:p>
    <w:p>
      <w:pPr>
        <w:widowControl/>
        <w:spacing w:line="240" w:lineRule="auto"/>
        <w:jc w:val="left"/>
      </w:pPr>
      <w:r>
        <w:rPr>
          <w:rFonts w:ascii="仿宋_GB2312" w:hAnsi="宋体" w:eastAsia="仿宋_GB2312" w:cs="仿宋_GB2312"/>
          <w:color w:val="000000"/>
          <w:kern w:val="0"/>
          <w:sz w:val="31"/>
          <w:szCs w:val="31"/>
          <w:lang w:bidi="ar"/>
        </w:rPr>
        <w:t xml:space="preserve">一、收入支出决算总体情况说明 </w:t>
      </w:r>
    </w:p>
    <w:p>
      <w:pPr>
        <w:widowControl/>
        <w:spacing w:line="240" w:lineRule="auto"/>
        <w:jc w:val="left"/>
      </w:pPr>
      <w:r>
        <w:rPr>
          <w:rFonts w:ascii="仿宋_GB2312" w:hAnsi="宋体" w:eastAsia="仿宋_GB2312" w:cs="仿宋_GB2312"/>
          <w:color w:val="000000"/>
          <w:kern w:val="0"/>
          <w:sz w:val="31"/>
          <w:szCs w:val="31"/>
          <w:lang w:bidi="ar"/>
        </w:rPr>
        <w:t xml:space="preserve">二、收入决算情况说明 </w:t>
      </w:r>
    </w:p>
    <w:p>
      <w:pPr>
        <w:widowControl/>
        <w:spacing w:line="240" w:lineRule="auto"/>
        <w:jc w:val="left"/>
      </w:pPr>
      <w:r>
        <w:rPr>
          <w:rFonts w:ascii="仿宋_GB2312" w:hAnsi="宋体" w:eastAsia="仿宋_GB2312" w:cs="仿宋_GB2312"/>
          <w:color w:val="000000"/>
          <w:kern w:val="0"/>
          <w:sz w:val="31"/>
          <w:szCs w:val="31"/>
          <w:lang w:bidi="ar"/>
        </w:rPr>
        <w:t xml:space="preserve">三、支出决算情况说明 </w:t>
      </w:r>
    </w:p>
    <w:p>
      <w:pPr>
        <w:widowControl/>
        <w:spacing w:line="240" w:lineRule="auto"/>
        <w:jc w:val="left"/>
      </w:pPr>
      <w:r>
        <w:rPr>
          <w:rFonts w:ascii="仿宋_GB2312" w:hAnsi="宋体" w:eastAsia="仿宋_GB2312" w:cs="仿宋_GB2312"/>
          <w:color w:val="000000"/>
          <w:kern w:val="0"/>
          <w:sz w:val="31"/>
          <w:szCs w:val="31"/>
          <w:lang w:bidi="ar"/>
        </w:rPr>
        <w:t xml:space="preserve">四、财政拨款收入支出决算情况说明 </w:t>
      </w:r>
    </w:p>
    <w:p>
      <w:pPr>
        <w:widowControl/>
        <w:spacing w:line="240" w:lineRule="auto"/>
        <w:jc w:val="left"/>
      </w:pPr>
      <w:r>
        <w:rPr>
          <w:rFonts w:ascii="仿宋_GB2312" w:hAnsi="宋体" w:eastAsia="仿宋_GB2312" w:cs="仿宋_GB2312"/>
          <w:color w:val="000000"/>
          <w:kern w:val="0"/>
          <w:sz w:val="31"/>
          <w:szCs w:val="31"/>
          <w:lang w:bidi="ar"/>
        </w:rPr>
        <w:t>五、一般公共预算财政拨款</w:t>
      </w:r>
      <w:r>
        <w:rPr>
          <w:color w:val="000000"/>
          <w:kern w:val="0"/>
          <w:sz w:val="31"/>
          <w:szCs w:val="31"/>
          <w:lang w:bidi="ar"/>
        </w:rPr>
        <w:t>“</w:t>
      </w:r>
      <w:r>
        <w:rPr>
          <w:rFonts w:ascii="仿宋_GB2312" w:hAnsi="宋体" w:eastAsia="仿宋_GB2312" w:cs="仿宋_GB2312"/>
          <w:color w:val="000000"/>
          <w:kern w:val="0"/>
          <w:sz w:val="31"/>
          <w:szCs w:val="31"/>
          <w:lang w:bidi="ar"/>
        </w:rPr>
        <w:t>三公</w:t>
      </w:r>
      <w:r>
        <w:rPr>
          <w:color w:val="000000"/>
          <w:kern w:val="0"/>
          <w:sz w:val="31"/>
          <w:szCs w:val="31"/>
          <w:lang w:bidi="ar"/>
        </w:rPr>
        <w:t>”</w:t>
      </w:r>
      <w:r>
        <w:rPr>
          <w:rFonts w:ascii="仿宋_GB2312" w:hAnsi="宋体" w:eastAsia="仿宋_GB2312" w:cs="仿宋_GB2312"/>
          <w:color w:val="000000"/>
          <w:kern w:val="0"/>
          <w:sz w:val="31"/>
          <w:szCs w:val="31"/>
          <w:lang w:bidi="ar"/>
        </w:rPr>
        <w:t xml:space="preserve">经费支出决算情况说明 </w:t>
      </w:r>
    </w:p>
    <w:p>
      <w:pPr>
        <w:widowControl/>
        <w:spacing w:line="240" w:lineRule="auto"/>
        <w:jc w:val="left"/>
      </w:pPr>
      <w:r>
        <w:rPr>
          <w:rFonts w:ascii="仿宋_GB2312" w:hAnsi="宋体" w:eastAsia="仿宋_GB2312" w:cs="仿宋_GB2312"/>
          <w:color w:val="000000"/>
          <w:kern w:val="0"/>
          <w:sz w:val="31"/>
          <w:szCs w:val="31"/>
          <w:lang w:bidi="ar"/>
        </w:rPr>
        <w:t xml:space="preserve">六、预算绩效情况说明 </w:t>
      </w:r>
    </w:p>
    <w:p>
      <w:pPr>
        <w:widowControl/>
        <w:spacing w:line="240" w:lineRule="auto"/>
        <w:jc w:val="left"/>
      </w:pPr>
      <w:r>
        <w:rPr>
          <w:rFonts w:ascii="仿宋_GB2312" w:hAnsi="宋体" w:eastAsia="仿宋_GB2312" w:cs="仿宋_GB2312"/>
          <w:color w:val="000000"/>
          <w:kern w:val="0"/>
          <w:sz w:val="31"/>
          <w:szCs w:val="31"/>
          <w:lang w:bidi="ar"/>
        </w:rPr>
        <w:t xml:space="preserve">七、其他重要事项的说明 </w:t>
      </w:r>
    </w:p>
    <w:p>
      <w:pPr>
        <w:widowControl/>
        <w:spacing w:line="240" w:lineRule="auto"/>
        <w:jc w:val="left"/>
      </w:pPr>
      <w:r>
        <w:rPr>
          <w:rFonts w:hint="eastAsia" w:ascii="黑体" w:hAnsi="宋体" w:eastAsia="黑体" w:cs="黑体"/>
          <w:color w:val="000000"/>
          <w:kern w:val="0"/>
          <w:sz w:val="31"/>
          <w:szCs w:val="31"/>
          <w:lang w:bidi="ar"/>
        </w:rPr>
        <w:t>第四部分 名词解释</w:t>
      </w:r>
    </w:p>
    <w:p>
      <w:pPr>
        <w:spacing w:before="624" w:beforeLines="200" w:after="0" w:line="240" w:lineRule="auto"/>
        <w:jc w:val="center"/>
        <w:rPr>
          <w:rFonts w:ascii="黑体" w:eastAsia="黑体"/>
          <w:sz w:val="48"/>
          <w:szCs w:val="48"/>
        </w:rPr>
      </w:pPr>
    </w:p>
    <w:p>
      <w:pPr>
        <w:spacing w:before="624" w:beforeLines="200" w:after="0" w:line="240" w:lineRule="auto"/>
        <w:jc w:val="center"/>
        <w:rPr>
          <w:rFonts w:ascii="黑体" w:eastAsia="黑体"/>
          <w:sz w:val="48"/>
          <w:szCs w:val="48"/>
        </w:rPr>
      </w:pPr>
    </w:p>
    <w:p>
      <w:pPr>
        <w:spacing w:before="624" w:beforeLines="200" w:after="0" w:line="240" w:lineRule="auto"/>
        <w:rPr>
          <w:rFonts w:ascii="黑体" w:eastAsia="黑体"/>
          <w:sz w:val="48"/>
          <w:szCs w:val="48"/>
        </w:rPr>
      </w:pPr>
    </w:p>
    <w:p>
      <w:pPr>
        <w:spacing w:before="624" w:beforeLines="200" w:after="0" w:line="240" w:lineRule="auto"/>
        <w:jc w:val="center"/>
        <w:rPr>
          <w:rFonts w:ascii="黑体" w:eastAsia="黑体"/>
          <w:sz w:val="48"/>
          <w:szCs w:val="48"/>
        </w:rPr>
      </w:pPr>
    </w:p>
    <w:p>
      <w:pPr>
        <w:spacing w:before="624" w:beforeLines="200" w:after="0" w:line="240" w:lineRule="auto"/>
        <w:jc w:val="center"/>
        <w:rPr>
          <w:rFonts w:ascii="黑体" w:eastAsia="黑体"/>
          <w:sz w:val="48"/>
          <w:szCs w:val="48"/>
        </w:rPr>
      </w:pPr>
    </w:p>
    <w:p>
      <w:pPr>
        <w:spacing w:line="240" w:lineRule="auto"/>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0528;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MmkRm5A&#10;AgAAaw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MXDBGIoNkmxX/UbZCuq7gDM0zAdwcnzFskv&#10;RIhXwmMcgAULEy9x1JqQhDYSZw35b//SJ390CVbOOoxXycPXtfCKM/3Bon9H44ODNI/5cjCd7ePi&#10;n1pWTy12bU4JEzzGajqZxeQf9VasPZkv2KtlygqTsBK5Sx634mkchh57KdVymZ0wgU7EC3vtZAo9&#10;0LlcR6rbzHSiaeBmwx5mMDdgsy9pyJ/es9fjP2Lx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BYAAABkcnMvUEsBAhQAFAAAAAgAh07iQKiK&#10;w6neAAAADQEAAA8AAAAAAAAAAQAgAAAAOAAAAGRycy9kb3ducmV2LnhtbFBLAQIUABQAAAAIAIdO&#10;4kDJpEZuQAIAAGsEAAAOAAAAAAAAAAEAIAAAAEMBAABkcnMvZTJvRG9jLnhtbFBLBQYAAAAABgAG&#10;AFkBAAD1BQ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pStyle w:val="2"/>
        <w:spacing w:before="0" w:after="0" w:line="240" w:lineRule="auto"/>
        <w:jc w:val="left"/>
        <w:rPr>
          <w:rFonts w:ascii="仿宋" w:hAnsi="仿宋" w:eastAsia="仿宋" w:cs="仿宋"/>
          <w:b w:val="0"/>
          <w:bCs w:val="0"/>
          <w:kern w:val="0"/>
        </w:rPr>
      </w:pPr>
    </w:p>
    <w:p>
      <w:pPr>
        <w:pStyle w:val="2"/>
        <w:spacing w:before="0" w:after="0" w:line="240" w:lineRule="auto"/>
        <w:jc w:val="left"/>
        <w:rPr>
          <w:rFonts w:ascii="仿宋" w:hAnsi="仿宋" w:eastAsia="仿宋" w:cs="仿宋"/>
          <w:b w:val="0"/>
          <w:bCs w:val="0"/>
          <w:kern w:val="0"/>
        </w:rPr>
      </w:pPr>
    </w:p>
    <w:p/>
    <w:p>
      <w:pPr>
        <w:pStyle w:val="2"/>
        <w:spacing w:before="0" w:after="0" w:line="240" w:lineRule="auto"/>
        <w:jc w:val="left"/>
        <w:rPr>
          <w:rFonts w:ascii="黑体" w:eastAsia="黑体" w:cs="黑体" w:hAnsiTheme="minorHAnsi"/>
          <w:b w:val="0"/>
          <w:bCs w:val="0"/>
          <w:kern w:val="0"/>
          <w:sz w:val="32"/>
          <w:szCs w:val="32"/>
        </w:rPr>
      </w:pPr>
    </w:p>
    <w:p/>
    <w:p>
      <w:pPr>
        <w:pStyle w:val="2"/>
        <w:spacing w:before="0" w:after="0" w:line="240" w:lineRule="auto"/>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spacing w:line="24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1党政事务管理</w:t>
      </w:r>
    </w:p>
    <w:p>
      <w:pPr>
        <w:spacing w:line="24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完成党委、人大、纪检、组织、宣传、环保、计生、民政、工会、共青团、妇联等工作，协调各办公室的工作关系；完成社会主义新农村的规划和建设工作；完成政府日常事务和机关后勤工作，完成党委政府交办的其他事项。</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部门职责2环保工作管理</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积极配合县委县政府的环境保护和污染治理工作，我们乡会以更加理智的思维、高度负责的态度、决战决胜的勇气、扎实有力的举措，全面打好环境保护的防卫战，争取早日还老百姓一个绿水蓝天的好环境。</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部门职责3社会事务管理</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负责民政工作，发展社会福利事业，做好民族宗教及残联工作，办理征兵事项，负责村民自治的选举工作，负责协调文化、教育、卫生等工作。</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部门职责4社会治安综合治理事务</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完成开展社会主义民主与法制教育；加强社会治安综合治理；做好司法、宗教工作，打击邪教；做好群众来信来访工作；调解民事纠纷、维护社会稳定。</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部门职责5城镇规划建设事务</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配合县委有关部门，完成编制镇建设规划，基础设施，公用设施的建设与管理及农村面貌改造</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部门职责6劳动保障服务事务</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完成劳动法宣传、劳动就业、社会保障、安全生产监督管理工作。</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部门职责7文化卫生服务站事务</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群众文化卫生、娱乐、体育活动、完成新型农村合作医疗，广播电视村村通等工作。</w:t>
      </w:r>
    </w:p>
    <w:p>
      <w:pPr>
        <w:spacing w:line="24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部门职责8社区服务中心事务</w:t>
      </w:r>
    </w:p>
    <w:p>
      <w:pPr>
        <w:spacing w:line="240" w:lineRule="auto"/>
        <w:rPr>
          <w:rFonts w:ascii="黑体" w:eastAsia="黑体" w:cs="黑体" w:hAnsiTheme="minorHAnsi"/>
          <w:kern w:val="0"/>
          <w:sz w:val="32"/>
          <w:szCs w:val="32"/>
        </w:rPr>
      </w:pPr>
      <w:r>
        <w:rPr>
          <w:rFonts w:hint="eastAsia" w:ascii="仿宋_GB2312" w:hAnsi="仿宋_GB2312" w:eastAsia="仿宋_GB2312" w:cs="仿宋_GB2312"/>
          <w:sz w:val="32"/>
          <w:szCs w:val="32"/>
        </w:rPr>
        <w:t>　　　推进和谐社区的建设，健全服务网络，满足社区居民的物质、文化需求。</w:t>
      </w:r>
    </w:p>
    <w:p>
      <w:pPr>
        <w:pStyle w:val="2"/>
        <w:spacing w:before="0" w:after="0" w:line="240" w:lineRule="auto"/>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240" w:lineRule="auto"/>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p>
      <w:pPr>
        <w:spacing w:after="0" w:line="240" w:lineRule="auto"/>
        <w:rPr>
          <w:rFonts w:ascii="仿宋_GB2312" w:eastAsia="仿宋_GB2312" w:cs="ArialUnicodeMS" w:hAnsiTheme="minorHAnsi"/>
          <w:kern w:val="0"/>
          <w:sz w:val="32"/>
          <w:szCs w:val="32"/>
        </w:rPr>
      </w:pPr>
    </w:p>
    <w:tbl>
      <w:tblPr>
        <w:tblStyle w:val="14"/>
        <w:tblpPr w:leftFromText="180" w:rightFromText="180" w:vertAnchor="text" w:horzAnchor="page" w:tblpXSpec="center" w:tblpY="398"/>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无极县高头回族</w:t>
            </w:r>
          </w:p>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乡人民政府</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bl>
    <w:p>
      <w:pPr>
        <w:widowControl/>
        <w:spacing w:line="240" w:lineRule="auto"/>
        <w:jc w:val="center"/>
        <w:rPr>
          <w:rFonts w:ascii="黑体" w:eastAsia="黑体" w:cs="MS-UIGothic,Bold" w:hAnsiTheme="minorHAnsi"/>
          <w:bCs/>
          <w:kern w:val="0"/>
          <w:sz w:val="52"/>
          <w:szCs w:val="52"/>
        </w:rPr>
      </w:pPr>
    </w:p>
    <w:p>
      <w:pPr>
        <w:widowControl/>
        <w:spacing w:line="240" w:lineRule="auto"/>
        <w:jc w:val="center"/>
        <w:rPr>
          <w:rFonts w:ascii="黑体" w:eastAsia="黑体" w:cs="MS-UIGothic,Bold" w:hAnsiTheme="minorHAnsi"/>
          <w:bCs/>
          <w:kern w:val="0"/>
          <w:sz w:val="52"/>
          <w:szCs w:val="52"/>
        </w:rPr>
      </w:pPr>
    </w:p>
    <w:p>
      <w:pPr>
        <w:widowControl/>
        <w:spacing w:line="240" w:lineRule="auto"/>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240" w:lineRule="auto"/>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8"/>
                    <a:stretch>
                      <a:fillRect/>
                    </a:stretch>
                  </pic:blipFill>
                  <pic:spPr>
                    <a:xfrm>
                      <a:off x="0" y="0"/>
                      <a:ext cx="7571105" cy="10680065"/>
                    </a:xfrm>
                    <a:prstGeom prst="rect">
                      <a:avLst/>
                    </a:prstGeom>
                  </pic:spPr>
                </pic:pic>
              </a:graphicData>
            </a:graphic>
          </wp:anchor>
        </w:drawing>
      </w:r>
    </w:p>
    <w:p>
      <w:pPr>
        <w:widowControl/>
        <w:spacing w:line="240" w:lineRule="auto"/>
        <w:jc w:val="center"/>
        <w:rPr>
          <w:rFonts w:ascii="黑体" w:eastAsia="黑体" w:cs="MS-UIGothic,Bold" w:hAnsiTheme="minorHAnsi"/>
          <w:bCs/>
          <w:kern w:val="0"/>
          <w:sz w:val="52"/>
          <w:szCs w:val="52"/>
        </w:rPr>
      </w:pPr>
    </w:p>
    <w:p>
      <w:pPr>
        <w:spacing w:line="240" w:lineRule="auto"/>
        <w:rPr>
          <w:rFonts w:ascii="宋体" w:hAnsi="宋体" w:cs="ArialUnicodeMS"/>
          <w:color w:val="000000"/>
          <w:kern w:val="0"/>
        </w:rPr>
      </w:pPr>
    </w:p>
    <w:p>
      <w:pPr>
        <w:spacing w:line="240" w:lineRule="auto"/>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2336;mso-width-relative:page;mso-height-relative:page;" filled="f" stroked="f" coordsize="21600,21600" o:gfxdata="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WAAAAZHJzL1BLAQIUABQAAAAIAIdO4kBOaz3Q3AAA&#10;AA0BAAAPAAAAAAAAAAEAIAAAADgAAABkcnMvZG93bnJldi54bWxQSwECFAAUAAAACACHTuJABlGX&#10;4D0CAABpBAAADgAAAAAAAAABACAAAABBAQAAZHJzL2Uyb0RvYy54bWxQSwUGAAAAAAYABgBZAQAA&#10;8A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3"/>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703.62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center"/>
              <w:textAlignment w:val="center"/>
              <w:rPr>
                <w:rFonts w:ascii="宋体" w:hAnsi="宋体" w:cs="宋体"/>
                <w:color w:val="000000"/>
                <w:sz w:val="20"/>
                <w:szCs w:val="20"/>
              </w:rPr>
            </w:pPr>
            <w:r>
              <w:rPr>
                <w:rFonts w:hint="eastAsia" w:ascii="宋体" w:hAnsi="宋体" w:cs="宋体"/>
                <w:color w:val="000000"/>
                <w:kern w:val="0"/>
                <w:sz w:val="22"/>
                <w:szCs w:val="22"/>
                <w:lang w:bidi="ar"/>
              </w:rPr>
              <w:t>680.77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03"/>
              </w:tabs>
              <w:spacing w:after="0" w:line="240" w:lineRule="auto"/>
              <w:jc w:val="center"/>
              <w:rPr>
                <w:rFonts w:ascii="宋体" w:hAnsi="宋体" w:cs="宋体"/>
                <w:color w:val="000000"/>
                <w:sz w:val="20"/>
                <w:szCs w:val="20"/>
              </w:rPr>
            </w:pPr>
            <w:r>
              <w:rPr>
                <w:rFonts w:hint="eastAsia" w:ascii="宋体" w:hAnsi="宋体" w:cs="宋体"/>
                <w:color w:val="000000"/>
                <w:sz w:val="20"/>
                <w:szCs w:val="20"/>
              </w:rPr>
              <w:t>11.18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r>
              <w:rPr>
                <w:rFonts w:hint="eastAsia" w:ascii="宋体" w:hAnsi="宋体" w:cs="宋体"/>
                <w:color w:val="000000"/>
                <w:sz w:val="20"/>
                <w:szCs w:val="20"/>
              </w:rPr>
              <w:t>12.77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r>
              <w:rPr>
                <w:rFonts w:hint="eastAsia" w:ascii="宋体" w:hAnsi="宋体" w:cs="宋体"/>
                <w:color w:val="000000"/>
                <w:sz w:val="20"/>
                <w:szCs w:val="20"/>
              </w:rPr>
              <w:t>5.34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56"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70"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83"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98"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18"/>
                <w:szCs w:val="18"/>
              </w:rPr>
            </w:pPr>
            <w:r>
              <w:rPr>
                <w:rFonts w:hint="eastAsia" w:ascii="宋体" w:hAnsi="宋体" w:cs="宋体"/>
                <w:color w:val="000000"/>
                <w:sz w:val="18"/>
                <w:szCs w:val="18"/>
              </w:rPr>
              <w:t>703.62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r>
              <w:rPr>
                <w:rFonts w:hint="eastAsia" w:ascii="宋体" w:hAnsi="宋体" w:cs="宋体"/>
                <w:color w:val="000000"/>
                <w:sz w:val="20"/>
                <w:szCs w:val="20"/>
              </w:rPr>
              <w:t>710.07</w:t>
            </w:r>
          </w:p>
        </w:tc>
      </w:tr>
      <w:tr>
        <w:tblPrEx>
          <w:tblCellMar>
            <w:top w:w="0" w:type="dxa"/>
            <w:left w:w="0" w:type="dxa"/>
            <w:bottom w:w="0" w:type="dxa"/>
            <w:right w:w="0" w:type="dxa"/>
          </w:tblCellMar>
        </w:tblPrEx>
        <w:trPr>
          <w:trHeight w:val="34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163"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6.45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710.07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0"/>
                <w:szCs w:val="20"/>
              </w:rPr>
            </w:pPr>
            <w:r>
              <w:rPr>
                <w:rFonts w:hint="eastAsia" w:ascii="宋体" w:hAnsi="宋体" w:cs="宋体"/>
                <w:color w:val="000000"/>
                <w:sz w:val="20"/>
                <w:szCs w:val="20"/>
              </w:rPr>
              <w:t>710.07</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pPr>
        <w:widowControl/>
        <w:spacing w:after="0" w:line="240" w:lineRule="auto"/>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815" w:type="dxa"/>
        <w:jc w:val="center"/>
        <w:tblLayout w:type="fixed"/>
        <w:tblCellMar>
          <w:top w:w="0" w:type="dxa"/>
          <w:left w:w="0" w:type="dxa"/>
          <w:bottom w:w="0" w:type="dxa"/>
          <w:right w:w="0" w:type="dxa"/>
        </w:tblCellMar>
      </w:tblPr>
      <w:tblGrid>
        <w:gridCol w:w="335"/>
        <w:gridCol w:w="179"/>
        <w:gridCol w:w="327"/>
        <w:gridCol w:w="2044"/>
        <w:gridCol w:w="260"/>
        <w:gridCol w:w="665"/>
        <w:gridCol w:w="90"/>
        <w:gridCol w:w="60"/>
        <w:gridCol w:w="200"/>
        <w:gridCol w:w="460"/>
        <w:gridCol w:w="156"/>
        <w:gridCol w:w="199"/>
        <w:gridCol w:w="407"/>
        <w:gridCol w:w="409"/>
        <w:gridCol w:w="274"/>
        <w:gridCol w:w="541"/>
        <w:gridCol w:w="454"/>
        <w:gridCol w:w="90"/>
        <w:gridCol w:w="271"/>
        <w:gridCol w:w="102"/>
        <w:gridCol w:w="832"/>
        <w:gridCol w:w="445"/>
        <w:gridCol w:w="744"/>
        <w:gridCol w:w="271"/>
      </w:tblGrid>
      <w:tr>
        <w:tblPrEx>
          <w:tblCellMar>
            <w:top w:w="0" w:type="dxa"/>
            <w:left w:w="0" w:type="dxa"/>
            <w:bottom w:w="0" w:type="dxa"/>
            <w:right w:w="0" w:type="dxa"/>
          </w:tblCellMar>
        </w:tblPrEx>
        <w:trPr>
          <w:gridAfter w:val="2"/>
          <w:wAfter w:w="1015" w:type="dxa"/>
          <w:trHeight w:val="770" w:hRule="atLeast"/>
          <w:jc w:val="center"/>
        </w:trPr>
        <w:tc>
          <w:tcPr>
            <w:tcW w:w="8800" w:type="dxa"/>
            <w:gridSpan w:val="22"/>
            <w:tcBorders>
              <w:top w:val="nil"/>
              <w:left w:val="nil"/>
              <w:bottom w:val="nil"/>
              <w:right w:val="nil"/>
            </w:tcBorders>
            <w:shd w:val="clear" w:color="auto" w:fill="auto"/>
            <w:noWrap/>
            <w:tcMar>
              <w:top w:w="15" w:type="dxa"/>
              <w:left w:w="15" w:type="dxa"/>
              <w:right w:w="15" w:type="dxa"/>
            </w:tcMar>
            <w:vAlign w:val="bottom"/>
          </w:tcPr>
          <w:p>
            <w:pPr>
              <w:widowControl/>
              <w:spacing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32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2969"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26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2394"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tblPrEx>
          <w:tblCellMar>
            <w:top w:w="0" w:type="dxa"/>
            <w:left w:w="0" w:type="dxa"/>
            <w:bottom w:w="0" w:type="dxa"/>
            <w:right w:w="0" w:type="dxa"/>
          </w:tblCellMar>
        </w:tblPrEx>
        <w:trPr>
          <w:gridAfter w:val="1"/>
          <w:wAfter w:w="271" w:type="dxa"/>
          <w:trHeight w:val="362" w:hRule="atLeast"/>
          <w:jc w:val="center"/>
        </w:trPr>
        <w:tc>
          <w:tcPr>
            <w:tcW w:w="2885"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81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2284" w:type="dxa"/>
            <w:gridSpan w:val="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2394"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gridAfter w:val="2"/>
          <w:wAfter w:w="1015" w:type="dxa"/>
          <w:trHeight w:val="325" w:hRule="atLeast"/>
          <w:jc w:val="center"/>
        </w:trPr>
        <w:tc>
          <w:tcPr>
            <w:tcW w:w="3810" w:type="dxa"/>
            <w:gridSpan w:val="6"/>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810" w:type="dxa"/>
            <w:gridSpan w:val="4"/>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762" w:type="dxa"/>
            <w:gridSpan w:val="3"/>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683"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95"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463" w:type="dxa"/>
            <w:gridSpan w:val="3"/>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832"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445" w:type="dxa"/>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tblPrEx>
          <w:tblCellMar>
            <w:top w:w="0" w:type="dxa"/>
            <w:left w:w="0" w:type="dxa"/>
            <w:bottom w:w="0" w:type="dxa"/>
            <w:right w:w="0" w:type="dxa"/>
          </w:tblCellMar>
        </w:tblPrEx>
        <w:trPr>
          <w:gridAfter w:val="2"/>
          <w:wAfter w:w="1015" w:type="dxa"/>
          <w:trHeight w:val="626" w:hRule="atLeast"/>
          <w:jc w:val="center"/>
        </w:trPr>
        <w:tc>
          <w:tcPr>
            <w:tcW w:w="84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2969" w:type="dxa"/>
            <w:gridSpan w:val="3"/>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810" w:type="dxa"/>
            <w:gridSpan w:val="4"/>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c>
          <w:tcPr>
            <w:tcW w:w="762"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p>
        </w:tc>
        <w:tc>
          <w:tcPr>
            <w:tcW w:w="683"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p>
        </w:tc>
        <w:tc>
          <w:tcPr>
            <w:tcW w:w="995"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p>
        </w:tc>
        <w:tc>
          <w:tcPr>
            <w:tcW w:w="463"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p>
        </w:tc>
        <w:tc>
          <w:tcPr>
            <w:tcW w:w="832"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p>
        </w:tc>
        <w:tc>
          <w:tcPr>
            <w:tcW w:w="445" w:type="dxa"/>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lang w:bidi="ar"/>
              </w:rPr>
            </w:pPr>
          </w:p>
        </w:tc>
      </w:tr>
      <w:tr>
        <w:tblPrEx>
          <w:tblCellMar>
            <w:top w:w="0" w:type="dxa"/>
            <w:left w:w="0" w:type="dxa"/>
            <w:bottom w:w="0" w:type="dxa"/>
            <w:right w:w="0" w:type="dxa"/>
          </w:tblCellMar>
        </w:tblPrEx>
        <w:trPr>
          <w:gridAfter w:val="2"/>
          <w:wAfter w:w="1015" w:type="dxa"/>
          <w:trHeight w:val="391" w:hRule="atLeast"/>
          <w:jc w:val="center"/>
        </w:trPr>
        <w:tc>
          <w:tcPr>
            <w:tcW w:w="3810"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kern w:val="0"/>
                <w:szCs w:val="21"/>
                <w:lang w:bidi="ar"/>
              </w:rPr>
              <w:t>栏次</w:t>
            </w:r>
          </w:p>
        </w:tc>
        <w:tc>
          <w:tcPr>
            <w:tcW w:w="8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kern w:val="0"/>
                <w:szCs w:val="21"/>
                <w:lang w:bidi="ar"/>
              </w:rPr>
              <w:t>1</w:t>
            </w:r>
          </w:p>
        </w:tc>
        <w:tc>
          <w:tcPr>
            <w:tcW w:w="76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kern w:val="0"/>
                <w:szCs w:val="21"/>
                <w:lang w:bidi="ar"/>
              </w:rPr>
              <w:t>2</w:t>
            </w:r>
          </w:p>
        </w:tc>
        <w:tc>
          <w:tcPr>
            <w:tcW w:w="6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46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4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CellMar>
            <w:top w:w="0" w:type="dxa"/>
            <w:left w:w="0" w:type="dxa"/>
            <w:bottom w:w="0" w:type="dxa"/>
            <w:right w:w="0" w:type="dxa"/>
          </w:tblCellMar>
        </w:tblPrEx>
        <w:trPr>
          <w:gridAfter w:val="2"/>
          <w:wAfter w:w="1015" w:type="dxa"/>
          <w:trHeight w:val="90" w:hRule="atLeast"/>
          <w:jc w:val="center"/>
        </w:trPr>
        <w:tc>
          <w:tcPr>
            <w:tcW w:w="3810"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kern w:val="0"/>
                <w:szCs w:val="21"/>
                <w:lang w:bidi="ar"/>
              </w:rPr>
              <w:t>合计</w:t>
            </w:r>
          </w:p>
        </w:tc>
        <w:tc>
          <w:tcPr>
            <w:tcW w:w="810" w:type="dxa"/>
            <w:gridSpan w:val="4"/>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Theme="majorEastAsia" w:hAnsiTheme="majorEastAsia" w:eastAsiaTheme="majorEastAsia" w:cstheme="majorEastAsia"/>
                <w:bCs/>
                <w:color w:val="000000"/>
                <w:szCs w:val="21"/>
              </w:rPr>
            </w:pPr>
            <w:r>
              <w:rPr>
                <w:rFonts w:hint="eastAsia" w:asciiTheme="majorEastAsia" w:hAnsiTheme="majorEastAsia" w:eastAsiaTheme="majorEastAsia" w:cstheme="majorEastAsia"/>
                <w:bCs/>
                <w:color w:val="000000"/>
                <w:kern w:val="0"/>
                <w:szCs w:val="21"/>
                <w:lang w:bidi="ar"/>
              </w:rPr>
              <w:t>703.62</w:t>
            </w:r>
          </w:p>
        </w:tc>
        <w:tc>
          <w:tcPr>
            <w:tcW w:w="762"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Theme="majorEastAsia" w:hAnsiTheme="majorEastAsia" w:eastAsiaTheme="majorEastAsia" w:cstheme="majorEastAsia"/>
                <w:bCs/>
                <w:color w:val="000000"/>
                <w:szCs w:val="21"/>
              </w:rPr>
            </w:pPr>
            <w:r>
              <w:rPr>
                <w:rFonts w:hint="eastAsia" w:asciiTheme="majorEastAsia" w:hAnsiTheme="majorEastAsia" w:eastAsiaTheme="majorEastAsia" w:cstheme="majorEastAsia"/>
                <w:bCs/>
                <w:color w:val="000000"/>
                <w:kern w:val="0"/>
                <w:szCs w:val="21"/>
                <w:lang w:bidi="ar"/>
              </w:rPr>
              <w:t>703.62</w:t>
            </w:r>
          </w:p>
        </w:tc>
        <w:tc>
          <w:tcPr>
            <w:tcW w:w="68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仿宋_GB2312" w:hAnsi="仿宋_GB2312" w:eastAsia="仿宋_GB2312" w:cs="仿宋_GB2312"/>
                <w:b/>
                <w:color w:val="000000"/>
                <w:sz w:val="24"/>
              </w:rPr>
            </w:pPr>
          </w:p>
        </w:tc>
        <w:tc>
          <w:tcPr>
            <w:tcW w:w="99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b/>
                <w:color w:val="000000"/>
                <w:sz w:val="18"/>
                <w:szCs w:val="18"/>
              </w:rPr>
            </w:pPr>
          </w:p>
        </w:tc>
        <w:tc>
          <w:tcPr>
            <w:tcW w:w="463"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b/>
                <w:color w:val="000000"/>
                <w:sz w:val="18"/>
                <w:szCs w:val="18"/>
              </w:rPr>
            </w:pPr>
          </w:p>
        </w:tc>
        <w:tc>
          <w:tcPr>
            <w:tcW w:w="832"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b/>
                <w:color w:val="000000"/>
                <w:sz w:val="18"/>
                <w:szCs w:val="18"/>
              </w:rPr>
            </w:pPr>
          </w:p>
        </w:tc>
        <w:tc>
          <w:tcPr>
            <w:tcW w:w="44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b/>
                <w:color w:val="000000"/>
                <w:sz w:val="18"/>
                <w:szCs w:val="18"/>
              </w:rPr>
            </w:pPr>
          </w:p>
        </w:tc>
      </w:tr>
      <w:tr>
        <w:tblPrEx>
          <w:tblCellMar>
            <w:top w:w="0" w:type="dxa"/>
            <w:left w:w="0" w:type="dxa"/>
            <w:bottom w:w="0" w:type="dxa"/>
            <w:right w:w="0" w:type="dxa"/>
          </w:tblCellMar>
        </w:tblPrEx>
        <w:trPr>
          <w:gridAfter w:val="2"/>
          <w:wAfter w:w="1015" w:type="dxa"/>
          <w:trHeight w:val="371" w:hRule="atLeast"/>
          <w:jc w:val="center"/>
        </w:trPr>
        <w:tc>
          <w:tcPr>
            <w:tcW w:w="84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201</w:t>
            </w:r>
          </w:p>
        </w:tc>
        <w:tc>
          <w:tcPr>
            <w:tcW w:w="296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一般公共服务支出</w:t>
            </w:r>
          </w:p>
        </w:tc>
        <w:tc>
          <w:tcPr>
            <w:tcW w:w="81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674.33</w:t>
            </w:r>
          </w:p>
        </w:tc>
        <w:tc>
          <w:tcPr>
            <w:tcW w:w="7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674.33</w:t>
            </w:r>
          </w:p>
        </w:tc>
        <w:tc>
          <w:tcPr>
            <w:tcW w:w="6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371" w:hRule="atLeast"/>
          <w:jc w:val="center"/>
        </w:trPr>
        <w:tc>
          <w:tcPr>
            <w:tcW w:w="84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20103</w:t>
            </w:r>
          </w:p>
        </w:tc>
        <w:tc>
          <w:tcPr>
            <w:tcW w:w="296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政府办公厅（室）及相关机构事务</w:t>
            </w:r>
          </w:p>
        </w:tc>
        <w:tc>
          <w:tcPr>
            <w:tcW w:w="81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638.33</w:t>
            </w:r>
          </w:p>
        </w:tc>
        <w:tc>
          <w:tcPr>
            <w:tcW w:w="7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638.33</w:t>
            </w:r>
          </w:p>
        </w:tc>
        <w:tc>
          <w:tcPr>
            <w:tcW w:w="6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371" w:hRule="atLeast"/>
          <w:jc w:val="center"/>
        </w:trPr>
        <w:tc>
          <w:tcPr>
            <w:tcW w:w="84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2010301</w:t>
            </w:r>
          </w:p>
        </w:tc>
        <w:tc>
          <w:tcPr>
            <w:tcW w:w="296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 xml:space="preserve">  行政运行</w:t>
            </w:r>
          </w:p>
        </w:tc>
        <w:tc>
          <w:tcPr>
            <w:tcW w:w="81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638.33</w:t>
            </w:r>
          </w:p>
        </w:tc>
        <w:tc>
          <w:tcPr>
            <w:tcW w:w="7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638.33</w:t>
            </w:r>
          </w:p>
        </w:tc>
        <w:tc>
          <w:tcPr>
            <w:tcW w:w="6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371" w:hRule="atLeast"/>
          <w:jc w:val="center"/>
        </w:trPr>
        <w:tc>
          <w:tcPr>
            <w:tcW w:w="84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20123</w:t>
            </w:r>
          </w:p>
        </w:tc>
        <w:tc>
          <w:tcPr>
            <w:tcW w:w="296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民族事务</w:t>
            </w:r>
          </w:p>
        </w:tc>
        <w:tc>
          <w:tcPr>
            <w:tcW w:w="81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36.00</w:t>
            </w:r>
          </w:p>
        </w:tc>
        <w:tc>
          <w:tcPr>
            <w:tcW w:w="7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36.00</w:t>
            </w:r>
          </w:p>
        </w:tc>
        <w:tc>
          <w:tcPr>
            <w:tcW w:w="6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371" w:hRule="atLeast"/>
          <w:jc w:val="center"/>
        </w:trPr>
        <w:tc>
          <w:tcPr>
            <w:tcW w:w="84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2012301</w:t>
            </w:r>
          </w:p>
        </w:tc>
        <w:tc>
          <w:tcPr>
            <w:tcW w:w="296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 xml:space="preserve">  行政运行</w:t>
            </w:r>
          </w:p>
        </w:tc>
        <w:tc>
          <w:tcPr>
            <w:tcW w:w="81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30.00</w:t>
            </w:r>
          </w:p>
        </w:tc>
        <w:tc>
          <w:tcPr>
            <w:tcW w:w="7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30.00</w:t>
            </w:r>
          </w:p>
        </w:tc>
        <w:tc>
          <w:tcPr>
            <w:tcW w:w="6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371" w:hRule="atLeast"/>
          <w:jc w:val="center"/>
        </w:trPr>
        <w:tc>
          <w:tcPr>
            <w:tcW w:w="84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2012304</w:t>
            </w:r>
          </w:p>
        </w:tc>
        <w:tc>
          <w:tcPr>
            <w:tcW w:w="296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 xml:space="preserve">  民族工作专项</w:t>
            </w:r>
          </w:p>
        </w:tc>
        <w:tc>
          <w:tcPr>
            <w:tcW w:w="81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6.00</w:t>
            </w:r>
          </w:p>
        </w:tc>
        <w:tc>
          <w:tcPr>
            <w:tcW w:w="7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6.00</w:t>
            </w:r>
          </w:p>
        </w:tc>
        <w:tc>
          <w:tcPr>
            <w:tcW w:w="6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371" w:hRule="atLeast"/>
          <w:jc w:val="center"/>
        </w:trPr>
        <w:tc>
          <w:tcPr>
            <w:tcW w:w="84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208</w:t>
            </w:r>
          </w:p>
        </w:tc>
        <w:tc>
          <w:tcPr>
            <w:tcW w:w="296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社会保障和就业支出</w:t>
            </w:r>
          </w:p>
        </w:tc>
        <w:tc>
          <w:tcPr>
            <w:tcW w:w="81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11.18</w:t>
            </w:r>
          </w:p>
        </w:tc>
        <w:tc>
          <w:tcPr>
            <w:tcW w:w="7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11.18</w:t>
            </w:r>
          </w:p>
        </w:tc>
        <w:tc>
          <w:tcPr>
            <w:tcW w:w="6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371" w:hRule="atLeast"/>
          <w:jc w:val="center"/>
        </w:trPr>
        <w:tc>
          <w:tcPr>
            <w:tcW w:w="84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20899</w:t>
            </w:r>
          </w:p>
        </w:tc>
        <w:tc>
          <w:tcPr>
            <w:tcW w:w="296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其他社会保障和就业支出</w:t>
            </w:r>
          </w:p>
        </w:tc>
        <w:tc>
          <w:tcPr>
            <w:tcW w:w="81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11.18</w:t>
            </w:r>
          </w:p>
        </w:tc>
        <w:tc>
          <w:tcPr>
            <w:tcW w:w="7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11.18</w:t>
            </w:r>
          </w:p>
        </w:tc>
        <w:tc>
          <w:tcPr>
            <w:tcW w:w="6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207" w:hRule="atLeast"/>
          <w:jc w:val="center"/>
        </w:trPr>
        <w:tc>
          <w:tcPr>
            <w:tcW w:w="841"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2089901</w:t>
            </w:r>
          </w:p>
        </w:tc>
        <w:tc>
          <w:tcPr>
            <w:tcW w:w="2969"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 xml:space="preserve">  其他社会保障和就业支出</w:t>
            </w:r>
          </w:p>
        </w:tc>
        <w:tc>
          <w:tcPr>
            <w:tcW w:w="810" w:type="dxa"/>
            <w:gridSpan w:val="4"/>
            <w:tcBorders>
              <w:top w:val="nil"/>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11.18</w:t>
            </w:r>
          </w:p>
        </w:tc>
        <w:tc>
          <w:tcPr>
            <w:tcW w:w="762"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11.18</w:t>
            </w:r>
          </w:p>
        </w:tc>
        <w:tc>
          <w:tcPr>
            <w:tcW w:w="683"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245" w:hRule="atLeast"/>
          <w:jc w:val="center"/>
        </w:trPr>
        <w:tc>
          <w:tcPr>
            <w:tcW w:w="841"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211</w:t>
            </w:r>
          </w:p>
        </w:tc>
        <w:tc>
          <w:tcPr>
            <w:tcW w:w="2969"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节能环保支出</w:t>
            </w:r>
          </w:p>
        </w:tc>
        <w:tc>
          <w:tcPr>
            <w:tcW w:w="810" w:type="dxa"/>
            <w:gridSpan w:val="4"/>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12.77</w:t>
            </w:r>
          </w:p>
        </w:tc>
        <w:tc>
          <w:tcPr>
            <w:tcW w:w="762"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12.77</w:t>
            </w:r>
          </w:p>
        </w:tc>
        <w:tc>
          <w:tcPr>
            <w:tcW w:w="683"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92" w:hRule="atLeast"/>
          <w:jc w:val="center"/>
        </w:trPr>
        <w:tc>
          <w:tcPr>
            <w:tcW w:w="841"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21103</w:t>
            </w:r>
          </w:p>
        </w:tc>
        <w:tc>
          <w:tcPr>
            <w:tcW w:w="2969"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污染防治</w:t>
            </w:r>
          </w:p>
        </w:tc>
        <w:tc>
          <w:tcPr>
            <w:tcW w:w="810" w:type="dxa"/>
            <w:gridSpan w:val="4"/>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12.77</w:t>
            </w:r>
          </w:p>
        </w:tc>
        <w:tc>
          <w:tcPr>
            <w:tcW w:w="762"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12.77</w:t>
            </w:r>
          </w:p>
        </w:tc>
        <w:tc>
          <w:tcPr>
            <w:tcW w:w="683"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201" w:hRule="atLeast"/>
          <w:jc w:val="center"/>
        </w:trPr>
        <w:tc>
          <w:tcPr>
            <w:tcW w:w="841"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2110301</w:t>
            </w:r>
          </w:p>
        </w:tc>
        <w:tc>
          <w:tcPr>
            <w:tcW w:w="2969"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 xml:space="preserve">  大气</w:t>
            </w:r>
          </w:p>
        </w:tc>
        <w:tc>
          <w:tcPr>
            <w:tcW w:w="810" w:type="dxa"/>
            <w:gridSpan w:val="4"/>
            <w:tcBorders>
              <w:top w:val="nil"/>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12.77</w:t>
            </w:r>
          </w:p>
        </w:tc>
        <w:tc>
          <w:tcPr>
            <w:tcW w:w="762"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12.77</w:t>
            </w:r>
          </w:p>
        </w:tc>
        <w:tc>
          <w:tcPr>
            <w:tcW w:w="683"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136" w:hRule="atLeast"/>
          <w:jc w:val="center"/>
        </w:trPr>
        <w:tc>
          <w:tcPr>
            <w:tcW w:w="841"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212</w:t>
            </w:r>
          </w:p>
        </w:tc>
        <w:tc>
          <w:tcPr>
            <w:tcW w:w="2969"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城乡社区支出</w:t>
            </w:r>
          </w:p>
        </w:tc>
        <w:tc>
          <w:tcPr>
            <w:tcW w:w="810" w:type="dxa"/>
            <w:gridSpan w:val="4"/>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5.34</w:t>
            </w:r>
          </w:p>
        </w:tc>
        <w:tc>
          <w:tcPr>
            <w:tcW w:w="762"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5.34</w:t>
            </w:r>
          </w:p>
        </w:tc>
        <w:tc>
          <w:tcPr>
            <w:tcW w:w="683"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106" w:hRule="atLeast"/>
          <w:jc w:val="center"/>
        </w:trPr>
        <w:tc>
          <w:tcPr>
            <w:tcW w:w="841"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21208</w:t>
            </w:r>
          </w:p>
        </w:tc>
        <w:tc>
          <w:tcPr>
            <w:tcW w:w="2969"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国有土地使用权出让收入及对应专项债务收入安排的支出</w:t>
            </w:r>
          </w:p>
        </w:tc>
        <w:tc>
          <w:tcPr>
            <w:tcW w:w="810" w:type="dxa"/>
            <w:gridSpan w:val="4"/>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5.34</w:t>
            </w:r>
          </w:p>
        </w:tc>
        <w:tc>
          <w:tcPr>
            <w:tcW w:w="762"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5.34</w:t>
            </w:r>
          </w:p>
        </w:tc>
        <w:tc>
          <w:tcPr>
            <w:tcW w:w="683"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165" w:hRule="atLeast"/>
          <w:jc w:val="center"/>
        </w:trPr>
        <w:tc>
          <w:tcPr>
            <w:tcW w:w="841"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2120809</w:t>
            </w:r>
          </w:p>
        </w:tc>
        <w:tc>
          <w:tcPr>
            <w:tcW w:w="2969"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lef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 xml:space="preserve">  支付破产或改制企业职工安置费</w:t>
            </w:r>
          </w:p>
        </w:tc>
        <w:tc>
          <w:tcPr>
            <w:tcW w:w="810" w:type="dxa"/>
            <w:gridSpan w:val="4"/>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5.34</w:t>
            </w:r>
          </w:p>
        </w:tc>
        <w:tc>
          <w:tcPr>
            <w:tcW w:w="762"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szCs w:val="21"/>
              </w:rPr>
              <w:t>5.34</w:t>
            </w:r>
          </w:p>
        </w:tc>
        <w:tc>
          <w:tcPr>
            <w:tcW w:w="683"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995"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tcPr>
          <w:p>
            <w:pPr>
              <w:spacing w:line="240" w:lineRule="auto"/>
              <w:jc w:val="right"/>
              <w:rPr>
                <w:rFonts w:ascii="宋体" w:hAnsi="宋体" w:cs="宋体"/>
                <w:color w:val="000000"/>
                <w:szCs w:val="21"/>
              </w:rPr>
            </w:pPr>
          </w:p>
        </w:tc>
        <w:tc>
          <w:tcPr>
            <w:tcW w:w="463"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32"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45"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2"/>
          <w:wAfter w:w="1015" w:type="dxa"/>
          <w:trHeight w:val="481" w:hRule="atLeast"/>
          <w:jc w:val="center"/>
        </w:trPr>
        <w:tc>
          <w:tcPr>
            <w:tcW w:w="8800" w:type="dxa"/>
            <w:gridSpan w:val="2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pPr>
        <w:widowControl/>
        <w:spacing w:after="0" w:line="240" w:lineRule="auto"/>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10379" w:type="dxa"/>
        <w:tblInd w:w="0" w:type="dxa"/>
        <w:tblLayout w:type="fixed"/>
        <w:tblCellMar>
          <w:top w:w="0" w:type="dxa"/>
          <w:left w:w="0" w:type="dxa"/>
          <w:bottom w:w="0" w:type="dxa"/>
          <w:right w:w="0" w:type="dxa"/>
        </w:tblCellMar>
      </w:tblPr>
      <w:tblGrid>
        <w:gridCol w:w="289"/>
        <w:gridCol w:w="289"/>
        <w:gridCol w:w="297"/>
        <w:gridCol w:w="2270"/>
        <w:gridCol w:w="1118"/>
        <w:gridCol w:w="171"/>
        <w:gridCol w:w="90"/>
        <w:gridCol w:w="674"/>
        <w:gridCol w:w="185"/>
        <w:gridCol w:w="259"/>
        <w:gridCol w:w="401"/>
        <w:gridCol w:w="458"/>
        <w:gridCol w:w="251"/>
        <w:gridCol w:w="10"/>
        <w:gridCol w:w="658"/>
        <w:gridCol w:w="460"/>
        <w:gridCol w:w="35"/>
        <w:gridCol w:w="1085"/>
        <w:gridCol w:w="1379"/>
      </w:tblGrid>
      <w:tr>
        <w:tblPrEx>
          <w:tblCellMar>
            <w:top w:w="0" w:type="dxa"/>
            <w:left w:w="0" w:type="dxa"/>
            <w:bottom w:w="0" w:type="dxa"/>
            <w:right w:w="0" w:type="dxa"/>
          </w:tblCellMar>
        </w:tblPrEx>
        <w:trPr>
          <w:gridAfter w:val="1"/>
          <w:wAfter w:w="1379" w:type="dxa"/>
          <w:trHeight w:val="798" w:hRule="atLeast"/>
        </w:trPr>
        <w:tc>
          <w:tcPr>
            <w:tcW w:w="9000" w:type="dxa"/>
            <w:gridSpan w:val="18"/>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29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3559"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1120"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137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tblPrEx>
          <w:tblCellMar>
            <w:top w:w="0" w:type="dxa"/>
            <w:left w:w="0" w:type="dxa"/>
            <w:bottom w:w="0" w:type="dxa"/>
            <w:right w:w="0" w:type="dxa"/>
          </w:tblCellMar>
        </w:tblPrEx>
        <w:trPr>
          <w:gridAfter w:val="1"/>
          <w:wAfter w:w="1379" w:type="dxa"/>
          <w:trHeight w:val="380" w:hRule="atLeast"/>
        </w:trPr>
        <w:tc>
          <w:tcPr>
            <w:tcW w:w="3146"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11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1120"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2498" w:type="dxa"/>
            <w:gridSpan w:val="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gridAfter w:val="1"/>
          <w:wAfter w:w="1379" w:type="dxa"/>
          <w:trHeight w:val="837" w:hRule="atLeast"/>
        </w:trPr>
        <w:tc>
          <w:tcPr>
            <w:tcW w:w="443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64"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845" w:type="dxa"/>
            <w:gridSpan w:val="3"/>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709"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668"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495"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tblPrEx>
          <w:tblCellMar>
            <w:top w:w="0" w:type="dxa"/>
            <w:left w:w="0" w:type="dxa"/>
            <w:bottom w:w="0" w:type="dxa"/>
            <w:right w:w="0" w:type="dxa"/>
          </w:tblCellMar>
        </w:tblPrEx>
        <w:trPr>
          <w:gridAfter w:val="1"/>
          <w:wAfter w:w="1379" w:type="dxa"/>
          <w:trHeight w:val="782" w:hRule="atLeast"/>
        </w:trPr>
        <w:tc>
          <w:tcPr>
            <w:tcW w:w="87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35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6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845" w:type="dxa"/>
            <w:gridSpan w:val="3"/>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709"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668"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495"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084"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395" w:hRule="atLeast"/>
        </w:trPr>
        <w:tc>
          <w:tcPr>
            <w:tcW w:w="443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76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6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49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gridAfter w:val="1"/>
          <w:wAfter w:w="1379" w:type="dxa"/>
          <w:trHeight w:val="440" w:hRule="atLeast"/>
        </w:trPr>
        <w:tc>
          <w:tcPr>
            <w:tcW w:w="443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7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b/>
                <w:color w:val="000000"/>
                <w:szCs w:val="21"/>
              </w:rPr>
            </w:pPr>
            <w:r>
              <w:rPr>
                <w:rFonts w:hint="eastAsia" w:ascii="宋体" w:hAnsi="宋体" w:cs="宋体"/>
                <w:b/>
                <w:color w:val="000000"/>
                <w:kern w:val="0"/>
                <w:sz w:val="22"/>
                <w:szCs w:val="22"/>
                <w:lang w:bidi="ar"/>
              </w:rPr>
              <w:t>710.07</w:t>
            </w:r>
          </w:p>
        </w:tc>
        <w:tc>
          <w:tcPr>
            <w:tcW w:w="8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b/>
                <w:color w:val="000000"/>
                <w:szCs w:val="21"/>
              </w:rPr>
            </w:pPr>
            <w:r>
              <w:rPr>
                <w:rFonts w:hint="eastAsia" w:ascii="宋体" w:hAnsi="宋体" w:cs="宋体"/>
                <w:b/>
                <w:color w:val="000000"/>
                <w:kern w:val="0"/>
                <w:sz w:val="22"/>
                <w:szCs w:val="22"/>
                <w:lang w:bidi="ar"/>
              </w:rPr>
              <w:t>483.13</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b/>
                <w:color w:val="000000"/>
                <w:szCs w:val="21"/>
              </w:rPr>
            </w:pPr>
            <w:r>
              <w:rPr>
                <w:rFonts w:hint="eastAsia" w:ascii="宋体" w:hAnsi="宋体" w:cs="宋体"/>
                <w:b/>
                <w:color w:val="000000"/>
                <w:kern w:val="0"/>
                <w:sz w:val="22"/>
                <w:szCs w:val="22"/>
                <w:lang w:bidi="ar"/>
              </w:rPr>
              <w:t>226.94</w:t>
            </w:r>
          </w:p>
        </w:tc>
        <w:tc>
          <w:tcPr>
            <w:tcW w:w="6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b/>
                <w:color w:val="000000"/>
                <w:szCs w:val="21"/>
              </w:rPr>
            </w:pPr>
          </w:p>
        </w:tc>
        <w:tc>
          <w:tcPr>
            <w:tcW w:w="4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gridAfter w:val="1"/>
          <w:wAfter w:w="1379" w:type="dxa"/>
          <w:trHeight w:val="260" w:hRule="atLeast"/>
        </w:trPr>
        <w:tc>
          <w:tcPr>
            <w:tcW w:w="876"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w:t>
            </w:r>
          </w:p>
        </w:tc>
        <w:tc>
          <w:tcPr>
            <w:tcW w:w="3559"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一般公共服务支出</w:t>
            </w:r>
          </w:p>
        </w:tc>
        <w:tc>
          <w:tcPr>
            <w:tcW w:w="764"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680.77</w:t>
            </w:r>
          </w:p>
        </w:tc>
        <w:tc>
          <w:tcPr>
            <w:tcW w:w="845"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466.61</w:t>
            </w:r>
          </w:p>
        </w:tc>
        <w:tc>
          <w:tcPr>
            <w:tcW w:w="709"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214.16</w:t>
            </w:r>
          </w:p>
        </w:tc>
        <w:tc>
          <w:tcPr>
            <w:tcW w:w="668"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233" w:hRule="atLeast"/>
        </w:trPr>
        <w:tc>
          <w:tcPr>
            <w:tcW w:w="876"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20103</w:t>
            </w:r>
          </w:p>
        </w:tc>
        <w:tc>
          <w:tcPr>
            <w:tcW w:w="3559"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政府办公厅（室）及相关机构事务</w:t>
            </w:r>
          </w:p>
        </w:tc>
        <w:tc>
          <w:tcPr>
            <w:tcW w:w="764"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644.77</w:t>
            </w:r>
          </w:p>
        </w:tc>
        <w:tc>
          <w:tcPr>
            <w:tcW w:w="845"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466.61</w:t>
            </w:r>
          </w:p>
        </w:tc>
        <w:tc>
          <w:tcPr>
            <w:tcW w:w="709"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178.17</w:t>
            </w:r>
          </w:p>
        </w:tc>
        <w:tc>
          <w:tcPr>
            <w:tcW w:w="668"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323" w:hRule="atLeast"/>
        </w:trPr>
        <w:tc>
          <w:tcPr>
            <w:tcW w:w="876"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2010301</w:t>
            </w:r>
          </w:p>
        </w:tc>
        <w:tc>
          <w:tcPr>
            <w:tcW w:w="3559"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行政运行</w:t>
            </w:r>
          </w:p>
        </w:tc>
        <w:tc>
          <w:tcPr>
            <w:tcW w:w="764"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644.77</w:t>
            </w:r>
          </w:p>
        </w:tc>
        <w:tc>
          <w:tcPr>
            <w:tcW w:w="845"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466.61</w:t>
            </w:r>
          </w:p>
        </w:tc>
        <w:tc>
          <w:tcPr>
            <w:tcW w:w="709"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178.17</w:t>
            </w:r>
          </w:p>
        </w:tc>
        <w:tc>
          <w:tcPr>
            <w:tcW w:w="668"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170" w:hRule="atLeast"/>
        </w:trPr>
        <w:tc>
          <w:tcPr>
            <w:tcW w:w="876"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20123</w:t>
            </w:r>
          </w:p>
        </w:tc>
        <w:tc>
          <w:tcPr>
            <w:tcW w:w="3559"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民族事务</w:t>
            </w:r>
          </w:p>
        </w:tc>
        <w:tc>
          <w:tcPr>
            <w:tcW w:w="764"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36.00</w:t>
            </w:r>
          </w:p>
        </w:tc>
        <w:tc>
          <w:tcPr>
            <w:tcW w:w="845"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709"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36.00</w:t>
            </w:r>
          </w:p>
        </w:tc>
        <w:tc>
          <w:tcPr>
            <w:tcW w:w="668"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429" w:hRule="atLeast"/>
        </w:trPr>
        <w:tc>
          <w:tcPr>
            <w:tcW w:w="876"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2012301</w:t>
            </w:r>
          </w:p>
        </w:tc>
        <w:tc>
          <w:tcPr>
            <w:tcW w:w="3559"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行政运行</w:t>
            </w:r>
          </w:p>
        </w:tc>
        <w:tc>
          <w:tcPr>
            <w:tcW w:w="764"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30.00</w:t>
            </w:r>
          </w:p>
        </w:tc>
        <w:tc>
          <w:tcPr>
            <w:tcW w:w="845"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709"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30.00</w:t>
            </w:r>
          </w:p>
        </w:tc>
        <w:tc>
          <w:tcPr>
            <w:tcW w:w="668"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64" w:hRule="atLeast"/>
        </w:trPr>
        <w:tc>
          <w:tcPr>
            <w:tcW w:w="876"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2012304</w:t>
            </w:r>
          </w:p>
        </w:tc>
        <w:tc>
          <w:tcPr>
            <w:tcW w:w="3559"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民族工作专项</w:t>
            </w:r>
          </w:p>
        </w:tc>
        <w:tc>
          <w:tcPr>
            <w:tcW w:w="764"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6.00</w:t>
            </w:r>
          </w:p>
        </w:tc>
        <w:tc>
          <w:tcPr>
            <w:tcW w:w="845"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709"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6.00</w:t>
            </w:r>
          </w:p>
        </w:tc>
        <w:tc>
          <w:tcPr>
            <w:tcW w:w="668"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292" w:hRule="atLeast"/>
        </w:trPr>
        <w:tc>
          <w:tcPr>
            <w:tcW w:w="876"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208</w:t>
            </w:r>
          </w:p>
        </w:tc>
        <w:tc>
          <w:tcPr>
            <w:tcW w:w="3559"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社会保障和就业支出</w:t>
            </w:r>
          </w:p>
        </w:tc>
        <w:tc>
          <w:tcPr>
            <w:tcW w:w="764"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845"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709"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668"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201" w:hRule="atLeast"/>
        </w:trPr>
        <w:tc>
          <w:tcPr>
            <w:tcW w:w="876"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20899</w:t>
            </w:r>
          </w:p>
        </w:tc>
        <w:tc>
          <w:tcPr>
            <w:tcW w:w="3559"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其他社会保障和就业支出</w:t>
            </w:r>
          </w:p>
        </w:tc>
        <w:tc>
          <w:tcPr>
            <w:tcW w:w="764"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845"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709"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668"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286" w:hRule="atLeast"/>
        </w:trPr>
        <w:tc>
          <w:tcPr>
            <w:tcW w:w="876"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2089901</w:t>
            </w:r>
          </w:p>
        </w:tc>
        <w:tc>
          <w:tcPr>
            <w:tcW w:w="3559"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其他社会保障和就业支出</w:t>
            </w:r>
          </w:p>
        </w:tc>
        <w:tc>
          <w:tcPr>
            <w:tcW w:w="764"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845"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709"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668"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90" w:hRule="atLeast"/>
        </w:trPr>
        <w:tc>
          <w:tcPr>
            <w:tcW w:w="876"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211</w:t>
            </w:r>
          </w:p>
        </w:tc>
        <w:tc>
          <w:tcPr>
            <w:tcW w:w="3559"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节能环保支出</w:t>
            </w:r>
          </w:p>
        </w:tc>
        <w:tc>
          <w:tcPr>
            <w:tcW w:w="764"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c>
          <w:tcPr>
            <w:tcW w:w="845"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709"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c>
          <w:tcPr>
            <w:tcW w:w="668"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158" w:hRule="atLeast"/>
        </w:trPr>
        <w:tc>
          <w:tcPr>
            <w:tcW w:w="876"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21103</w:t>
            </w:r>
          </w:p>
        </w:tc>
        <w:tc>
          <w:tcPr>
            <w:tcW w:w="3559"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污染防治</w:t>
            </w:r>
          </w:p>
        </w:tc>
        <w:tc>
          <w:tcPr>
            <w:tcW w:w="764"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c>
          <w:tcPr>
            <w:tcW w:w="845"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709"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c>
          <w:tcPr>
            <w:tcW w:w="668"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179" w:hRule="atLeast"/>
        </w:trPr>
        <w:tc>
          <w:tcPr>
            <w:tcW w:w="876"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2110301</w:t>
            </w:r>
          </w:p>
        </w:tc>
        <w:tc>
          <w:tcPr>
            <w:tcW w:w="3559"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大气</w:t>
            </w:r>
          </w:p>
        </w:tc>
        <w:tc>
          <w:tcPr>
            <w:tcW w:w="764"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c>
          <w:tcPr>
            <w:tcW w:w="845"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709"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c>
          <w:tcPr>
            <w:tcW w:w="668"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166" w:hRule="atLeast"/>
        </w:trPr>
        <w:tc>
          <w:tcPr>
            <w:tcW w:w="876"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212</w:t>
            </w:r>
          </w:p>
        </w:tc>
        <w:tc>
          <w:tcPr>
            <w:tcW w:w="3559"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城乡社区支出</w:t>
            </w:r>
          </w:p>
        </w:tc>
        <w:tc>
          <w:tcPr>
            <w:tcW w:w="764"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845"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709"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668"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238" w:hRule="atLeast"/>
        </w:trPr>
        <w:tc>
          <w:tcPr>
            <w:tcW w:w="876"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21208</w:t>
            </w:r>
          </w:p>
        </w:tc>
        <w:tc>
          <w:tcPr>
            <w:tcW w:w="3559"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国有土地使用权出让收入及对应专项债务收入安排的支出</w:t>
            </w:r>
          </w:p>
        </w:tc>
        <w:tc>
          <w:tcPr>
            <w:tcW w:w="764"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845"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709"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668"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99" w:hRule="atLeast"/>
        </w:trPr>
        <w:tc>
          <w:tcPr>
            <w:tcW w:w="876"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2120809</w:t>
            </w:r>
          </w:p>
        </w:tc>
        <w:tc>
          <w:tcPr>
            <w:tcW w:w="3559"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支付破产或改制企业职工安置费</w:t>
            </w:r>
          </w:p>
        </w:tc>
        <w:tc>
          <w:tcPr>
            <w:tcW w:w="764"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845"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709"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668"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202" w:hRule="atLeast"/>
        </w:trPr>
        <w:tc>
          <w:tcPr>
            <w:tcW w:w="876"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Cs w:val="21"/>
              </w:rPr>
            </w:pPr>
          </w:p>
        </w:tc>
        <w:tc>
          <w:tcPr>
            <w:tcW w:w="3559"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Cs w:val="21"/>
              </w:rPr>
            </w:pPr>
          </w:p>
        </w:tc>
        <w:tc>
          <w:tcPr>
            <w:tcW w:w="764"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45"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709"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668"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135" w:hRule="atLeast"/>
        </w:trPr>
        <w:tc>
          <w:tcPr>
            <w:tcW w:w="876"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Cs w:val="21"/>
              </w:rPr>
            </w:pPr>
          </w:p>
        </w:tc>
        <w:tc>
          <w:tcPr>
            <w:tcW w:w="3559"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Cs w:val="21"/>
              </w:rPr>
            </w:pPr>
          </w:p>
        </w:tc>
        <w:tc>
          <w:tcPr>
            <w:tcW w:w="764"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45"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709"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668"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135" w:hRule="atLeast"/>
        </w:trPr>
        <w:tc>
          <w:tcPr>
            <w:tcW w:w="876"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Cs w:val="21"/>
              </w:rPr>
            </w:pPr>
          </w:p>
        </w:tc>
        <w:tc>
          <w:tcPr>
            <w:tcW w:w="3559"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Cs w:val="21"/>
              </w:rPr>
            </w:pPr>
          </w:p>
        </w:tc>
        <w:tc>
          <w:tcPr>
            <w:tcW w:w="764"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45" w:type="dxa"/>
            <w:gridSpan w:val="3"/>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709"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668"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109" w:hRule="atLeast"/>
        </w:trPr>
        <w:tc>
          <w:tcPr>
            <w:tcW w:w="876"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Cs w:val="21"/>
              </w:rPr>
            </w:pPr>
          </w:p>
        </w:tc>
        <w:tc>
          <w:tcPr>
            <w:tcW w:w="3559"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Cs w:val="21"/>
              </w:rPr>
            </w:pPr>
          </w:p>
        </w:tc>
        <w:tc>
          <w:tcPr>
            <w:tcW w:w="764"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45"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709"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668"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495"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1379" w:type="dxa"/>
          <w:trHeight w:val="748" w:hRule="atLeast"/>
        </w:trPr>
        <w:tc>
          <w:tcPr>
            <w:tcW w:w="9000" w:type="dxa"/>
            <w:gridSpan w:val="18"/>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注：本表反映部门本年度各项支出情况。</w:t>
            </w:r>
          </w:p>
        </w:tc>
      </w:tr>
    </w:tbl>
    <w:p>
      <w:pPr>
        <w:widowControl/>
        <w:spacing w:after="0" w:line="240" w:lineRule="auto"/>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kern w:val="0"/>
                <w:szCs w:val="21"/>
                <w:lang w:bidi="ar"/>
              </w:rPr>
              <w:t>698.28</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680.77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680.77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Theme="majorEastAsia" w:hAnsiTheme="majorEastAsia" w:eastAsiaTheme="majorEastAsia" w:cstheme="majorEastAsia"/>
                <w:color w:val="000000"/>
                <w:szCs w:val="21"/>
              </w:rPr>
            </w:pPr>
            <w:r>
              <w:rPr>
                <w:rFonts w:hint="eastAsia" w:asciiTheme="majorEastAsia" w:hAnsiTheme="majorEastAsia" w:eastAsiaTheme="majorEastAsia" w:cstheme="majorEastAsia"/>
                <w:color w:val="000000"/>
                <w:kern w:val="0"/>
                <w:szCs w:val="21"/>
                <w:lang w:bidi="ar"/>
              </w:rPr>
              <w:t>5.34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758"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11.18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11.18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12.77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12.77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5.34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5.34</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431"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703.62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710.07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704.73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5.34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6.45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431"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6.45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526"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51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710.07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710.07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704.73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8"/>
                <w:szCs w:val="18"/>
              </w:rPr>
            </w:pPr>
            <w:r>
              <w:rPr>
                <w:rFonts w:hint="eastAsia" w:ascii="宋体" w:hAnsi="宋体" w:cs="宋体"/>
                <w:color w:val="000000"/>
                <w:kern w:val="0"/>
                <w:sz w:val="22"/>
                <w:szCs w:val="22"/>
                <w:lang w:bidi="ar"/>
              </w:rPr>
              <w:t>5.34</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pPr>
        <w:widowControl/>
        <w:spacing w:after="0" w:line="240" w:lineRule="auto"/>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10179" w:type="dxa"/>
        <w:tblInd w:w="0" w:type="dxa"/>
        <w:tblLayout w:type="fixed"/>
        <w:tblCellMar>
          <w:top w:w="0" w:type="dxa"/>
          <w:left w:w="0" w:type="dxa"/>
          <w:bottom w:w="0" w:type="dxa"/>
          <w:right w:w="0" w:type="dxa"/>
        </w:tblCellMar>
      </w:tblPr>
      <w:tblGrid>
        <w:gridCol w:w="317"/>
        <w:gridCol w:w="319"/>
        <w:gridCol w:w="357"/>
        <w:gridCol w:w="2854"/>
        <w:gridCol w:w="1229"/>
        <w:gridCol w:w="90"/>
        <w:gridCol w:w="573"/>
        <w:gridCol w:w="291"/>
        <w:gridCol w:w="1028"/>
        <w:gridCol w:w="418"/>
        <w:gridCol w:w="1384"/>
        <w:gridCol w:w="1319"/>
      </w:tblGrid>
      <w:tr>
        <w:tblPrEx>
          <w:tblCellMar>
            <w:top w:w="0" w:type="dxa"/>
            <w:left w:w="0" w:type="dxa"/>
            <w:bottom w:w="0" w:type="dxa"/>
            <w:right w:w="0" w:type="dxa"/>
          </w:tblCellMar>
        </w:tblPrEx>
        <w:trPr>
          <w:gridAfter w:val="1"/>
          <w:wAfter w:w="1319" w:type="dxa"/>
          <w:trHeight w:val="600" w:hRule="atLeast"/>
        </w:trPr>
        <w:tc>
          <w:tcPr>
            <w:tcW w:w="8860" w:type="dxa"/>
            <w:gridSpan w:val="11"/>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408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1892"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3121"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tblPrEx>
          <w:tblCellMar>
            <w:top w:w="0" w:type="dxa"/>
            <w:left w:w="0" w:type="dxa"/>
            <w:bottom w:w="0" w:type="dxa"/>
            <w:right w:w="0" w:type="dxa"/>
          </w:tblCellMar>
        </w:tblPrEx>
        <w:trPr>
          <w:gridAfter w:val="1"/>
          <w:wAfter w:w="1319" w:type="dxa"/>
          <w:trHeight w:val="334" w:hRule="atLeast"/>
        </w:trPr>
        <w:tc>
          <w:tcPr>
            <w:tcW w:w="3847"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1892"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Cs w:val="21"/>
              </w:rPr>
            </w:pPr>
          </w:p>
        </w:tc>
        <w:tc>
          <w:tcPr>
            <w:tcW w:w="3121"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gridAfter w:val="1"/>
          <w:wAfter w:w="1319" w:type="dxa"/>
          <w:trHeight w:val="351" w:hRule="atLeast"/>
        </w:trPr>
        <w:tc>
          <w:tcPr>
            <w:tcW w:w="507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3784"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tblPrEx>
          <w:tblCellMar>
            <w:top w:w="0" w:type="dxa"/>
            <w:left w:w="0" w:type="dxa"/>
            <w:bottom w:w="0" w:type="dxa"/>
            <w:right w:w="0" w:type="dxa"/>
          </w:tblCellMar>
        </w:tblPrEx>
        <w:trPr>
          <w:gridAfter w:val="1"/>
          <w:wAfter w:w="1319" w:type="dxa"/>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4083"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954"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446"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38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tblPrEx>
          <w:tblCellMar>
            <w:top w:w="0" w:type="dxa"/>
            <w:left w:w="0" w:type="dxa"/>
            <w:bottom w:w="0" w:type="dxa"/>
            <w:right w:w="0" w:type="dxa"/>
          </w:tblCellMar>
        </w:tblPrEx>
        <w:trPr>
          <w:gridAfter w:val="1"/>
          <w:wAfter w:w="1319" w:type="dxa"/>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4083"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954"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446"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38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1319" w:type="dxa"/>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4083"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954"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446"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38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1319" w:type="dxa"/>
          <w:trHeight w:val="368" w:hRule="atLeast"/>
        </w:trPr>
        <w:tc>
          <w:tcPr>
            <w:tcW w:w="507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9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44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3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tblPrEx>
          <w:tblCellMar>
            <w:top w:w="0" w:type="dxa"/>
            <w:left w:w="0" w:type="dxa"/>
            <w:bottom w:w="0" w:type="dxa"/>
            <w:right w:w="0" w:type="dxa"/>
          </w:tblCellMar>
        </w:tblPrEx>
        <w:trPr>
          <w:gridAfter w:val="1"/>
          <w:wAfter w:w="1319" w:type="dxa"/>
          <w:trHeight w:val="368" w:hRule="atLeast"/>
        </w:trPr>
        <w:tc>
          <w:tcPr>
            <w:tcW w:w="507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9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b/>
                <w:color w:val="000000"/>
                <w:szCs w:val="21"/>
              </w:rPr>
            </w:pPr>
            <w:r>
              <w:rPr>
                <w:rFonts w:hint="eastAsia" w:ascii="宋体" w:hAnsi="宋体" w:cs="宋体"/>
                <w:b/>
                <w:color w:val="000000"/>
                <w:kern w:val="0"/>
                <w:sz w:val="22"/>
                <w:szCs w:val="22"/>
                <w:lang w:bidi="ar"/>
              </w:rPr>
              <w:t>704.73</w:t>
            </w:r>
          </w:p>
        </w:tc>
        <w:tc>
          <w:tcPr>
            <w:tcW w:w="144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b/>
                <w:color w:val="000000"/>
                <w:szCs w:val="21"/>
              </w:rPr>
            </w:pPr>
            <w:r>
              <w:rPr>
                <w:rFonts w:hint="eastAsia" w:ascii="宋体" w:hAnsi="宋体" w:cs="宋体"/>
                <w:b/>
                <w:color w:val="000000"/>
                <w:kern w:val="0"/>
                <w:sz w:val="22"/>
                <w:szCs w:val="22"/>
                <w:lang w:bidi="ar"/>
              </w:rPr>
              <w:t>477.79</w:t>
            </w:r>
          </w:p>
        </w:tc>
        <w:tc>
          <w:tcPr>
            <w:tcW w:w="13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b/>
                <w:color w:val="000000"/>
                <w:szCs w:val="21"/>
              </w:rPr>
            </w:pPr>
            <w:r>
              <w:rPr>
                <w:rFonts w:hint="eastAsia" w:ascii="宋体" w:hAnsi="宋体" w:cs="宋体"/>
                <w:b/>
                <w:color w:val="000000"/>
                <w:kern w:val="0"/>
                <w:sz w:val="22"/>
                <w:szCs w:val="22"/>
                <w:lang w:bidi="ar"/>
              </w:rPr>
              <w:t>226.94</w:t>
            </w:r>
          </w:p>
        </w:tc>
      </w:tr>
      <w:tr>
        <w:tblPrEx>
          <w:tblCellMar>
            <w:top w:w="0" w:type="dxa"/>
            <w:left w:w="0" w:type="dxa"/>
            <w:bottom w:w="0" w:type="dxa"/>
            <w:right w:w="0" w:type="dxa"/>
          </w:tblCellMar>
        </w:tblPrEx>
        <w:trPr>
          <w:gridAfter w:val="1"/>
          <w:wAfter w:w="1319"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w:t>
            </w:r>
          </w:p>
        </w:tc>
        <w:tc>
          <w:tcPr>
            <w:tcW w:w="4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一般公共服务支出</w:t>
            </w:r>
          </w:p>
        </w:tc>
        <w:tc>
          <w:tcPr>
            <w:tcW w:w="9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680.77</w:t>
            </w:r>
          </w:p>
        </w:tc>
        <w:tc>
          <w:tcPr>
            <w:tcW w:w="144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466.61</w:t>
            </w:r>
          </w:p>
        </w:tc>
        <w:tc>
          <w:tcPr>
            <w:tcW w:w="13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214.16</w:t>
            </w:r>
          </w:p>
        </w:tc>
      </w:tr>
      <w:tr>
        <w:tblPrEx>
          <w:tblCellMar>
            <w:top w:w="0" w:type="dxa"/>
            <w:left w:w="0" w:type="dxa"/>
            <w:bottom w:w="0" w:type="dxa"/>
            <w:right w:w="0" w:type="dxa"/>
          </w:tblCellMar>
        </w:tblPrEx>
        <w:trPr>
          <w:gridAfter w:val="1"/>
          <w:wAfter w:w="1319"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20103</w:t>
            </w:r>
          </w:p>
        </w:tc>
        <w:tc>
          <w:tcPr>
            <w:tcW w:w="4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政府办公厅（室）及相关机构事务</w:t>
            </w:r>
          </w:p>
        </w:tc>
        <w:tc>
          <w:tcPr>
            <w:tcW w:w="9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644.77</w:t>
            </w:r>
          </w:p>
        </w:tc>
        <w:tc>
          <w:tcPr>
            <w:tcW w:w="144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466.61</w:t>
            </w:r>
          </w:p>
        </w:tc>
        <w:tc>
          <w:tcPr>
            <w:tcW w:w="13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178.17</w:t>
            </w:r>
          </w:p>
        </w:tc>
      </w:tr>
      <w:tr>
        <w:tblPrEx>
          <w:tblCellMar>
            <w:top w:w="0" w:type="dxa"/>
            <w:left w:w="0" w:type="dxa"/>
            <w:bottom w:w="0" w:type="dxa"/>
            <w:right w:w="0" w:type="dxa"/>
          </w:tblCellMar>
        </w:tblPrEx>
        <w:trPr>
          <w:gridAfter w:val="1"/>
          <w:wAfter w:w="1319"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2010301</w:t>
            </w:r>
          </w:p>
        </w:tc>
        <w:tc>
          <w:tcPr>
            <w:tcW w:w="4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行政运行</w:t>
            </w:r>
          </w:p>
        </w:tc>
        <w:tc>
          <w:tcPr>
            <w:tcW w:w="9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644.77</w:t>
            </w:r>
          </w:p>
        </w:tc>
        <w:tc>
          <w:tcPr>
            <w:tcW w:w="144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466.61</w:t>
            </w:r>
          </w:p>
        </w:tc>
        <w:tc>
          <w:tcPr>
            <w:tcW w:w="13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178.17</w:t>
            </w:r>
          </w:p>
        </w:tc>
      </w:tr>
      <w:tr>
        <w:tblPrEx>
          <w:tblCellMar>
            <w:top w:w="0" w:type="dxa"/>
            <w:left w:w="0" w:type="dxa"/>
            <w:bottom w:w="0" w:type="dxa"/>
            <w:right w:w="0" w:type="dxa"/>
          </w:tblCellMar>
        </w:tblPrEx>
        <w:trPr>
          <w:gridAfter w:val="1"/>
          <w:wAfter w:w="1319" w:type="dxa"/>
          <w:trHeight w:val="215" w:hRule="atLeast"/>
        </w:trPr>
        <w:tc>
          <w:tcPr>
            <w:tcW w:w="993"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20123</w:t>
            </w:r>
          </w:p>
        </w:tc>
        <w:tc>
          <w:tcPr>
            <w:tcW w:w="4083"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民族事务</w:t>
            </w:r>
          </w:p>
        </w:tc>
        <w:tc>
          <w:tcPr>
            <w:tcW w:w="954"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36.00</w:t>
            </w:r>
          </w:p>
        </w:tc>
        <w:tc>
          <w:tcPr>
            <w:tcW w:w="1446"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38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36.00</w:t>
            </w:r>
          </w:p>
        </w:tc>
      </w:tr>
      <w:tr>
        <w:tblPrEx>
          <w:tblCellMar>
            <w:top w:w="0" w:type="dxa"/>
            <w:left w:w="0" w:type="dxa"/>
            <w:bottom w:w="0" w:type="dxa"/>
            <w:right w:w="0" w:type="dxa"/>
          </w:tblCellMar>
        </w:tblPrEx>
        <w:trPr>
          <w:gridAfter w:val="1"/>
          <w:wAfter w:w="1319" w:type="dxa"/>
          <w:trHeight w:val="178" w:hRule="atLeast"/>
        </w:trPr>
        <w:tc>
          <w:tcPr>
            <w:tcW w:w="993"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2012301</w:t>
            </w:r>
          </w:p>
        </w:tc>
        <w:tc>
          <w:tcPr>
            <w:tcW w:w="4083"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行政运行</w:t>
            </w:r>
          </w:p>
        </w:tc>
        <w:tc>
          <w:tcPr>
            <w:tcW w:w="954"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30.00</w:t>
            </w:r>
          </w:p>
        </w:tc>
        <w:tc>
          <w:tcPr>
            <w:tcW w:w="1446"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384"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30.00</w:t>
            </w:r>
          </w:p>
        </w:tc>
      </w:tr>
      <w:tr>
        <w:tblPrEx>
          <w:tblCellMar>
            <w:top w:w="0" w:type="dxa"/>
            <w:left w:w="0" w:type="dxa"/>
            <w:bottom w:w="0" w:type="dxa"/>
            <w:right w:w="0" w:type="dxa"/>
          </w:tblCellMar>
        </w:tblPrEx>
        <w:trPr>
          <w:gridAfter w:val="1"/>
          <w:wAfter w:w="1319" w:type="dxa"/>
          <w:trHeight w:val="237" w:hRule="atLeast"/>
        </w:trPr>
        <w:tc>
          <w:tcPr>
            <w:tcW w:w="993"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2012304</w:t>
            </w:r>
          </w:p>
        </w:tc>
        <w:tc>
          <w:tcPr>
            <w:tcW w:w="4083"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民族工作专项</w:t>
            </w:r>
          </w:p>
        </w:tc>
        <w:tc>
          <w:tcPr>
            <w:tcW w:w="954"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6.00</w:t>
            </w:r>
          </w:p>
        </w:tc>
        <w:tc>
          <w:tcPr>
            <w:tcW w:w="1446"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38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6.00</w:t>
            </w:r>
          </w:p>
        </w:tc>
      </w:tr>
      <w:tr>
        <w:tblPrEx>
          <w:tblCellMar>
            <w:top w:w="0" w:type="dxa"/>
            <w:left w:w="0" w:type="dxa"/>
            <w:bottom w:w="0" w:type="dxa"/>
            <w:right w:w="0" w:type="dxa"/>
          </w:tblCellMar>
        </w:tblPrEx>
        <w:trPr>
          <w:gridAfter w:val="1"/>
          <w:wAfter w:w="1319" w:type="dxa"/>
          <w:trHeight w:val="156" w:hRule="atLeast"/>
        </w:trPr>
        <w:tc>
          <w:tcPr>
            <w:tcW w:w="993"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208</w:t>
            </w:r>
          </w:p>
        </w:tc>
        <w:tc>
          <w:tcPr>
            <w:tcW w:w="4083"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社会保障和就业支出</w:t>
            </w:r>
          </w:p>
        </w:tc>
        <w:tc>
          <w:tcPr>
            <w:tcW w:w="954"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1446"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1384"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1319" w:type="dxa"/>
          <w:trHeight w:val="217" w:hRule="atLeast"/>
        </w:trPr>
        <w:tc>
          <w:tcPr>
            <w:tcW w:w="993"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20899</w:t>
            </w:r>
          </w:p>
        </w:tc>
        <w:tc>
          <w:tcPr>
            <w:tcW w:w="4083"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其他社会保障和就业支出</w:t>
            </w:r>
          </w:p>
        </w:tc>
        <w:tc>
          <w:tcPr>
            <w:tcW w:w="954"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1446"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138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1319" w:type="dxa"/>
          <w:trHeight w:val="176" w:hRule="atLeast"/>
        </w:trPr>
        <w:tc>
          <w:tcPr>
            <w:tcW w:w="993"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2089901</w:t>
            </w:r>
          </w:p>
        </w:tc>
        <w:tc>
          <w:tcPr>
            <w:tcW w:w="4083"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其他社会保障和就业支出</w:t>
            </w:r>
          </w:p>
        </w:tc>
        <w:tc>
          <w:tcPr>
            <w:tcW w:w="954" w:type="dxa"/>
            <w:gridSpan w:val="3"/>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1446"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11.18</w:t>
            </w:r>
          </w:p>
        </w:tc>
        <w:tc>
          <w:tcPr>
            <w:tcW w:w="1384"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1319"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211</w:t>
            </w:r>
          </w:p>
        </w:tc>
        <w:tc>
          <w:tcPr>
            <w:tcW w:w="4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节能环保支出</w:t>
            </w:r>
          </w:p>
        </w:tc>
        <w:tc>
          <w:tcPr>
            <w:tcW w:w="9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c>
          <w:tcPr>
            <w:tcW w:w="144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3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r>
      <w:tr>
        <w:tblPrEx>
          <w:tblCellMar>
            <w:top w:w="0" w:type="dxa"/>
            <w:left w:w="0" w:type="dxa"/>
            <w:bottom w:w="0" w:type="dxa"/>
            <w:right w:w="0" w:type="dxa"/>
          </w:tblCellMar>
        </w:tblPrEx>
        <w:trPr>
          <w:gridAfter w:val="1"/>
          <w:wAfter w:w="1319"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21103</w:t>
            </w:r>
          </w:p>
        </w:tc>
        <w:tc>
          <w:tcPr>
            <w:tcW w:w="4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污染防治</w:t>
            </w:r>
          </w:p>
        </w:tc>
        <w:tc>
          <w:tcPr>
            <w:tcW w:w="9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c>
          <w:tcPr>
            <w:tcW w:w="144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3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r>
      <w:tr>
        <w:tblPrEx>
          <w:tblCellMar>
            <w:top w:w="0" w:type="dxa"/>
            <w:left w:w="0" w:type="dxa"/>
            <w:bottom w:w="0" w:type="dxa"/>
            <w:right w:w="0" w:type="dxa"/>
          </w:tblCellMar>
        </w:tblPrEx>
        <w:trPr>
          <w:gridAfter w:val="1"/>
          <w:wAfter w:w="1319"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2110301</w:t>
            </w:r>
          </w:p>
        </w:tc>
        <w:tc>
          <w:tcPr>
            <w:tcW w:w="4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大气</w:t>
            </w:r>
          </w:p>
        </w:tc>
        <w:tc>
          <w:tcPr>
            <w:tcW w:w="95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c>
          <w:tcPr>
            <w:tcW w:w="144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3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12.77</w:t>
            </w:r>
          </w:p>
        </w:tc>
      </w:tr>
      <w:tr>
        <w:tblPrEx>
          <w:tblCellMar>
            <w:top w:w="0" w:type="dxa"/>
            <w:left w:w="0" w:type="dxa"/>
            <w:bottom w:w="0" w:type="dxa"/>
            <w:right w:w="0" w:type="dxa"/>
          </w:tblCellMar>
        </w:tblPrEx>
        <w:trPr>
          <w:gridAfter w:val="1"/>
          <w:wAfter w:w="1319" w:type="dxa"/>
          <w:trHeight w:val="368"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bl>
    <w:p>
      <w:pPr>
        <w:widowControl/>
        <w:spacing w:after="0" w:line="240" w:lineRule="auto"/>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324.62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144.47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143.65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15.00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52.43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18.00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54.15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r>
              <w:rPr>
                <w:rFonts w:hint="eastAsia" w:ascii="宋体" w:hAnsi="宋体" w:cs="宋体"/>
                <w:color w:val="000000"/>
                <w:kern w:val="0"/>
                <w:sz w:val="22"/>
                <w:szCs w:val="22"/>
                <w:lang w:bidi="ar"/>
              </w:rPr>
              <w:t>4.61</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26.14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2.00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r>
              <w:rPr>
                <w:rFonts w:hint="eastAsia" w:ascii="宋体" w:hAnsi="宋体" w:cs="宋体"/>
                <w:color w:val="000000"/>
                <w:kern w:val="0"/>
                <w:sz w:val="22"/>
                <w:szCs w:val="22"/>
                <w:lang w:bidi="ar"/>
              </w:rPr>
              <w:t>4.61</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15.00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5.00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10.00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11.00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48.24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4.09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4.09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6.00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138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2.00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2.45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15.15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42.88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328.71</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 w:val="16"/>
                <w:szCs w:val="16"/>
              </w:rPr>
            </w:pPr>
            <w:r>
              <w:rPr>
                <w:rFonts w:hint="eastAsia" w:ascii="宋体" w:hAnsi="宋体" w:cs="宋体"/>
                <w:color w:val="000000"/>
                <w:kern w:val="0"/>
                <w:sz w:val="22"/>
                <w:szCs w:val="22"/>
                <w:lang w:bidi="ar"/>
              </w:rPr>
              <w:t>149.08</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pPr>
        <w:widowControl/>
        <w:spacing w:after="0" w:line="240" w:lineRule="auto"/>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2.45</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240" w:lineRule="auto"/>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296"/>
        <w:gridCol w:w="191"/>
        <w:gridCol w:w="479"/>
        <w:gridCol w:w="669"/>
        <w:gridCol w:w="1913"/>
        <w:gridCol w:w="805"/>
        <w:gridCol w:w="1036"/>
        <w:gridCol w:w="682"/>
        <w:gridCol w:w="914"/>
        <w:gridCol w:w="777"/>
        <w:gridCol w:w="109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718"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03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8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14"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77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09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tblPrEx>
          <w:tblCellMar>
            <w:top w:w="0" w:type="dxa"/>
            <w:left w:w="0" w:type="dxa"/>
            <w:bottom w:w="0" w:type="dxa"/>
            <w:right w:w="0" w:type="dxa"/>
          </w:tblCellMar>
        </w:tblPrEx>
        <w:trPr>
          <w:trHeight w:val="411" w:hRule="atLeast"/>
        </w:trPr>
        <w:tc>
          <w:tcPr>
            <w:tcW w:w="4353"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103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8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14"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875"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4" w:hRule="atLeast"/>
        </w:trPr>
        <w:tc>
          <w:tcPr>
            <w:tcW w:w="3548"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8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103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237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09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582"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68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91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7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09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2582"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68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1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9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2582"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68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1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9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3548"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24" w:hRule="atLeast"/>
        </w:trPr>
        <w:tc>
          <w:tcPr>
            <w:tcW w:w="3548"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212</w:t>
            </w:r>
          </w:p>
        </w:tc>
        <w:tc>
          <w:tcPr>
            <w:tcW w:w="25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城乡社区支出</w:t>
            </w: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21208</w:t>
            </w:r>
          </w:p>
        </w:tc>
        <w:tc>
          <w:tcPr>
            <w:tcW w:w="25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国有土地使用权出让收入及对应专项债务收入安排的支出</w:t>
            </w: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2120809</w:t>
            </w:r>
          </w:p>
        </w:tc>
        <w:tc>
          <w:tcPr>
            <w:tcW w:w="25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left"/>
              <w:textAlignment w:val="center"/>
              <w:rPr>
                <w:rFonts w:ascii="宋体" w:hAnsi="宋体" w:cs="宋体"/>
                <w:color w:val="000000"/>
                <w:szCs w:val="21"/>
              </w:rPr>
            </w:pPr>
            <w:r>
              <w:rPr>
                <w:rFonts w:hint="eastAsia" w:ascii="宋体" w:hAnsi="宋体" w:cs="宋体"/>
                <w:color w:val="000000"/>
                <w:kern w:val="0"/>
                <w:sz w:val="22"/>
                <w:szCs w:val="22"/>
                <w:lang w:bidi="ar"/>
              </w:rPr>
              <w:t xml:space="preserve">  支付破产或改制企业职工安置费</w:t>
            </w: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5.34</w:t>
            </w: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25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25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25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25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25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25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25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注：本表反映部门本年度政府性基金预算财政拨款收入、支出及结转和结余情况。         </w:t>
            </w:r>
          </w:p>
        </w:tc>
      </w:tr>
    </w:tbl>
    <w:p>
      <w:pPr>
        <w:widowControl/>
        <w:spacing w:after="0" w:line="240" w:lineRule="auto"/>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注：本表反映部门本年度国有资本经营预算财政拨款支出情况。</w:t>
            </w: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本部门2018年度，国有资本经营预算财政拨款无收支及结转结余情况，故国有资本经营预算财政拨款支出决算表以空表列示。</w:t>
            </w:r>
          </w:p>
          <w:p>
            <w:pPr>
              <w:widowControl/>
              <w:spacing w:after="0" w:line="240" w:lineRule="auto"/>
              <w:jc w:val="left"/>
              <w:textAlignment w:val="center"/>
              <w:rPr>
                <w:rFonts w:ascii="宋体" w:hAnsi="宋体" w:cs="宋体"/>
                <w:color w:val="000000"/>
                <w:kern w:val="0"/>
                <w:sz w:val="22"/>
                <w:szCs w:val="22"/>
                <w:lang w:bidi="ar"/>
              </w:rPr>
            </w:pPr>
          </w:p>
        </w:tc>
      </w:tr>
    </w:tbl>
    <w:p>
      <w:pPr>
        <w:widowControl/>
        <w:spacing w:after="0" w:line="240" w:lineRule="auto"/>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329.47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329.47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329.47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329.47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329.47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329.47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328.92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328.92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328.92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328.92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328.92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uto"/>
              <w:jc w:val="right"/>
              <w:textAlignment w:val="center"/>
              <w:rPr>
                <w:rFonts w:ascii="宋体" w:hAnsi="宋体" w:cs="宋体"/>
                <w:color w:val="000000"/>
                <w:szCs w:val="21"/>
              </w:rPr>
            </w:pPr>
            <w:r>
              <w:rPr>
                <w:rFonts w:hint="eastAsia" w:ascii="宋体" w:hAnsi="宋体" w:cs="宋体"/>
                <w:color w:val="000000"/>
                <w:kern w:val="0"/>
                <w:sz w:val="22"/>
                <w:szCs w:val="22"/>
                <w:lang w:bidi="ar"/>
              </w:rPr>
              <w:t>328.92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注：本表反映部门本年度纳入部门预算范围的政府采购预算及支出情况。     </w:t>
            </w:r>
          </w:p>
        </w:tc>
      </w:tr>
    </w:tbl>
    <w:p>
      <w:pPr>
        <w:widowControl/>
        <w:spacing w:after="0" w:line="240" w:lineRule="auto"/>
        <w:jc w:val="left"/>
        <w:rPr>
          <w:rFonts w:ascii="仿宋_GB2312" w:eastAsia="仿宋_GB2312" w:hAnsiTheme="majorEastAsia"/>
          <w:b/>
          <w:sz w:val="28"/>
          <w:szCs w:val="28"/>
          <w:highlight w:val="yellow"/>
        </w:rPr>
      </w:pPr>
    </w:p>
    <w:p>
      <w:pPr>
        <w:spacing w:line="240" w:lineRule="auto"/>
      </w:pPr>
    </w:p>
    <w:p>
      <w:pPr>
        <w:tabs>
          <w:tab w:val="left" w:pos="1086"/>
        </w:tabs>
        <w:spacing w:line="240" w:lineRule="auto"/>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pPr>
        <w:spacing w:line="240" w:lineRule="auto"/>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438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4384;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BYAAABkcnMvUEsBAhQAFAAAAAgAh07iQNlmnoze&#10;AAAADQEAAA8AAAAAAAAAAQAgAAAAOAAAAGRycy9kb3ducmV2LnhtbFBLAQIUABQAAAAIAIdO4kDV&#10;lywSPQIAAGcEAAAOAAAAAAAAAAEAIAAAAEMBAABkcnMvZTJvRG9jLnhtbFBLBQYAAAAABgAGAFkB&#10;AADy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240" w:lineRule="auto"/>
        <w:ind w:firstLine="640" w:firstLineChars="200"/>
        <w:rPr>
          <w:rFonts w:ascii="黑体" w:eastAsia="黑体"/>
          <w:b w:val="0"/>
          <w:bCs w:val="0"/>
        </w:rPr>
      </w:pPr>
    </w:p>
    <w:p>
      <w:pPr>
        <w:pStyle w:val="3"/>
        <w:spacing w:before="0" w:after="0" w:line="240" w:lineRule="auto"/>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spacing w:line="240" w:lineRule="auto"/>
        <w:ind w:firstLine="640"/>
        <w:rPr>
          <w:rFonts w:ascii="仿宋_GB2312" w:hAnsi="仿宋_GB2312" w:eastAsia="仿宋_GB2312" w:cs="仿宋_GB2312"/>
          <w:sz w:val="32"/>
          <w:szCs w:val="32"/>
        </w:rPr>
      </w:pPr>
      <w:r>
        <w:rPr>
          <w:rFonts w:hint="eastAsia" w:ascii="仿宋_GB2312" w:eastAsia="仿宋_GB2312" w:cs="DengXian-Regular"/>
          <w:sz w:val="32"/>
          <w:szCs w:val="32"/>
        </w:rPr>
        <w:t>本部门2018年度收支总计（含结转和结余）710.07万元。与2017年度决算相比，收支各增加291.94万元，增长69.82%，主要原因是</w:t>
      </w:r>
      <w:r>
        <w:rPr>
          <w:rFonts w:hint="eastAsia" w:ascii="仿宋_GB2312" w:hAnsi="仿宋_GB2312" w:eastAsia="仿宋_GB2312" w:cs="仿宋_GB2312"/>
          <w:sz w:val="32"/>
          <w:szCs w:val="32"/>
        </w:rPr>
        <w:t>市长现场办公费临时追加资金，信访资金、环保经费增加、人员经费增加。</w:t>
      </w:r>
    </w:p>
    <w:p>
      <w:pPr>
        <w:pStyle w:val="3"/>
        <w:spacing w:before="0" w:after="0" w:line="240" w:lineRule="auto"/>
        <w:ind w:firstLine="640" w:firstLineChars="200"/>
        <w:rPr>
          <w:rFonts w:ascii="黑体" w:eastAsia="黑体"/>
          <w:b w:val="0"/>
          <w:bCs w:val="0"/>
        </w:rPr>
      </w:pPr>
      <w:r>
        <w:rPr>
          <w:rFonts w:hint="eastAsia" w:ascii="黑体" w:eastAsia="黑体"/>
          <w:b w:val="0"/>
          <w:bCs w:val="0"/>
        </w:rPr>
        <w:t>二、收入决算情况说明</w:t>
      </w:r>
    </w:p>
    <w:p>
      <w:pPr>
        <w:spacing w:line="240" w:lineRule="auto"/>
        <w:ind w:firstLine="640"/>
        <w:rPr>
          <w:rFonts w:ascii="仿宋_GB2312" w:eastAsia="仿宋_GB2312" w:cs="DengXian-Regular"/>
          <w:sz w:val="32"/>
          <w:szCs w:val="32"/>
        </w:rPr>
      </w:pPr>
      <w:r>
        <w:rPr>
          <w:rFonts w:hint="eastAsia" w:ascii="仿宋_GB2312" w:eastAsia="仿宋_GB2312" w:cs="DengXian-Regular"/>
          <w:sz w:val="32"/>
          <w:szCs w:val="32"/>
        </w:rPr>
        <w:t>本部门</w:t>
      </w:r>
      <w:r>
        <w:rPr>
          <w:rFonts w:hint="eastAsia" w:ascii="仿宋_GB2312" w:hAnsi="仿宋_GB2312" w:eastAsia="仿宋_GB2312" w:cs="仿宋_GB2312"/>
          <w:sz w:val="32"/>
          <w:szCs w:val="32"/>
        </w:rPr>
        <w:t>2018年部门决算收入703.62万元，其中：财政拨款收入703.62万元，占100%；上级补助收入0万元，占0%；事业收入0万元，占0%；其他收入0万元，占0%。</w:t>
      </w:r>
      <w:r>
        <w:rPr>
          <w:rFonts w:hint="eastAsia" w:ascii="仿宋_GB2312" w:eastAsia="仿宋_GB2312" w:cs="DengXian-Regular"/>
          <w:sz w:val="32"/>
          <w:szCs w:val="32"/>
        </w:rPr>
        <w:t>如图所示：</w:t>
      </w: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ind w:firstLine="1260" w:firstLineChars="600"/>
        <w:rPr>
          <w:rFonts w:ascii="仿宋_GB2312" w:eastAsia="仿宋_GB2312" w:cs="DengXian-Regular"/>
          <w:sz w:val="32"/>
          <w:szCs w:val="32"/>
        </w:rPr>
      </w:pPr>
      <w:r>
        <w:drawing>
          <wp:inline distT="0" distB="0" distL="114300" distR="114300">
            <wp:extent cx="4391025" cy="2552700"/>
            <wp:effectExtent l="47625" t="4445" r="57150" b="109855"/>
            <wp:docPr id="1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sz w:val="32"/>
        </w:rPr>
        <mc:AlternateContent>
          <mc:Choice Requires="wps">
            <w:drawing>
              <wp:anchor distT="0" distB="0" distL="114300" distR="114300" simplePos="0" relativeHeight="251668480" behindDoc="0" locked="0" layoutInCell="1" allowOverlap="1">
                <wp:simplePos x="0" y="0"/>
                <wp:positionH relativeFrom="column">
                  <wp:posOffset>1470025</wp:posOffset>
                </wp:positionH>
                <wp:positionV relativeFrom="paragraph">
                  <wp:posOffset>3258185</wp:posOffset>
                </wp:positionV>
                <wp:extent cx="2465705" cy="407670"/>
                <wp:effectExtent l="0" t="0" r="10795" b="11430"/>
                <wp:wrapNone/>
                <wp:docPr id="32" name="文本框 32"/>
                <wp:cNvGraphicFramePr/>
                <a:graphic xmlns:a="http://schemas.openxmlformats.org/drawingml/2006/main">
                  <a:graphicData uri="http://schemas.microsoft.com/office/word/2010/wordprocessingShape">
                    <wps:wsp>
                      <wps:cNvSpPr txBox="1"/>
                      <wps:spPr>
                        <a:xfrm>
                          <a:off x="2573655" y="9147175"/>
                          <a:ext cx="2465705" cy="40767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5.75pt;margin-top:256.55pt;height:32.1pt;width:194.15pt;z-index:251668480;mso-width-relative:page;mso-height-relative:page;" fillcolor="#FFFFFF [3201]" filled="t" stroked="f" coordsize="21600,21600" o:gfxdata="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">
                <v:fill on="t" focussize="0,0"/>
                <v:stroke on="f" weight="0.5pt"/>
                <v:imagedata o:title=""/>
                <o:lock v:ext="edit" aspectratio="f"/>
                <v:textbox>
                  <w:txbxContent>
                    <w:p>
                      <w:pPr>
                        <w:rPr>
                          <w:sz w:val="20"/>
                          <w:szCs w:val="22"/>
                        </w:rPr>
                      </w:pPr>
                    </w:p>
                  </w:txbxContent>
                </v:textbox>
              </v:shape>
            </w:pict>
          </mc:Fallback>
        </mc:AlternateContent>
      </w:r>
    </w:p>
    <w:p>
      <w:pPr>
        <w:adjustRightInd w:val="0"/>
        <w:snapToGrid w:val="0"/>
        <w:spacing w:after="0" w:line="240" w:lineRule="auto"/>
        <w:ind w:firstLine="1920" w:firstLineChars="600"/>
        <w:rPr>
          <w:rFonts w:ascii="仿宋_GB2312" w:eastAsia="仿宋_GB2312" w:cs="DengXian-Regular"/>
          <w:sz w:val="32"/>
          <w:szCs w:val="32"/>
        </w:rPr>
      </w:pPr>
    </w:p>
    <w:p>
      <w:pPr>
        <w:pStyle w:val="3"/>
        <w:spacing w:before="0" w:after="0" w:line="240" w:lineRule="auto"/>
        <w:rPr>
          <w:rFonts w:ascii="黑体" w:eastAsia="黑体"/>
          <w:b w:val="0"/>
          <w:bCs w:val="0"/>
        </w:rPr>
      </w:pPr>
      <w:r>
        <w:rPr>
          <w:rFonts w:hint="eastAsia" w:ascii="黑体" w:eastAsia="黑体"/>
          <w:b w:val="0"/>
          <w:bCs w:val="0"/>
        </w:rPr>
        <w:t>三、支出决算情况说明</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hint="eastAsia" w:ascii="仿宋_GB2312" w:hAnsi="仿宋_GB2312" w:eastAsia="仿宋_GB2312" w:cs="仿宋_GB2312"/>
          <w:sz w:val="32"/>
          <w:szCs w:val="32"/>
        </w:rPr>
        <w:t>2018年部门决算支出710.07万元，其中：基本支出483.13万元，占68.04%；项目支出226.94万元，占31.96%。</w:t>
      </w:r>
      <w:r>
        <w:rPr>
          <w:rFonts w:hint="eastAsia" w:ascii="仿宋_GB2312" w:eastAsia="仿宋_GB2312" w:cs="DengXian-Regular"/>
          <w:sz w:val="32"/>
          <w:szCs w:val="32"/>
        </w:rPr>
        <w:t>如图所示：</w:t>
      </w: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ind w:firstLine="1260" w:firstLineChars="600"/>
        <w:rPr>
          <w:rFonts w:ascii="仿宋_GB2312" w:eastAsia="仿宋_GB2312" w:cs="DengXian-Regular"/>
          <w:sz w:val="32"/>
          <w:szCs w:val="32"/>
        </w:rPr>
      </w:pPr>
      <w:r>
        <w:drawing>
          <wp:inline distT="0" distB="0" distL="114300" distR="114300">
            <wp:extent cx="4219575" cy="2514600"/>
            <wp:effectExtent l="47625" t="4445" r="57150" b="109855"/>
            <wp:docPr id="1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pStyle w:val="3"/>
        <w:spacing w:before="0" w:after="0" w:line="240" w:lineRule="auto"/>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240" w:lineRule="auto"/>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ind w:firstLine="640"/>
        <w:rPr>
          <w:rFonts w:ascii="仿宋_GB2312" w:hAnsi="仿宋_GB2312" w:eastAsia="仿宋_GB2312" w:cs="仿宋_GB2312"/>
          <w:sz w:val="32"/>
          <w:szCs w:val="32"/>
        </w:rPr>
      </w:pPr>
      <w:r>
        <w:rPr>
          <w:rFonts w:hint="eastAsia" w:ascii="仿宋_GB2312" w:eastAsia="仿宋_GB2312" w:cs="DengXian-Regular"/>
          <w:sz w:val="32"/>
          <w:szCs w:val="32"/>
        </w:rPr>
        <w:t>本部门2018年度财政拨款本年收入703.62万元,</w:t>
      </w:r>
      <w:r>
        <w:rPr>
          <w:rFonts w:hint="eastAsia" w:ascii="仿宋_GB2312" w:hAnsi="仿宋_GB2312" w:eastAsia="仿宋_GB2312" w:cs="仿宋_GB2312"/>
          <w:sz w:val="32"/>
          <w:szCs w:val="32"/>
        </w:rPr>
        <w:t>比2017年增加282.05万元，增长66.91%。主要原因是：市长现场办公费临时追加资金，信访资金、环保经费增加、人员经费增加。</w:t>
      </w:r>
      <w:r>
        <w:rPr>
          <w:rFonts w:hint="eastAsia" w:ascii="仿宋_GB2312" w:eastAsia="仿宋_GB2312" w:cs="DengXian-Regular"/>
          <w:sz w:val="32"/>
          <w:szCs w:val="32"/>
        </w:rPr>
        <w:t>本年</w:t>
      </w:r>
      <w:r>
        <w:rPr>
          <w:rFonts w:hint="eastAsia" w:ascii="仿宋_GB2312" w:hAnsi="仿宋_GB2312" w:eastAsia="仿宋_GB2312" w:cs="仿宋_GB2312"/>
          <w:sz w:val="32"/>
          <w:szCs w:val="32"/>
        </w:rPr>
        <w:t>支出710.07万元，增加291.94万元，增长69.82%。主要原因是：市长现场办公费临时追加资金，信访资金、环保经费增加、人员经费增加。</w:t>
      </w:r>
    </w:p>
    <w:p>
      <w:pPr>
        <w:ind w:firstLine="640"/>
        <w:rPr>
          <w:rFonts w:ascii="仿宋_GB2312" w:hAnsi="仿宋_GB2312" w:eastAsia="仿宋_GB2312" w:cs="仿宋_GB2312"/>
          <w:sz w:val="32"/>
          <w:szCs w:val="32"/>
        </w:rPr>
      </w:pPr>
    </w:p>
    <w:p>
      <w:pPr>
        <w:ind w:firstLine="640"/>
        <w:rPr>
          <w:rFonts w:ascii="仿宋_GB2312" w:hAnsi="仿宋_GB2312" w:eastAsia="仿宋_GB2312" w:cs="仿宋_GB2312"/>
          <w:sz w:val="32"/>
          <w:szCs w:val="32"/>
        </w:rPr>
      </w:pP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其中：一般公共预算财政拨款本年收入698.28万元，比上年增加276.71万元；主要是</w:t>
      </w:r>
      <w:r>
        <w:rPr>
          <w:rFonts w:hint="eastAsia" w:ascii="仿宋_GB2312" w:hAnsi="仿宋_GB2312" w:eastAsia="仿宋_GB2312" w:cs="仿宋_GB2312"/>
          <w:sz w:val="32"/>
          <w:szCs w:val="32"/>
        </w:rPr>
        <w:t>市长现场办公费临时追加资金，信访资金、环保经费增加、人员经费增加</w:t>
      </w:r>
      <w:r>
        <w:rPr>
          <w:rFonts w:hint="eastAsia" w:ascii="仿宋_GB2312" w:eastAsia="仿宋_GB2312" w:cs="DengXian-Regular"/>
          <w:sz w:val="32"/>
          <w:szCs w:val="32"/>
        </w:rPr>
        <w:t>；本年支出704.73万元，比上年增加286.6万元，增长68.54%，主要是</w:t>
      </w:r>
      <w:r>
        <w:rPr>
          <w:rFonts w:hint="eastAsia" w:ascii="仿宋_GB2312" w:hAnsi="仿宋_GB2312" w:eastAsia="仿宋_GB2312" w:cs="仿宋_GB2312"/>
          <w:sz w:val="32"/>
          <w:szCs w:val="32"/>
        </w:rPr>
        <w:t>市长现场办公费临时追加资金，信访资金、环保经费增加、人员经费增加</w:t>
      </w:r>
      <w:r>
        <w:rPr>
          <w:rFonts w:hint="eastAsia" w:ascii="仿宋_GB2312" w:eastAsia="仿宋_GB2312" w:cs="DengXian-Regular"/>
          <w:sz w:val="32"/>
          <w:szCs w:val="32"/>
        </w:rPr>
        <w:t>。政府性基金预算财政拨款本年收入5.34万元，比上年增加5.34万元，主要原因是人员经费增加；本年支出5.34万元，比上年增加5.34万元，主要是人员经费增加。</w:t>
      </w:r>
      <w:r>
        <w:drawing>
          <wp:anchor distT="0" distB="0" distL="114300" distR="114300" simplePos="0" relativeHeight="251673600" behindDoc="0" locked="0" layoutInCell="1" allowOverlap="1">
            <wp:simplePos x="0" y="0"/>
            <wp:positionH relativeFrom="column">
              <wp:posOffset>47625</wp:posOffset>
            </wp:positionH>
            <wp:positionV relativeFrom="paragraph">
              <wp:posOffset>2112645</wp:posOffset>
            </wp:positionV>
            <wp:extent cx="4572000" cy="2981325"/>
            <wp:effectExtent l="47625" t="4445" r="47625" b="100330"/>
            <wp:wrapTopAndBottom/>
            <wp:docPr id="1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line="240" w:lineRule="auto"/>
        <w:ind w:firstLine="640" w:firstLineChars="200"/>
        <w:rPr>
          <w:rFonts w:ascii="仿宋_GB2312" w:eastAsia="仿宋_GB2312" w:cs="DengXian-Regular"/>
          <w:sz w:val="32"/>
          <w:szCs w:val="32"/>
        </w:rPr>
      </w:pPr>
    </w:p>
    <w:p>
      <w:pPr>
        <w:spacing w:after="0" w:line="240" w:lineRule="auto"/>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703.62万元，完成年初预算的162.20%,比年初预算增加269.82万元，决算数大于预算数主要原因是市长现场办公会和环保经费临时增加；本年支出710.07万元，完成年初预算的163.69%,比年初预算增加276.27万元，决算数大于预算数主要原因是主要是市长现场办公会和环保经费临时增加。</w:t>
      </w: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698.28万元，完成年初预算160.97%，比年初预算增加264.48万元，主要是市长现场办公会和环保经费临时增加；支出704.73万元，完成年初预算162.46%，比年初预算增加270.93万元，主要是市长现场办公会和环保经费临时增加。政府性基金预算财政拨款本年收入5.34万元，比年初预算增加5.34万元，主要是人员经费增加；支出5.34万元，比年初预算增加5.34万元，主要是人员经费增加。</w:t>
      </w: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240" w:lineRule="auto"/>
      </w:pPr>
      <w:r>
        <w:rPr>
          <w:sz w:val="32"/>
        </w:rPr>
        <mc:AlternateContent>
          <mc:Choice Requires="wps">
            <w:drawing>
              <wp:anchor distT="0" distB="0" distL="114300" distR="114300" simplePos="0" relativeHeight="251671552" behindDoc="0" locked="0" layoutInCell="1" allowOverlap="1">
                <wp:simplePos x="0" y="0"/>
                <wp:positionH relativeFrom="column">
                  <wp:posOffset>2035810</wp:posOffset>
                </wp:positionH>
                <wp:positionV relativeFrom="paragraph">
                  <wp:posOffset>343535</wp:posOffset>
                </wp:positionV>
                <wp:extent cx="5307965" cy="527685"/>
                <wp:effectExtent l="12700" t="0" r="13335" b="31115"/>
                <wp:wrapNone/>
                <wp:docPr id="23" name="矩形 23"/>
                <wp:cNvGraphicFramePr/>
                <a:graphic xmlns:a="http://schemas.openxmlformats.org/drawingml/2006/main">
                  <a:graphicData uri="http://schemas.microsoft.com/office/word/2010/wordprocessingShape">
                    <wps:wsp>
                      <wps:cNvSpPr/>
                      <wps:spPr>
                        <a:xfrm>
                          <a:off x="1507490" y="6440170"/>
                          <a:ext cx="5307965" cy="5276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60.3pt;margin-top:27.05pt;height:41.55pt;width:417.95pt;z-index:251671552;v-text-anchor:middle;mso-width-relative:page;mso-height-relative:page;" fillcolor="#FFFFFF [3212]" filled="t" stroked="f" coordsize="21600,21600" o:gfxdata="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">
                <v:fill on="t" focussize="0,0"/>
                <v:stroke on="f" weight="2pt"/>
                <v:imagedata o:title=""/>
                <o:lock v:ext="edit" aspectratio="f"/>
              </v:rect>
            </w:pict>
          </mc:Fallback>
        </mc:AlternateContent>
      </w:r>
      <w:r>
        <w:drawing>
          <wp:inline distT="0" distB="0" distL="114300" distR="114300">
            <wp:extent cx="4572000" cy="3829050"/>
            <wp:effectExtent l="47625" t="4445" r="47625" b="109855"/>
            <wp:docPr id="2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mc:AlternateContent>
          <mc:Choice Requires="wps">
            <w:drawing>
              <wp:anchor distT="0" distB="0" distL="114300" distR="114300" simplePos="0" relativeHeight="251672576" behindDoc="0" locked="0" layoutInCell="1" allowOverlap="1">
                <wp:simplePos x="0" y="0"/>
                <wp:positionH relativeFrom="column">
                  <wp:posOffset>429895</wp:posOffset>
                </wp:positionH>
                <wp:positionV relativeFrom="paragraph">
                  <wp:posOffset>5948680</wp:posOffset>
                </wp:positionV>
                <wp:extent cx="5481320" cy="372745"/>
                <wp:effectExtent l="12700" t="0" r="30480" b="14605"/>
                <wp:wrapNone/>
                <wp:docPr id="25" name="矩形 25"/>
                <wp:cNvGraphicFramePr/>
                <a:graphic xmlns:a="http://schemas.openxmlformats.org/drawingml/2006/main">
                  <a:graphicData uri="http://schemas.microsoft.com/office/word/2010/wordprocessingShape">
                    <wps:wsp>
                      <wps:cNvSpPr/>
                      <wps:spPr>
                        <a:xfrm>
                          <a:off x="1412240" y="7851140"/>
                          <a:ext cx="5481320" cy="372745"/>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rPr>
                                <w:color w:val="FFFFFF" w:themeColor="background1"/>
                                <w14:textFill>
                                  <w14:solidFill>
                                    <w14:schemeClr w14:val="bg1"/>
                                  </w14:solidFill>
                                </w14:textFill>
                              </w:rPr>
                            </w:pPr>
                            <w:r>
                              <w:rPr>
                                <w:rFonts w:hint="eastAsia"/>
                              </w:rPr>
                              <w:t>比情</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3.85pt;margin-top:468.4pt;height:29.35pt;width:431.6pt;z-index:251672576;v-text-anchor:middle;mso-width-relative:page;mso-height-relative:page;" filled="f" stroked="t" coordsize="21600,21600" o:gfxdata="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">
                <v:fill on="f" focussize="0,0"/>
                <v:stroke weight="2pt" color="#FFFFFF [3212]" joinstyle="round"/>
                <v:imagedata o:title=""/>
                <o:lock v:ext="edit" aspectratio="f"/>
                <v:textbox>
                  <w:txbxContent>
                    <w:p>
                      <w:pPr>
                        <w:rPr>
                          <w:color w:val="FFFFFF" w:themeColor="background1"/>
                          <w14:textFill>
                            <w14:solidFill>
                              <w14:schemeClr w14:val="bg1"/>
                            </w14:solidFill>
                          </w14:textFill>
                        </w:rPr>
                      </w:pPr>
                      <w:r>
                        <w:rPr>
                          <w:rFonts w:hint="eastAsia"/>
                        </w:rPr>
                        <w:t>比情</w:t>
                      </w:r>
                    </w:p>
                    <w:p>
                      <w:pPr>
                        <w:jc w:val="center"/>
                      </w:pPr>
                    </w:p>
                  </w:txbxContent>
                </v:textbox>
              </v:rect>
            </w:pict>
          </mc:Fallback>
        </mc:AlternateContent>
      </w:r>
    </w:p>
    <w:p>
      <w:pPr>
        <w:adjustRightInd w:val="0"/>
        <w:snapToGrid w:val="0"/>
        <w:spacing w:after="0" w:line="240" w:lineRule="auto"/>
        <w:rPr>
          <w:rFonts w:ascii="仿宋_GB2312" w:eastAsia="仿宋_GB2312" w:cs="DengXian-Regular"/>
          <w:sz w:val="32"/>
          <w:szCs w:val="32"/>
          <w:highlight w:val="yellow"/>
        </w:rPr>
      </w:pPr>
    </w:p>
    <w:p>
      <w:pPr>
        <w:adjustRightInd w:val="0"/>
        <w:snapToGrid w:val="0"/>
        <w:spacing w:after="0" w:line="240" w:lineRule="auto"/>
        <w:ind w:firstLine="640" w:firstLineChars="200"/>
        <w:rPr>
          <w:rFonts w:ascii="仿宋_GB2312" w:eastAsia="仿宋_GB2312" w:cs="DengXian-Regular"/>
          <w:sz w:val="32"/>
          <w:szCs w:val="32"/>
          <w:highlight w:val="yellow"/>
        </w:rPr>
      </w:pPr>
    </w:p>
    <w:p>
      <w:pPr>
        <w:numPr>
          <w:ilvl w:val="0"/>
          <w:numId w:val="1"/>
        </w:numPr>
        <w:tabs>
          <w:tab w:val="left" w:pos="609"/>
        </w:tabs>
        <w:adjustRightInd w:val="0"/>
        <w:snapToGrid w:val="0"/>
        <w:spacing w:after="0" w:line="240" w:lineRule="auto"/>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年度财政拨款支出710.07万元，主要用于以下方面：一般公共服务（类）支出680.77万元，占95.87%；社会保障和就业（类）支出 11.18万元，占1.57%；节能环保（类）支出12.77万元，占1.80%;城乡社区（类）支出5.34万元，占0.75%。</w:t>
      </w: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240" w:lineRule="auto"/>
        <w:rPr>
          <w:rFonts w:ascii="楷体_GB2312" w:eastAsia="楷体_GB2312" w:cs="DengXian-Bold"/>
          <w:b/>
          <w:bCs/>
          <w:sz w:val="32"/>
          <w:szCs w:val="32"/>
        </w:rPr>
      </w:pPr>
      <w:r>
        <w:rPr>
          <w:rFonts w:hint="eastAsia" w:ascii="楷体_GB2312" w:eastAsia="楷体_GB2312" w:cs="DengXian-Bold"/>
          <w:b/>
          <w:bCs/>
          <w:sz w:val="32"/>
          <w:szCs w:val="32"/>
        </w:rPr>
        <w:drawing>
          <wp:inline distT="0" distB="0" distL="114300" distR="114300">
            <wp:extent cx="5080000" cy="5403850"/>
            <wp:effectExtent l="4445" t="4445" r="20955" b="20955"/>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240" w:lineRule="auto"/>
        <w:ind w:left="420" w:leftChars="200"/>
        <w:rPr>
          <w:rFonts w:ascii="楷体_GB2312" w:eastAsia="楷体_GB2312" w:cs="DengXian-Bold"/>
          <w:b/>
          <w:bCs/>
          <w:sz w:val="32"/>
          <w:szCs w:val="32"/>
        </w:rPr>
      </w:pPr>
    </w:p>
    <w:p>
      <w:pPr>
        <w:adjustRightInd w:val="0"/>
        <w:snapToGrid w:val="0"/>
        <w:spacing w:after="0" w:line="240" w:lineRule="auto"/>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年度一般公共预算财政拨款基本支出477.78万元，其中：人员经费 328.71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149.08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240" w:lineRule="auto"/>
        <w:ind w:firstLine="643" w:firstLineChars="200"/>
        <w:rPr>
          <w:rFonts w:ascii="仿宋" w:hAnsi="仿宋" w:eastAsia="仿宋" w:cs="仿宋"/>
        </w:rPr>
      </w:pPr>
      <w:r>
        <w:rPr>
          <w:rFonts w:hint="eastAsia" w:ascii="仿宋" w:hAnsi="仿宋" w:eastAsia="仿宋" w:cs="仿宋"/>
        </w:rPr>
        <w:t>五、一般公共预算财政拨款“三公” 经费支出决算情况说明</w:t>
      </w:r>
    </w:p>
    <w:p>
      <w:pPr>
        <w:adjustRightInd w:val="0"/>
        <w:snapToGrid w:val="0"/>
        <w:spacing w:after="0" w:line="240" w:lineRule="auto"/>
        <w:ind w:firstLine="640" w:firstLineChars="200"/>
        <w:rPr>
          <w:rFonts w:ascii="仿宋" w:hAnsi="仿宋" w:eastAsia="仿宋" w:cs="仿宋"/>
          <w:sz w:val="32"/>
          <w:szCs w:val="32"/>
        </w:rPr>
      </w:pPr>
      <w:r>
        <w:rPr>
          <w:rFonts w:hint="eastAsia" w:ascii="仿宋" w:hAnsi="仿宋" w:eastAsia="仿宋" w:cs="仿宋"/>
          <w:sz w:val="32"/>
          <w:szCs w:val="32"/>
        </w:rPr>
        <w:t>本部门2018年度 “三公”经费支出共计2.45万元，较年初预算减少0.55万元，降低18.33%，主要原因是认真贯彻落实中央</w:t>
      </w:r>
      <w:r>
        <w:rPr>
          <w:rFonts w:hint="default" w:ascii="仿宋" w:hAnsi="仿宋" w:eastAsia="仿宋" w:cs="仿宋"/>
          <w:sz w:val="32"/>
          <w:szCs w:val="32"/>
          <w:lang w:val="en-US"/>
        </w:rPr>
        <w:t>八项规定</w:t>
      </w:r>
      <w:r>
        <w:rPr>
          <w:rFonts w:hint="eastAsia" w:ascii="仿宋" w:hAnsi="仿宋" w:eastAsia="仿宋" w:cs="仿宋"/>
          <w:sz w:val="32"/>
          <w:szCs w:val="32"/>
        </w:rPr>
        <w:t>精神和厉行节约要求，从严控制“三公”经费开支，全年实际支出比预算有所节约。具体情况如下：</w:t>
      </w:r>
    </w:p>
    <w:p>
      <w:pPr>
        <w:numPr>
          <w:ilvl w:val="0"/>
          <w:numId w:val="2"/>
        </w:numPr>
        <w:adjustRightInd w:val="0"/>
        <w:snapToGrid w:val="0"/>
        <w:spacing w:after="0" w:line="240" w:lineRule="auto"/>
        <w:ind w:firstLine="643" w:firstLineChars="200"/>
        <w:rPr>
          <w:rFonts w:ascii="仿宋_GB2312" w:eastAsia="仿宋_GB2312" w:cs="DengXian-Regular"/>
          <w:sz w:val="32"/>
          <w:szCs w:val="32"/>
        </w:rPr>
      </w:pPr>
      <w:r>
        <w:rPr>
          <w:rFonts w:hint="eastAsia" w:ascii="楷体_GB2312" w:eastAsia="楷体_GB2312" w:cs="DengXian-Bold"/>
          <w:b/>
          <w:bCs/>
          <w:sz w:val="32"/>
          <w:szCs w:val="32"/>
        </w:rPr>
        <w:t>因公出国（境）费支出0万元。</w:t>
      </w:r>
      <w:r>
        <w:rPr>
          <w:rFonts w:hint="eastAsia" w:ascii="仿宋_GB2312" w:eastAsia="仿宋_GB2312" w:cs="DengXian-Regular"/>
          <w:sz w:val="32"/>
          <w:szCs w:val="32"/>
        </w:rPr>
        <w:t>本部门2018年度因公出国（境）团组0个、共0人参加。未发生</w:t>
      </w:r>
      <w:r>
        <w:rPr>
          <w:rFonts w:hint="eastAsia" w:ascii="楷体_GB2312" w:eastAsia="楷体_GB2312" w:cs="DengXian-Bold"/>
          <w:sz w:val="32"/>
          <w:szCs w:val="32"/>
        </w:rPr>
        <w:t>因公出国（境）费支出，</w:t>
      </w:r>
      <w:r>
        <w:rPr>
          <w:rFonts w:hint="eastAsia" w:ascii="仿宋_GB2312" w:eastAsia="仿宋_GB2312" w:cs="DengXian-Regular"/>
          <w:sz w:val="32"/>
          <w:szCs w:val="32"/>
        </w:rPr>
        <w:t>与年初预算数持平，无增减变化。</w:t>
      </w:r>
    </w:p>
    <w:p>
      <w:pPr>
        <w:adjustRightInd w:val="0"/>
        <w:snapToGrid w:val="0"/>
        <w:spacing w:after="0" w:line="240" w:lineRule="auto"/>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（二）公务用车购置及运行维护费支出2.45万元。</w:t>
      </w:r>
      <w:r>
        <w:rPr>
          <w:rFonts w:hint="eastAsia" w:ascii="仿宋_GB2312" w:eastAsia="仿宋_GB2312" w:cs="DengXian-Regular"/>
          <w:sz w:val="32"/>
          <w:szCs w:val="32"/>
        </w:rPr>
        <w:t>本部门2018年度公务用车购置及运行维护费较年初预算减少0.55万元，降低18.33%,主要原因是认真贯彻落实中央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numPr>
          <w:ilvl w:val="0"/>
          <w:numId w:val="2"/>
        </w:numPr>
        <w:adjustRightInd w:val="0"/>
        <w:snapToGrid w:val="0"/>
        <w:spacing w:after="0" w:line="240" w:lineRule="auto"/>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本部门2018年度公务用车购置量0辆，未发生“公务用车购置”经费支出，与年初预算数持平，无增减变化。。</w:t>
      </w:r>
    </w:p>
    <w:p>
      <w:pPr>
        <w:adjustRightInd w:val="0"/>
        <w:snapToGrid w:val="0"/>
        <w:spacing w:after="0" w:line="240" w:lineRule="auto"/>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本部门2018年度单位公务用车保有量1辆。公车运行维护费支出为2.45万元，较年初预算减少0.55万元，降低18.33%,主要原因是认真贯彻落实中央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240" w:lineRule="auto"/>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本部门2018年度公务接待共0批次、0人次。未发生公务接待费支出，与年初预算数持平，无增减变化。</w:t>
      </w:r>
    </w:p>
    <w:p>
      <w:pPr>
        <w:pStyle w:val="3"/>
        <w:spacing w:before="0" w:after="0" w:line="240" w:lineRule="auto"/>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240" w:lineRule="auto"/>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w:t>
      </w:r>
      <w:r>
        <w:rPr>
          <w:rFonts w:hint="eastAsia" w:ascii="宋体" w:hAnsi="宋体" w:cs="宋体"/>
          <w:sz w:val="32"/>
          <w:szCs w:val="32"/>
        </w:rPr>
        <w:t>财</w:t>
      </w:r>
      <w:r>
        <w:rPr>
          <w:rFonts w:hint="eastAsia" w:ascii="仿宋_GB2312" w:eastAsia="仿宋_GB2312" w:cs="DengXian-Regular"/>
          <w:sz w:val="32"/>
          <w:szCs w:val="32"/>
        </w:rPr>
        <w:t>[2019]13号），本单位认真开展了预算绩效管理改革开展情况自查，对部门全面规范绩效预算编制、严格预算执行管理、推进绩效评价工作、推进预决算信息公开等方面进行了自评，考核结果为优秀。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市长现场办公会筹备资金、民族工作经费、少数民族工作经费、散煤治理4个项目，涉及资226.94万元。从评价情况看，评价结果为优秀的项目有4个。</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 xml:space="preserve">本部门项目支出符合单位职责和相关管理规定，绩效目标合 </w:t>
      </w:r>
    </w:p>
    <w:p>
      <w:pPr>
        <w:adjustRightInd w:val="0"/>
        <w:snapToGrid w:val="0"/>
        <w:spacing w:after="0" w:line="240" w:lineRule="auto"/>
        <w:rPr>
          <w:rFonts w:ascii="仿宋_GB2312" w:eastAsia="仿宋_GB2312" w:cs="DengXian-Regular"/>
          <w:sz w:val="32"/>
          <w:szCs w:val="32"/>
        </w:rPr>
      </w:pPr>
      <w:r>
        <w:rPr>
          <w:rFonts w:ascii="仿宋_GB2312" w:eastAsia="仿宋_GB2312" w:cs="DengXian-Regular"/>
          <w:sz w:val="32"/>
          <w:szCs w:val="32"/>
        </w:rPr>
        <w:t>理，项目较好完成了目标任务，产生了较好地经济效益和社会效益，达到了预期绩效目标。</w:t>
      </w:r>
    </w:p>
    <w:p>
      <w:pPr>
        <w:widowControl/>
        <w:jc w:val="left"/>
        <w:rPr>
          <w:rFonts w:ascii="仿宋_GB2312" w:eastAsia="仿宋_GB2312" w:cs="DengXian-Regular"/>
          <w:sz w:val="32"/>
          <w:szCs w:val="32"/>
        </w:rPr>
      </w:pPr>
      <w:r>
        <w:rPr>
          <w:rFonts w:hint="eastAsia" w:ascii="仿宋_GB2312" w:eastAsia="仿宋_GB2312" w:cs="DengXian-Regular"/>
          <w:sz w:val="32"/>
          <w:szCs w:val="32"/>
        </w:rPr>
        <w:t>本单位市长现场办公会筹备项目绩效自评：根据年初设定的绩效目标，市长现场办公会筹备项目绩效自评结果为优秀。项目全年预算数为0万元，执行数为178.17万元。主要产出和效果是村内公路硬化，乡政府主要街道绿化、美化、亮化工程，乡政府院内和办公楼的修缮等，经过资金投入，高头乡环境面貌有了很大的提升，老百姓出行更加安全方便快捷。</w:t>
      </w:r>
    </w:p>
    <w:p>
      <w:pPr>
        <w:widowControl/>
        <w:ind w:firstLine="620" w:firstLineChars="200"/>
        <w:jc w:val="left"/>
      </w:pPr>
      <w:r>
        <w:rPr>
          <w:rFonts w:ascii="仿宋_GB2312" w:hAnsi="宋体" w:eastAsia="仿宋_GB2312" w:cs="仿宋_GB2312"/>
          <w:color w:val="000000"/>
          <w:kern w:val="0"/>
          <w:sz w:val="31"/>
          <w:szCs w:val="31"/>
          <w:lang w:bidi="ar"/>
        </w:rPr>
        <w:t xml:space="preserve">发现的问题及原因：一是资金使用率较低，部分资金支出与 </w:t>
      </w:r>
    </w:p>
    <w:p>
      <w:pPr>
        <w:widowControl/>
        <w:jc w:val="left"/>
      </w:pPr>
      <w:r>
        <w:rPr>
          <w:rFonts w:ascii="仿宋_GB2312" w:hAnsi="宋体" w:eastAsia="仿宋_GB2312" w:cs="仿宋_GB2312"/>
          <w:color w:val="000000"/>
          <w:kern w:val="0"/>
          <w:sz w:val="31"/>
          <w:szCs w:val="31"/>
          <w:lang w:bidi="ar"/>
        </w:rPr>
        <w:t xml:space="preserve">目标不符；二是实施程序不很到位；三是监督检查不很到位。 </w:t>
      </w:r>
    </w:p>
    <w:p>
      <w:pPr>
        <w:widowControl/>
        <w:ind w:firstLine="620" w:firstLineChars="200"/>
        <w:jc w:val="left"/>
      </w:pPr>
      <w:r>
        <w:rPr>
          <w:rFonts w:ascii="仿宋_GB2312" w:hAnsi="宋体" w:eastAsia="仿宋_GB2312" w:cs="仿宋_GB2312"/>
          <w:color w:val="000000"/>
          <w:kern w:val="0"/>
          <w:sz w:val="31"/>
          <w:szCs w:val="31"/>
          <w:lang w:bidi="ar"/>
        </w:rPr>
        <w:t xml:space="preserve">下一步改进措施：一是提高资金的使用效率；二是完善项目 </w:t>
      </w:r>
    </w:p>
    <w:p>
      <w:pPr>
        <w:widowControl/>
        <w:jc w:val="left"/>
      </w:pPr>
      <w:r>
        <w:rPr>
          <w:rFonts w:ascii="仿宋_GB2312" w:hAnsi="宋体" w:eastAsia="仿宋_GB2312" w:cs="仿宋_GB2312"/>
          <w:color w:val="000000"/>
          <w:kern w:val="0"/>
          <w:sz w:val="31"/>
          <w:szCs w:val="31"/>
          <w:lang w:bidi="ar"/>
        </w:rPr>
        <w:t xml:space="preserve">实施程序；三是加强日常监督；四是科学合理制定产出目标；五 </w:t>
      </w:r>
    </w:p>
    <w:p>
      <w:pPr>
        <w:widowControl/>
        <w:jc w:val="left"/>
        <w:rPr>
          <w:rFonts w:ascii="仿宋_GB2312" w:hAnsi="宋体" w:eastAsia="仿宋_GB2312" w:cs="仿宋_GB2312"/>
          <w:color w:val="000000"/>
          <w:kern w:val="0"/>
          <w:sz w:val="31"/>
          <w:szCs w:val="31"/>
          <w:lang w:bidi="ar"/>
        </w:rPr>
      </w:pPr>
      <w:r>
        <w:rPr>
          <w:rFonts w:ascii="仿宋_GB2312" w:hAnsi="宋体" w:eastAsia="仿宋_GB2312" w:cs="仿宋_GB2312"/>
          <w:color w:val="000000"/>
          <w:kern w:val="0"/>
          <w:sz w:val="31"/>
          <w:szCs w:val="31"/>
          <w:lang w:bidi="ar"/>
        </w:rPr>
        <w:t>是重视并加强满意度调查工作。</w:t>
      </w:r>
    </w:p>
    <w:p>
      <w:pPr>
        <w:adjustRightInd w:val="0"/>
        <w:snapToGrid w:val="0"/>
        <w:spacing w:after="0" w:line="240" w:lineRule="auto"/>
        <w:ind w:firstLine="640" w:firstLineChars="200"/>
        <w:rPr>
          <w:rFonts w:ascii="仿宋_GB2312" w:eastAsia="仿宋_GB2312" w:cs="DengXian-Regular"/>
          <w:sz w:val="32"/>
          <w:szCs w:val="32"/>
        </w:rPr>
      </w:pPr>
    </w:p>
    <w:p>
      <w:pPr>
        <w:pStyle w:val="3"/>
        <w:spacing w:before="0" w:after="0" w:line="240" w:lineRule="auto"/>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240" w:lineRule="auto"/>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本部门2018年度机关运行经费支出149.07万元，比年初预算数增加56.60万元，增长61.21%。主要原因是本年财政拨款增加，人员经费增加。</w:t>
      </w:r>
    </w:p>
    <w:p>
      <w:pPr>
        <w:pStyle w:val="4"/>
        <w:spacing w:before="0" w:after="0" w:line="240" w:lineRule="auto"/>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240" w:lineRule="auto"/>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本部门2018年度政府采购支出总额328.92万元，从采购类型来看，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bidi="ar"/>
        </w:rPr>
        <w:t>328.92</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bidi="ar"/>
        </w:rPr>
        <w:t>328.92</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100%，</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w:t>
      </w:r>
    </w:p>
    <w:p>
      <w:pPr>
        <w:pStyle w:val="4"/>
        <w:spacing w:before="0" w:after="0" w:line="240" w:lineRule="auto"/>
        <w:ind w:firstLine="643" w:firstLineChars="200"/>
        <w:rPr>
          <w:rFonts w:ascii="楷体_GB2312" w:eastAsia="楷体_GB2312" w:cs="DengXian-Bold"/>
        </w:rPr>
      </w:pPr>
      <w:r>
        <w:rPr>
          <w:rFonts w:hint="eastAsia" w:ascii="楷体_GB2312" w:eastAsia="楷体_GB2312" w:cs="DengXian-Bold"/>
        </w:rPr>
        <w:t>（三）国有资产占用情况</w:t>
      </w:r>
    </w:p>
    <w:p>
      <w:pPr>
        <w:widowControl/>
        <w:ind w:firstLine="640" w:firstLineChars="200"/>
        <w:jc w:val="left"/>
      </w:pPr>
      <w:r>
        <w:rPr>
          <w:rFonts w:hint="eastAsia" w:ascii="仿宋_GB2312" w:eastAsia="仿宋_GB2312" w:cs="DengXian-Regular"/>
          <w:sz w:val="32"/>
          <w:szCs w:val="32"/>
        </w:rPr>
        <w:t>截至2018年12月31日，本部门共有车辆1辆，比上年增加0辆，主要是未进行车辆购置。其中，副部（省）级及以上领导用车0辆，主要领导干部用车0辆，机要通信用车0辆，应急保障用车0辆，执法执勤用车0辆，特种专业技术用车0辆，离退休干部用车0辆，其他用1辆，其他用车主要是环保巡查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w:t>
      </w:r>
      <w:r>
        <w:rPr>
          <w:rFonts w:ascii="仿宋_GB2312" w:hAnsi="宋体" w:eastAsia="仿宋_GB2312" w:cs="仿宋_GB2312"/>
          <w:color w:val="000000"/>
          <w:kern w:val="0"/>
          <w:sz w:val="31"/>
          <w:szCs w:val="31"/>
          <w:lang w:bidi="ar"/>
        </w:rPr>
        <w:t>主要是本部门无</w:t>
      </w:r>
      <w:r>
        <w:rPr>
          <w:rFonts w:hint="eastAsia" w:ascii="仿宋_GB2312" w:hAnsi="宋体" w:eastAsia="仿宋_GB2312" w:cs="仿宋_GB2312"/>
          <w:color w:val="000000"/>
          <w:kern w:val="0"/>
          <w:sz w:val="31"/>
          <w:szCs w:val="31"/>
          <w:lang w:bidi="ar"/>
        </w:rPr>
        <w:t>购入</w:t>
      </w:r>
      <w:r>
        <w:rPr>
          <w:rFonts w:ascii="仿宋_GB2312" w:hAnsi="宋体" w:eastAsia="仿宋_GB2312" w:cs="仿宋_GB2312"/>
          <w:color w:val="000000"/>
          <w:kern w:val="0"/>
          <w:sz w:val="31"/>
          <w:szCs w:val="31"/>
          <w:lang w:bidi="ar"/>
        </w:rPr>
        <w:t>通用设备 ，单位价值 100 万元以上专用设备 0 台（套），比上年增加 0 套,主要是本部门无</w:t>
      </w:r>
      <w:r>
        <w:rPr>
          <w:rFonts w:hint="eastAsia" w:ascii="仿宋_GB2312" w:hAnsi="宋体" w:eastAsia="仿宋_GB2312" w:cs="仿宋_GB2312"/>
          <w:color w:val="000000"/>
          <w:kern w:val="0"/>
          <w:sz w:val="31"/>
          <w:szCs w:val="31"/>
          <w:lang w:bidi="ar"/>
        </w:rPr>
        <w:t>购入</w:t>
      </w:r>
      <w:r>
        <w:rPr>
          <w:rFonts w:ascii="仿宋_GB2312" w:hAnsi="宋体" w:eastAsia="仿宋_GB2312" w:cs="仿宋_GB2312"/>
          <w:color w:val="000000"/>
          <w:kern w:val="0"/>
          <w:sz w:val="31"/>
          <w:szCs w:val="31"/>
          <w:lang w:bidi="ar"/>
        </w:rPr>
        <w:t>专用设备。</w:t>
      </w:r>
    </w:p>
    <w:p>
      <w:pPr>
        <w:adjustRightInd w:val="0"/>
        <w:snapToGrid w:val="0"/>
        <w:spacing w:after="0" w:line="240" w:lineRule="auto"/>
        <w:ind w:firstLine="640" w:firstLineChars="200"/>
        <w:rPr>
          <w:rFonts w:ascii="仿宋_GB2312" w:eastAsia="仿宋_GB2312" w:cs="DengXian-Regular"/>
          <w:sz w:val="32"/>
          <w:szCs w:val="32"/>
        </w:rPr>
      </w:pPr>
    </w:p>
    <w:p>
      <w:pPr>
        <w:pStyle w:val="4"/>
        <w:spacing w:before="0" w:after="0" w:line="240" w:lineRule="auto"/>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rPr>
        <w:tab/>
      </w:r>
      <w:r>
        <w:rPr>
          <w:rFonts w:hint="eastAsia" w:ascii="仿宋_GB2312" w:eastAsia="仿宋_GB2312" w:cs="DengXian-Regular"/>
          <w:sz w:val="32"/>
          <w:szCs w:val="32"/>
        </w:rPr>
        <w:t>国有资本经营预算财政拨款无收支及结转结余情况，故</w:t>
      </w:r>
      <w:r>
        <w:rPr>
          <w:rFonts w:hint="eastAsia" w:ascii="仿宋_GB2312" w:eastAsia="仿宋_GB2312" w:cs="DengXian-Regular"/>
          <w:sz w:val="32"/>
          <w:szCs w:val="32"/>
        </w:rPr>
        <w:tab/>
      </w:r>
      <w:r>
        <w:rPr>
          <w:rFonts w:hint="eastAsia" w:ascii="仿宋_GB2312" w:eastAsia="仿宋_GB2312" w:cs="DengXian-Regular"/>
          <w:sz w:val="32"/>
          <w:szCs w:val="32"/>
        </w:rPr>
        <w:t>国有资本经营预算财政拨款支出决算表以空表列示。</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240" w:lineRule="auto"/>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spacing w:line="240" w:lineRule="auto"/>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643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6432;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DNMAIk+&#10;AgAAaQ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LjYQQxFBul0K/6PbKVqbYA5swwG97yqxbJr5kP&#10;t8xhGFAw1iXc4KilQRKzlyhpjPv2L330R49gpaTDcJXUf10zJyiRHzS693Z0GnkI6XI6nhS4uMeW&#10;1WOLXqsLg/kdYTEtT2L0D/Ig1s6oL9iqRcwKE9McuUsaDuJFGEYeW8nFYpGcMH+WhWu9tDyGHuhc&#10;rIOp28R0pGngZs8eJjA1YL8tccQf35PXwx9i/g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WAAAAZHJzL1BLAQIUABQAAAAIAIdO4kDZZp6M&#10;3gAAAA0BAAAPAAAAAAAAAAEAIAAAADgAAABkcnMvZG93bnJldi54bWxQSwECFAAUAAAACACHTuJA&#10;M0wAiT4CAABpBAAADgAAAAAAAAABACAAAABDAQAAZHJzL2Uyb0RvYy54bWxQSwUGAAAAAAYABgBZ&#10;AQAA8w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eastAsia="仿宋_GB2312"/>
        </w:rPr>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240" w:lineRule="auto"/>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4"/>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0000000000000000000"/>
    <w:charset w:val="86"/>
    <w:family w:val="modern"/>
    <w:pitch w:val="default"/>
    <w:sig w:usb0="00000000" w:usb1="00000000" w:usb2="00000000" w:usb3="00000000" w:csb0="00000000" w:csb1="00000000"/>
  </w:font>
  <w:font w:name="仿宋_GB2312">
    <w:altName w:val="方正仿宋_GBK"/>
    <w:panose1 w:val="00000000000000000000"/>
    <w:charset w:val="86"/>
    <w:family w:val="modern"/>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仿宋">
    <w:altName w:val="方正仿宋_GBK"/>
    <w:panose1 w:val="02010609060101010101"/>
    <w:charset w:val="86"/>
    <w:family w:val="modern"/>
    <w:pitch w:val="default"/>
    <w:sig w:usb0="00000000" w:usb1="00000000" w:usb2="00000016" w:usb3="00000000" w:csb0="0004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auto"/>
    <w:pitch w:val="default"/>
    <w:sig w:usb0="00000000" w:usb1="00000000" w:usb2="00000000" w:usb3="00000000" w:csb0="00000001" w:csb1="00000000"/>
  </w:font>
  <w:font w:name="黑体">
    <w:altName w:val="方正黑体_GBK"/>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spacing w:after="0"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DCEA3B"/>
    <w:multiLevelType w:val="singleLevel"/>
    <w:tmpl w:val="F4DCEA3B"/>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24E7F"/>
    <w:rsid w:val="000475A0"/>
    <w:rsid w:val="000838C3"/>
    <w:rsid w:val="000B2446"/>
    <w:rsid w:val="000D7C65"/>
    <w:rsid w:val="000E2F81"/>
    <w:rsid w:val="00117946"/>
    <w:rsid w:val="00117E2C"/>
    <w:rsid w:val="00146C47"/>
    <w:rsid w:val="00152FB8"/>
    <w:rsid w:val="00172A27"/>
    <w:rsid w:val="00176658"/>
    <w:rsid w:val="0018239E"/>
    <w:rsid w:val="001B3410"/>
    <w:rsid w:val="001C030D"/>
    <w:rsid w:val="001C4A84"/>
    <w:rsid w:val="001E5902"/>
    <w:rsid w:val="00221B5E"/>
    <w:rsid w:val="00224E91"/>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02871"/>
    <w:rsid w:val="005641B2"/>
    <w:rsid w:val="00575922"/>
    <w:rsid w:val="005A6C90"/>
    <w:rsid w:val="005E3FB0"/>
    <w:rsid w:val="005F41CA"/>
    <w:rsid w:val="005F4B66"/>
    <w:rsid w:val="005F5208"/>
    <w:rsid w:val="00641318"/>
    <w:rsid w:val="0064405D"/>
    <w:rsid w:val="00685302"/>
    <w:rsid w:val="00695557"/>
    <w:rsid w:val="006D4EA7"/>
    <w:rsid w:val="0070012A"/>
    <w:rsid w:val="0070664B"/>
    <w:rsid w:val="007071B8"/>
    <w:rsid w:val="007414DE"/>
    <w:rsid w:val="0074209C"/>
    <w:rsid w:val="007905A9"/>
    <w:rsid w:val="007E5500"/>
    <w:rsid w:val="007F055B"/>
    <w:rsid w:val="0080644C"/>
    <w:rsid w:val="00811C2F"/>
    <w:rsid w:val="00811DDA"/>
    <w:rsid w:val="00833D46"/>
    <w:rsid w:val="00840A97"/>
    <w:rsid w:val="008A2E2C"/>
    <w:rsid w:val="008C0149"/>
    <w:rsid w:val="008C689C"/>
    <w:rsid w:val="008D5DED"/>
    <w:rsid w:val="008E25CA"/>
    <w:rsid w:val="008F34FC"/>
    <w:rsid w:val="00935058"/>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8744D"/>
    <w:rsid w:val="00EB6A8B"/>
    <w:rsid w:val="00EF38C6"/>
    <w:rsid w:val="00F679C7"/>
    <w:rsid w:val="00F7711A"/>
    <w:rsid w:val="00FA0D58"/>
    <w:rsid w:val="00FA56F4"/>
    <w:rsid w:val="00FB4EDA"/>
    <w:rsid w:val="00FD3BD5"/>
    <w:rsid w:val="00FE3DC8"/>
    <w:rsid w:val="013C183B"/>
    <w:rsid w:val="01456636"/>
    <w:rsid w:val="01A275A5"/>
    <w:rsid w:val="01B32312"/>
    <w:rsid w:val="04073F84"/>
    <w:rsid w:val="04364A54"/>
    <w:rsid w:val="059A1ECA"/>
    <w:rsid w:val="070C1184"/>
    <w:rsid w:val="098C3843"/>
    <w:rsid w:val="0B60750A"/>
    <w:rsid w:val="0BFA2BD4"/>
    <w:rsid w:val="0EC208D5"/>
    <w:rsid w:val="0FA51280"/>
    <w:rsid w:val="10686488"/>
    <w:rsid w:val="10DF728A"/>
    <w:rsid w:val="1264200E"/>
    <w:rsid w:val="141C5B77"/>
    <w:rsid w:val="14D43DA7"/>
    <w:rsid w:val="175E4C54"/>
    <w:rsid w:val="18D8339D"/>
    <w:rsid w:val="19703C8F"/>
    <w:rsid w:val="198122D3"/>
    <w:rsid w:val="1A21388F"/>
    <w:rsid w:val="1A570D2F"/>
    <w:rsid w:val="1E166ED5"/>
    <w:rsid w:val="1F2D6536"/>
    <w:rsid w:val="1F60093F"/>
    <w:rsid w:val="1FBD3DBF"/>
    <w:rsid w:val="1FE23858"/>
    <w:rsid w:val="214E4546"/>
    <w:rsid w:val="21AE0979"/>
    <w:rsid w:val="21D928DE"/>
    <w:rsid w:val="21FB182F"/>
    <w:rsid w:val="245425CE"/>
    <w:rsid w:val="25F3523A"/>
    <w:rsid w:val="27901494"/>
    <w:rsid w:val="283401F7"/>
    <w:rsid w:val="28FB0B8D"/>
    <w:rsid w:val="2A9870FC"/>
    <w:rsid w:val="2BB043E1"/>
    <w:rsid w:val="2C191FC6"/>
    <w:rsid w:val="2D2B7942"/>
    <w:rsid w:val="2D46481D"/>
    <w:rsid w:val="2E733B28"/>
    <w:rsid w:val="2EE30ED2"/>
    <w:rsid w:val="2F387DE2"/>
    <w:rsid w:val="2F546989"/>
    <w:rsid w:val="31852B5A"/>
    <w:rsid w:val="320B6276"/>
    <w:rsid w:val="32D01238"/>
    <w:rsid w:val="338F3D8E"/>
    <w:rsid w:val="3B113FD3"/>
    <w:rsid w:val="3BF54F75"/>
    <w:rsid w:val="3C36154E"/>
    <w:rsid w:val="3DFC59A8"/>
    <w:rsid w:val="3ECF245E"/>
    <w:rsid w:val="3F3F4833"/>
    <w:rsid w:val="3FB96314"/>
    <w:rsid w:val="426B15FC"/>
    <w:rsid w:val="44EA7977"/>
    <w:rsid w:val="486321C0"/>
    <w:rsid w:val="49642844"/>
    <w:rsid w:val="49656101"/>
    <w:rsid w:val="49670AD8"/>
    <w:rsid w:val="4B916A1A"/>
    <w:rsid w:val="4C914CFB"/>
    <w:rsid w:val="4EE65A23"/>
    <w:rsid w:val="500234F7"/>
    <w:rsid w:val="508270EC"/>
    <w:rsid w:val="52727B99"/>
    <w:rsid w:val="53A44FAF"/>
    <w:rsid w:val="55353856"/>
    <w:rsid w:val="56D05943"/>
    <w:rsid w:val="57026961"/>
    <w:rsid w:val="57B81D14"/>
    <w:rsid w:val="594329EC"/>
    <w:rsid w:val="59F84805"/>
    <w:rsid w:val="5BDE6A3A"/>
    <w:rsid w:val="5BEE1540"/>
    <w:rsid w:val="5DE61A5D"/>
    <w:rsid w:val="62896EA0"/>
    <w:rsid w:val="63C04243"/>
    <w:rsid w:val="63EB4A0E"/>
    <w:rsid w:val="649C01C7"/>
    <w:rsid w:val="661963CF"/>
    <w:rsid w:val="66602CEC"/>
    <w:rsid w:val="66605C8D"/>
    <w:rsid w:val="6697300C"/>
    <w:rsid w:val="699A3F60"/>
    <w:rsid w:val="69D96EBD"/>
    <w:rsid w:val="6C6C2D6F"/>
    <w:rsid w:val="6E1557CF"/>
    <w:rsid w:val="6E5D7CE6"/>
    <w:rsid w:val="703322C6"/>
    <w:rsid w:val="719B14C2"/>
    <w:rsid w:val="71E67CEF"/>
    <w:rsid w:val="72902E62"/>
    <w:rsid w:val="73764A8C"/>
    <w:rsid w:val="73C61104"/>
    <w:rsid w:val="75943870"/>
    <w:rsid w:val="776452EA"/>
    <w:rsid w:val="78CA25B5"/>
    <w:rsid w:val="799D2E06"/>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2"/>
    <w:semiHidden/>
    <w:unhideWhenUsed/>
    <w:qFormat/>
    <w:uiPriority w:val="99"/>
    <w:pPr>
      <w:ind w:left="100" w:leftChars="2500"/>
    </w:pPr>
  </w:style>
  <w:style w:type="paragraph" w:styleId="7">
    <w:name w:val="Balloon Text"/>
    <w:basedOn w:val="1"/>
    <w:link w:val="20"/>
    <w:semiHidden/>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Normal (Web)"/>
    <w:basedOn w:val="1"/>
    <w:qFormat/>
    <w:uiPriority w:val="0"/>
    <w:pPr>
      <w:spacing w:before="100" w:beforeAutospacing="1" w:after="100" w:afterAutospacing="1"/>
      <w:jc w:val="left"/>
    </w:pPr>
    <w:rPr>
      <w:kern w:val="0"/>
      <w:sz w:val="24"/>
    </w:rPr>
  </w:style>
  <w:style w:type="paragraph" w:styleId="12">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6">
    <w:name w:val="页眉 Char"/>
    <w:basedOn w:val="15"/>
    <w:link w:val="9"/>
    <w:qFormat/>
    <w:uiPriority w:val="99"/>
    <w:rPr>
      <w:sz w:val="18"/>
      <w:szCs w:val="18"/>
    </w:rPr>
  </w:style>
  <w:style w:type="character" w:customStyle="1" w:styleId="17">
    <w:name w:val="页脚 Char"/>
    <w:basedOn w:val="15"/>
    <w:link w:val="8"/>
    <w:qFormat/>
    <w:uiPriority w:val="99"/>
    <w:rPr>
      <w:sz w:val="18"/>
      <w:szCs w:val="18"/>
    </w:rPr>
  </w:style>
  <w:style w:type="paragraph" w:styleId="18">
    <w:name w:val="No Spacing"/>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Char"/>
    <w:basedOn w:val="15"/>
    <w:link w:val="18"/>
    <w:qFormat/>
    <w:uiPriority w:val="1"/>
    <w:rPr>
      <w:kern w:val="0"/>
      <w:sz w:val="22"/>
    </w:rPr>
  </w:style>
  <w:style w:type="character" w:customStyle="1" w:styleId="20">
    <w:name w:val="批注框文本 Char"/>
    <w:basedOn w:val="15"/>
    <w:link w:val="7"/>
    <w:semiHidden/>
    <w:qFormat/>
    <w:uiPriority w:val="99"/>
    <w:rPr>
      <w:rFonts w:ascii="Times New Roman" w:hAnsi="Times New Roman" w:eastAsia="宋体" w:cs="Times New Roman"/>
      <w:sz w:val="18"/>
      <w:szCs w:val="18"/>
    </w:rPr>
  </w:style>
  <w:style w:type="character" w:customStyle="1" w:styleId="21">
    <w:name w:val="标题 Char"/>
    <w:basedOn w:val="15"/>
    <w:link w:val="12"/>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2">
    <w:name w:val="副标题 Char"/>
    <w:basedOn w:val="15"/>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3">
    <w:name w:val="Style1"/>
    <w:basedOn w:val="15"/>
    <w:qFormat/>
    <w:uiPriority w:val="1"/>
    <w:rPr>
      <w:rFonts w:asciiTheme="minorHAnsi" w:hAnsiTheme="minorEastAsia" w:eastAsiaTheme="minorEastAsia" w:cstheme="minorBidi"/>
      <w:sz w:val="22"/>
      <w:szCs w:val="22"/>
      <w:lang w:eastAsia="zh-CN"/>
    </w:rPr>
  </w:style>
  <w:style w:type="character" w:customStyle="1" w:styleId="24">
    <w:name w:val="Style2"/>
    <w:basedOn w:val="15"/>
    <w:qFormat/>
    <w:uiPriority w:val="1"/>
    <w:rPr>
      <w:rFonts w:asciiTheme="minorHAnsi" w:hAnsiTheme="minorEastAsia" w:eastAsiaTheme="minorEastAsia" w:cstheme="minorBidi"/>
      <w:sz w:val="22"/>
      <w:szCs w:val="22"/>
      <w:lang w:eastAsia="zh-CN"/>
    </w:rPr>
  </w:style>
  <w:style w:type="character" w:customStyle="1" w:styleId="25">
    <w:name w:val="Style3"/>
    <w:basedOn w:val="15"/>
    <w:qFormat/>
    <w:uiPriority w:val="1"/>
    <w:rPr>
      <w:rFonts w:asciiTheme="minorHAnsi" w:hAnsiTheme="minorEastAsia" w:eastAsiaTheme="minorEastAsia" w:cstheme="minorBidi"/>
      <w:szCs w:val="22"/>
      <w:lang w:eastAsia="zh-CN"/>
    </w:rPr>
  </w:style>
  <w:style w:type="character" w:customStyle="1" w:styleId="26">
    <w:name w:val="Style4"/>
    <w:basedOn w:val="15"/>
    <w:qFormat/>
    <w:uiPriority w:val="1"/>
    <w:rPr>
      <w:rFonts w:asciiTheme="minorHAnsi" w:hAnsiTheme="minorEastAsia" w:eastAsiaTheme="minorEastAsia" w:cstheme="minorBidi"/>
      <w:szCs w:val="22"/>
      <w:lang w:eastAsia="zh-CN"/>
    </w:rPr>
  </w:style>
  <w:style w:type="character" w:customStyle="1" w:styleId="27">
    <w:name w:val="Style5"/>
    <w:basedOn w:val="15"/>
    <w:qFormat/>
    <w:uiPriority w:val="1"/>
    <w:rPr>
      <w:rFonts w:asciiTheme="minorHAnsi" w:hAnsiTheme="minorEastAsia" w:eastAsiaTheme="minorEastAsia" w:cstheme="minorBidi"/>
      <w:sz w:val="22"/>
      <w:szCs w:val="22"/>
      <w:lang w:eastAsia="zh-CN"/>
    </w:rPr>
  </w:style>
  <w:style w:type="character" w:customStyle="1" w:styleId="28">
    <w:name w:val="标题 1 Char"/>
    <w:basedOn w:val="15"/>
    <w:link w:val="2"/>
    <w:qFormat/>
    <w:uiPriority w:val="9"/>
    <w:rPr>
      <w:rFonts w:ascii="Times New Roman" w:hAnsi="Times New Roman" w:eastAsia="宋体" w:cs="Times New Roman"/>
      <w:b/>
      <w:bCs/>
      <w:kern w:val="44"/>
      <w:sz w:val="44"/>
      <w:szCs w:val="44"/>
    </w:rPr>
  </w:style>
  <w:style w:type="character" w:customStyle="1" w:styleId="29">
    <w:name w:val="标题 2 Char"/>
    <w:basedOn w:val="15"/>
    <w:link w:val="3"/>
    <w:qFormat/>
    <w:uiPriority w:val="9"/>
    <w:rPr>
      <w:rFonts w:asciiTheme="majorHAnsi" w:hAnsiTheme="majorHAnsi" w:eastAsiaTheme="majorEastAsia" w:cstheme="majorBidi"/>
      <w:b/>
      <w:bCs/>
      <w:sz w:val="32"/>
      <w:szCs w:val="32"/>
    </w:rPr>
  </w:style>
  <w:style w:type="character" w:customStyle="1" w:styleId="30">
    <w:name w:val="标题 3 Char"/>
    <w:basedOn w:val="15"/>
    <w:link w:val="4"/>
    <w:qFormat/>
    <w:uiPriority w:val="9"/>
    <w:rPr>
      <w:rFonts w:ascii="Times New Roman" w:hAnsi="Times New Roman" w:eastAsia="宋体" w:cs="Times New Roman"/>
      <w:b/>
      <w:bCs/>
      <w:sz w:val="32"/>
      <w:szCs w:val="32"/>
    </w:rPr>
  </w:style>
  <w:style w:type="character" w:customStyle="1" w:styleId="31">
    <w:name w:val="标题 4 Char"/>
    <w:basedOn w:val="15"/>
    <w:link w:val="5"/>
    <w:qFormat/>
    <w:uiPriority w:val="9"/>
    <w:rPr>
      <w:rFonts w:asciiTheme="majorHAnsi" w:hAnsiTheme="majorHAnsi" w:eastAsiaTheme="majorEastAsia" w:cstheme="majorBidi"/>
      <w:b/>
      <w:bCs/>
      <w:sz w:val="28"/>
      <w:szCs w:val="28"/>
    </w:rPr>
  </w:style>
  <w:style w:type="character" w:customStyle="1" w:styleId="32">
    <w:name w:val="日期 Char"/>
    <w:basedOn w:val="15"/>
    <w:link w:val="6"/>
    <w:semiHidden/>
    <w:qFormat/>
    <w:uiPriority w:val="99"/>
    <w:rPr>
      <w:rFonts w:ascii="Times New Roman" w:hAnsi="Times New Roman" w:eastAsia="宋体" w:cs="Times New Roman"/>
      <w:szCs w:val="24"/>
    </w:rPr>
  </w:style>
  <w:style w:type="paragraph" w:styleId="3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3.jpeg"/><Relationship Id="rId13" Type="http://schemas.openxmlformats.org/officeDocument/2006/relationships/chart" Target="charts/chart5.xml"/><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1111111\&#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1111111\&#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1111111\&#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1111111\&#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1</a:t>
            </a:r>
            <a:r>
              <a:rPr lang="zh-CN" altLang="zh-CN" sz="1200" b="0">
                <a:latin typeface="仿宋_GB2312" pitchFamily="3" charset="-122"/>
                <a:ea typeface="仿宋_GB2312" pitchFamily="3" charset="-122"/>
              </a:rPr>
              <a:t>：收入构成情况</a:t>
            </a:r>
            <a:endParaRPr lang="zh-CN" altLang="zh-CN" sz="1200" b="1">
              <a:latin typeface="仿宋_GB2312" pitchFamily="3" charset="-122"/>
              <a:ea typeface="仿宋_GB2312"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273571774244054"/>
          <c:y val="0.0074626865671641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dLbl>
              <c:idx val="0"/>
              <c:layout>
                <c:manualLayout>
                  <c:x val="0.0863497999816955"/>
                  <c:y val="-0.47760599342729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703.62</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2</a:t>
            </a:r>
            <a:r>
              <a:rPr lang="zh-CN" altLang="zh-CN" sz="1200" b="0">
                <a:latin typeface="仿宋_GB2312" pitchFamily="3" charset="-122"/>
                <a:ea typeface="仿宋_GB2312" pitchFamily="3" charset="-122"/>
              </a:rPr>
              <a:t>：支出构成情况</a:t>
            </a:r>
            <a:endParaRPr lang="zh-CN" altLang="zh-CN" sz="1200" b="1">
              <a:latin typeface="仿宋_GB2312" pitchFamily="3" charset="-122"/>
              <a:ea typeface="仿宋_GB2312"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483.13</c:v>
                </c:pt>
                <c:pt idx="1">
                  <c:v>226.94</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3</a:t>
            </a:r>
            <a:r>
              <a:rPr lang="zh-CN" altLang="zh-CN" sz="1200" b="0">
                <a:latin typeface="仿宋_GB2312" pitchFamily="3" charset="-122"/>
                <a:ea typeface="仿宋_GB2312" pitchFamily="3" charset="-122"/>
              </a:rPr>
              <a:t>：</a:t>
            </a:r>
            <a:r>
              <a:rPr lang="en-US" altLang="zh-CN" sz="1200" b="0">
                <a:latin typeface="仿宋_GB2312" pitchFamily="3" charset="-122"/>
                <a:ea typeface="仿宋_GB2312" pitchFamily="3" charset="-122"/>
              </a:rPr>
              <a:t>2017-2018</a:t>
            </a:r>
            <a:r>
              <a:rPr lang="zh-CN" altLang="zh-CN" sz="1200" b="0">
                <a:latin typeface="仿宋_GB2312" pitchFamily="3" charset="-122"/>
                <a:ea typeface="仿宋_GB2312" pitchFamily="3" charset="-122"/>
              </a:rPr>
              <a:t>年财政拨款收支对比情况</a:t>
            </a:r>
            <a:endParaRPr lang="zh-CN" altLang="zh-CN" sz="1200" b="0">
              <a:latin typeface="仿宋_GB2312" pitchFamily="3" charset="-122"/>
              <a:ea typeface="仿宋_GB2312" pitchFamily="3" charset="-122"/>
            </a:endParaRPr>
          </a:p>
        </c:rich>
      </c:tx>
      <c:layout>
        <c:manualLayout>
          <c:xMode val="edge"/>
          <c:yMode val="edge"/>
          <c:x val="0.213888888888888"/>
          <c:y val="0.850053248136315"/>
        </c:manualLayout>
      </c:layout>
      <c:overlay val="0"/>
    </c:title>
    <c:autoTitleDeleted val="0"/>
    <c:plotArea>
      <c:layout>
        <c:manualLayout>
          <c:layoutTarget val="inner"/>
          <c:xMode val="edge"/>
          <c:yMode val="edge"/>
          <c:x val="0.108488407699037"/>
          <c:y val="0.111831819744577"/>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703.62</c:v>
                </c:pt>
                <c:pt idx="1">
                  <c:v>710.07</c:v>
                </c:pt>
              </c:numCache>
            </c:numRef>
          </c:val>
        </c:ser>
        <c:ser>
          <c:idx val="1"/>
          <c:order val="1"/>
          <c:tx>
            <c:strRef>
              <c:f>'[部门决算公开制图模板（修改版）(1).xlsx]收支与决算对比'!$A$6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421.57</c:v>
                </c:pt>
                <c:pt idx="1">
                  <c:v>418.12</c:v>
                </c:pt>
              </c:numCache>
            </c:numRef>
          </c:val>
        </c:ser>
        <c:dLbls>
          <c:showLegendKey val="0"/>
          <c:showVal val="1"/>
          <c:showCatName val="0"/>
          <c:showSerName val="0"/>
          <c:showPercent val="0"/>
          <c:showBubbleSize val="0"/>
        </c:dLbls>
        <c:gapWidth val="75"/>
        <c:axId val="117245440"/>
        <c:axId val="117246976"/>
      </c:barChart>
      <c:catAx>
        <c:axId val="11724544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17246976"/>
        <c:crosses val="autoZero"/>
        <c:auto val="1"/>
        <c:lblAlgn val="ctr"/>
        <c:lblOffset val="100"/>
        <c:noMultiLvlLbl val="0"/>
      </c:catAx>
      <c:valAx>
        <c:axId val="11724697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17245440"/>
        <c:crosses val="autoZero"/>
        <c:crossBetween val="between"/>
      </c:valAx>
    </c:plotArea>
    <c:legend>
      <c:legendPos val="b"/>
      <c:layout>
        <c:manualLayout>
          <c:xMode val="edge"/>
          <c:yMode val="edge"/>
          <c:x val="0.426340551181102"/>
          <c:y val="0.756835299740887"/>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itchFamily="3" charset="-122"/>
                <a:ea typeface="仿宋_GB2312" pitchFamily="3" charset="-122"/>
              </a:rPr>
              <a:t>图</a:t>
            </a:r>
            <a:r>
              <a:rPr lang="en-US" altLang="zh-CN" sz="1200" b="0" i="0" u="none" strike="noStrike" baseline="0">
                <a:latin typeface="仿宋_GB2312" pitchFamily="3" charset="-122"/>
                <a:ea typeface="仿宋_GB2312" pitchFamily="3" charset="-122"/>
              </a:rPr>
              <a:t>5</a:t>
            </a:r>
            <a:r>
              <a:rPr lang="zh-CN" altLang="zh-CN" sz="1200" b="0" i="0" u="none" strike="noStrike" baseline="0">
                <a:latin typeface="仿宋_GB2312" pitchFamily="3" charset="-122"/>
                <a:ea typeface="仿宋_GB2312" pitchFamily="3" charset="-122"/>
              </a:rPr>
              <a:t>：财政拨款收支预决算对比情况</a:t>
            </a:r>
            <a:endParaRPr lang="zh-CN" altLang="zh-CN" sz="1200" b="0">
              <a:latin typeface="仿宋_GB2312" pitchFamily="3" charset="-122"/>
              <a:ea typeface="仿宋_GB2312" pitchFamily="3" charset="-122"/>
            </a:endParaRPr>
          </a:p>
        </c:rich>
      </c:tx>
      <c:layout>
        <c:manualLayout>
          <c:xMode val="edge"/>
          <c:yMode val="edge"/>
          <c:x val="0.219444444444445"/>
          <c:y val="0.921675774134791"/>
        </c:manualLayout>
      </c:layout>
      <c:overlay val="0"/>
    </c:title>
    <c:autoTitleDeleted val="0"/>
    <c:plotArea>
      <c:layout>
        <c:manualLayout>
          <c:layoutTarget val="inner"/>
          <c:xMode val="edge"/>
          <c:yMode val="edge"/>
          <c:x val="0.100155074365704"/>
          <c:y val="0.0231156048675734"/>
          <c:w val="0.869289370078741"/>
          <c:h val="0.768818002863279"/>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'[部门决算公开制图模板（修改版）(1).xlsx]收支与预算对比'!$B$4:$D$4</c:f>
              <c:strCache>
                <c:ptCount val="3"/>
                <c:pt idx="0">
                  <c:v>财政拨款收入</c:v>
                </c:pt>
                <c:pt idx="1">
                  <c:v>财政拨款支出</c:v>
                </c:pt>
                <c:pt idx="2">
                  <c:v>金额：万元</c:v>
                </c:pt>
              </c:strCache>
            </c:strRef>
          </c:cat>
          <c:val>
            <c:numRef>
              <c:f>'[部门决算公开制图模板（修改版）(1).xlsx]收支与预算对比'!$B$5:$D$5</c:f>
              <c:numCache>
                <c:formatCode>General</c:formatCode>
                <c:ptCount val="3"/>
                <c:pt idx="0">
                  <c:v>433.8</c:v>
                </c:pt>
                <c:pt idx="1">
                  <c:v>433.8</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'[部门决算公开制图模板（修改版）(1).xlsx]收支与预算对比'!$B$4:$D$4</c:f>
              <c:strCache>
                <c:ptCount val="3"/>
                <c:pt idx="0">
                  <c:v>财政拨款收入</c:v>
                </c:pt>
                <c:pt idx="1">
                  <c:v>财政拨款支出</c:v>
                </c:pt>
                <c:pt idx="2">
                  <c:v>金额：万元</c:v>
                </c:pt>
              </c:strCache>
            </c:strRef>
          </c:cat>
          <c:val>
            <c:numRef>
              <c:f>'[部门决算公开制图模板（修改版）(1).xlsx]收支与预算对比'!$B$6:$D$6</c:f>
              <c:numCache>
                <c:formatCode>General</c:formatCode>
                <c:ptCount val="3"/>
                <c:pt idx="0">
                  <c:v>703.62</c:v>
                </c:pt>
                <c:pt idx="1">
                  <c:v>710.07</c:v>
                </c:pt>
              </c:numCache>
            </c:numRef>
          </c:val>
        </c:ser>
        <c:dLbls>
          <c:showLegendKey val="0"/>
          <c:showVal val="1"/>
          <c:showCatName val="0"/>
          <c:showSerName val="0"/>
          <c:showPercent val="0"/>
          <c:showBubbleSize val="0"/>
        </c:dLbls>
        <c:gapWidth val="75"/>
        <c:axId val="117286016"/>
        <c:axId val="117287552"/>
      </c:barChart>
      <c:catAx>
        <c:axId val="11728601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17287552"/>
        <c:crosses val="autoZero"/>
        <c:auto val="1"/>
        <c:lblAlgn val="ctr"/>
        <c:lblOffset val="100"/>
        <c:noMultiLvlLbl val="0"/>
      </c:catAx>
      <c:valAx>
        <c:axId val="11728755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17286016"/>
        <c:crosses val="autoZero"/>
        <c:crossBetween val="between"/>
      </c:valAx>
    </c:plotArea>
    <c:legend>
      <c:legendPos val="b"/>
      <c:layout>
        <c:manualLayout>
          <c:xMode val="edge"/>
          <c:yMode val="edge"/>
          <c:x val="0.346718285214349"/>
          <c:y val="0.848750340633651"/>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r>
              <a:t>图</a:t>
            </a:r>
            <a:r>
              <a:rPr lang="en-US" altLang="zh-CN"/>
              <a:t>7</a:t>
            </a:r>
            <a:r>
              <a:rPr altLang="en-US"/>
              <a:t>：</a:t>
            </a:r>
            <a:r>
              <a:t>财政拨款支出构成情况  </a:t>
            </a:r>
          </a:p>
          <a:p>
            <a:pPr defTabSz="914400">
              <a:defRPr lang="zh-CN" sz="1400" b="0" i="0" u="none" strike="noStrike" kern="1200" spc="0" baseline="0">
                <a:solidFill>
                  <a:schemeClr val="tx1">
                    <a:lumMod val="65000"/>
                    <a:lumOff val="35000"/>
                  </a:schemeClr>
                </a:solidFill>
                <a:latin typeface="+mn-lt"/>
                <a:ea typeface="+mn-ea"/>
                <a:cs typeface="+mn-cs"/>
              </a:defRPr>
            </a:pPr>
          </a:p>
          <a:p>
            <a:pPr defTabSz="914400">
              <a:defRPr lang="zh-CN" sz="1400" b="0" i="0" u="none" strike="noStrike" kern="1200" spc="0" baseline="0">
                <a:solidFill>
                  <a:schemeClr val="tx1">
                    <a:lumMod val="65000"/>
                    <a:lumOff val="35000"/>
                  </a:schemeClr>
                </a:solidFill>
                <a:latin typeface="+mn-lt"/>
                <a:ea typeface="+mn-ea"/>
                <a:cs typeface="+mn-cs"/>
              </a:defRPr>
            </a:pPr>
            <a:r>
              <a:t>                            </a:t>
            </a:r>
            <a:r>
              <a:rPr sz="1050"/>
              <a:t>一般公共服务支出占</a:t>
            </a:r>
            <a:r>
              <a:rPr lang="en-US" altLang="zh-CN" sz="1050"/>
              <a:t>95.87%                                      </a:t>
            </a:r>
            <a:r>
              <a:rPr altLang="en-US" sz="1050"/>
              <a:t>社会保障和就业支出占</a:t>
            </a:r>
            <a:r>
              <a:rPr lang="en-US" altLang="zh-CN" sz="1050"/>
              <a:t>1.57%                                                                          </a:t>
            </a:r>
            <a:r>
              <a:rPr altLang="en-US" sz="1050"/>
              <a:t>节能环保支出占</a:t>
            </a:r>
            <a:r>
              <a:rPr lang="en-US" altLang="zh-CN" sz="1050"/>
              <a:t>1.80%                                                         </a:t>
            </a:r>
            <a:endParaRPr lang="en-US" altLang="zh-CN" sz="1050"/>
          </a:p>
        </c:rich>
      </c:tx>
      <c:layout/>
      <c:overlay val="0"/>
      <c:spPr>
        <a:noFill/>
        <a:ln>
          <a:noFill/>
        </a:ln>
        <a:effectLst/>
      </c:spPr>
    </c:title>
    <c:autoTitleDeleted val="0"/>
    <c:plotArea>
      <c:layout>
        <c:manualLayout>
          <c:layoutTarget val="inner"/>
          <c:xMode val="edge"/>
          <c:yMode val="edge"/>
          <c:x val="0.1909375"/>
          <c:y val="0.129166666666667"/>
          <c:w val="0.570625"/>
          <c:h val="0.760833333333333"/>
        </c:manualLayout>
      </c:layout>
      <c:pieChart>
        <c:varyColors val="1"/>
        <c:ser>
          <c:idx val="0"/>
          <c:order val="0"/>
          <c:tx>
            <c:strRef>
              <c:f>Sheet1!$B$1</c:f>
              <c:strCache>
                <c:ptCount val="1"/>
                <c:pt idx="0">
                  <c:v>销售额</c:v>
                </c:pt>
              </c:strCache>
            </c:strRef>
          </c:tx>
          <c:explosion val="0"/>
          <c:dPt>
            <c:idx val="0"/>
            <c:bubble3D val="0"/>
            <c:spPr>
              <a:gradFill>
                <a:gsLst>
                  <a:gs pos="0">
                    <a:srgbClr val="007BD3"/>
                  </a:gs>
                  <a:gs pos="100000">
                    <a:srgbClr val="034373"/>
                  </a:gs>
                </a:gsLst>
                <a:lin ang="5400000" scaled="0"/>
              </a:gradFill>
              <a:ln w="19050">
                <a:solidFill>
                  <a:schemeClr val="lt1"/>
                </a:solidFill>
              </a:ln>
              <a:effectLst/>
            </c:spPr>
          </c:dPt>
          <c:dPt>
            <c:idx val="1"/>
            <c:bubble3D val="0"/>
            <c:spPr>
              <a:gradFill>
                <a:gsLst>
                  <a:gs pos="0">
                    <a:srgbClr val="E30000"/>
                  </a:gs>
                  <a:gs pos="100000">
                    <a:srgbClr val="760303"/>
                  </a:gs>
                </a:gsLst>
                <a:lin ang="5400000" scaled="0"/>
              </a:gradFill>
              <a:ln w="19050">
                <a:solidFill>
                  <a:schemeClr val="lt1"/>
                </a:solidFill>
              </a:ln>
              <a:effectLst/>
            </c:spPr>
          </c:dPt>
          <c:dPt>
            <c:idx val="2"/>
            <c:bubble3D val="0"/>
            <c:spPr>
              <a:gradFill>
                <a:gsLst>
                  <a:gs pos="0">
                    <a:srgbClr val="9EE256"/>
                  </a:gs>
                  <a:gs pos="100000">
                    <a:srgbClr val="52762D"/>
                  </a:gs>
                </a:gsLst>
                <a:lin ang="5400000" scaled="0"/>
              </a:gradFill>
              <a:ln w="19050">
                <a:solidFill>
                  <a:schemeClr val="lt1"/>
                </a:solidFill>
              </a:ln>
              <a:effectLst/>
            </c:spPr>
          </c:dPt>
          <c:dPt>
            <c:idx val="3"/>
            <c:bubble3D val="0"/>
            <c:spPr>
              <a:gradFill>
                <a:gsLst>
                  <a:gs pos="0">
                    <a:srgbClr val="7B32B2"/>
                  </a:gs>
                  <a:gs pos="100000">
                    <a:srgbClr val="401A5D"/>
                  </a:gs>
                </a:gsLst>
                <a:lin ang="5400000" scaled="0"/>
              </a:gradFill>
              <a:ln w="19050">
                <a:solidFill>
                  <a:schemeClr val="lt1"/>
                </a:solidFill>
              </a:ln>
              <a:effectLst/>
            </c:spPr>
          </c:dPt>
          <c:dLbls>
            <c:delete val="1"/>
          </c:dLbls>
          <c:cat>
            <c:strRef>
              <c:f>Sheet1!$A$2:$A$5</c:f>
              <c:strCache>
                <c:ptCount val="4"/>
                <c:pt idx="0">
                  <c:v>一般公共服务支出</c:v>
                </c:pt>
                <c:pt idx="1">
                  <c:v>社会保障和就业支出</c:v>
                </c:pt>
                <c:pt idx="2">
                  <c:v>节能环保支出</c:v>
                </c:pt>
                <c:pt idx="3">
                  <c:v>城乡社区支出</c:v>
                </c:pt>
              </c:strCache>
            </c:strRef>
          </c:cat>
          <c:val>
            <c:numRef>
              <c:f>Sheet1!$B$2:$B$5</c:f>
              <c:numCache>
                <c:formatCode>General</c:formatCode>
                <c:ptCount val="4"/>
                <c:pt idx="0">
                  <c:v>680.77</c:v>
                </c:pt>
                <c:pt idx="1">
                  <c:v>11.18</c:v>
                </c:pt>
                <c:pt idx="2">
                  <c:v>12.77</c:v>
                </c:pt>
                <c:pt idx="3">
                  <c:v>5.34</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935"/>
          <c:y val="0.9245"/>
          <c:w val="0.7715"/>
          <c:h val="0.055666666666666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36</Pages>
  <Words>1864</Words>
  <Characters>10626</Characters>
  <Lines>88</Lines>
  <Paragraphs>24</Paragraphs>
  <TotalTime>5</TotalTime>
  <ScaleCrop>false</ScaleCrop>
  <LinksUpToDate>false</LinksUpToDate>
  <CharactersWithSpaces>12466</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caizhengju</cp:lastModifiedBy>
  <cp:lastPrinted>2019-08-02T09:01:00Z</cp:lastPrinted>
  <dcterms:modified xsi:type="dcterms:W3CDTF">2024-01-02T16:08:58Z</dcterms:modified>
  <dc:subject>石家庄市xxx部门</dc:subject>
  <dc:title>2017年度部门决算</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30FF26FA75B991B09AC4936597290470</vt:lpwstr>
  </property>
</Properties>
</file>