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-1008380</wp:posOffset>
            </wp:positionH>
            <wp:positionV relativeFrom="paragraph">
              <wp:posOffset>-1331595</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ind w:firstLine="2880" w:firstLineChars="300"/>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无极县总工会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ind w:firstLine="2880" w:firstLineChars="300"/>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无极县总工会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一九年九月</w:t>
      </w:r>
    </w:p>
    <w:p>
      <w:pPr>
        <w:widowControl/>
        <w:spacing w:after="0" w:line="600" w:lineRule="exact"/>
        <w:jc w:val="left"/>
        <w:rPr>
          <w:rFonts w:ascii="楷体_GB2312" w:hAnsi="楷体" w:eastAsia="楷体_GB2312" w:cs="楷体"/>
          <w:sz w:val="32"/>
          <w:szCs w:val="32"/>
          <w:highlight w:val="yellow"/>
        </w:rPr>
      </w:pP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无极县总工会</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69504"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69504;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
    <w:p/>
    <w:p/>
    <w:p/>
    <w:p/>
    <w:p/>
    <w:p/>
    <w:p/>
    <w:p/>
    <w:p/>
    <w:p/>
    <w:p/>
    <w:p/>
    <w:p/>
    <w:p>
      <w:pPr>
        <w:numPr>
          <w:ilvl w:val="0"/>
          <w:numId w:val="1"/>
        </w:numPr>
        <w:rPr>
          <w:rFonts w:ascii="黑体" w:eastAsia="黑体" w:cs="黑体" w:hAnsiTheme="minorHAnsi"/>
          <w:kern w:val="0"/>
          <w:sz w:val="32"/>
          <w:szCs w:val="32"/>
        </w:rPr>
      </w:pPr>
      <w:r>
        <w:rPr>
          <w:rFonts w:hint="eastAsia" w:ascii="黑体" w:eastAsia="黑体" w:cs="黑体" w:hAnsiTheme="minorHAnsi"/>
          <w:kern w:val="0"/>
          <w:sz w:val="32"/>
          <w:szCs w:val="32"/>
        </w:rPr>
        <w:t>部门职责</w:t>
      </w:r>
    </w:p>
    <w:p>
      <w:pPr>
        <w:ind w:firstLine="640" w:firstLineChars="200"/>
        <w:rPr>
          <w:rFonts w:ascii="仿宋_GB2312" w:hAnsi="仿宋" w:eastAsia="仿宋_GB2312"/>
          <w:sz w:val="32"/>
          <w:szCs w:val="32"/>
        </w:rPr>
      </w:pPr>
      <w:r>
        <w:rPr>
          <w:rFonts w:ascii="仿宋" w:hAnsi="仿宋" w:eastAsia="仿宋" w:cs="仿宋_GB2312"/>
          <w:sz w:val="32"/>
          <w:szCs w:val="32"/>
        </w:rPr>
        <w:t>1</w:t>
      </w:r>
      <w:r>
        <w:rPr>
          <w:rFonts w:hint="eastAsia" w:ascii="仿宋" w:hAnsi="仿宋" w:eastAsia="仿宋" w:cs="仿宋_GB2312"/>
          <w:sz w:val="32"/>
          <w:szCs w:val="32"/>
        </w:rPr>
        <w:t>、</w:t>
      </w:r>
      <w:r>
        <w:rPr>
          <w:rFonts w:hint="eastAsia" w:ascii="仿宋_GB2312" w:hAnsi="仿宋" w:eastAsia="仿宋_GB2312"/>
          <w:sz w:val="32"/>
          <w:szCs w:val="32"/>
        </w:rPr>
        <w:t>根据党的路</w:t>
      </w:r>
      <w:r>
        <w:rPr>
          <w:rFonts w:hint="eastAsia" w:ascii="仿宋_GB2312" w:hAnsi="仿宋" w:eastAsia="仿宋_GB2312" w:cs="宋体"/>
          <w:sz w:val="32"/>
          <w:szCs w:val="32"/>
        </w:rPr>
        <w:t>线</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、政策，</w:t>
      </w:r>
      <w:r>
        <w:rPr>
          <w:rFonts w:hint="eastAsia" w:ascii="仿宋_GB2312" w:hAnsi="仿宋" w:eastAsia="仿宋_GB2312" w:cs="宋体"/>
          <w:sz w:val="32"/>
          <w:szCs w:val="32"/>
        </w:rPr>
        <w:t>围绕县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政府工作大局和上</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工作部署，</w:t>
      </w:r>
      <w:r>
        <w:rPr>
          <w:rFonts w:hint="eastAsia" w:ascii="仿宋_GB2312" w:hAnsi="仿宋" w:eastAsia="仿宋_GB2312" w:cs="宋体"/>
          <w:sz w:val="32"/>
          <w:szCs w:val="32"/>
        </w:rPr>
        <w:t>贯彻执</w:t>
      </w:r>
      <w:r>
        <w:rPr>
          <w:rFonts w:hint="eastAsia" w:ascii="仿宋_GB2312" w:hAnsi="仿宋" w:eastAsia="仿宋_GB2312" w:cs="Batang"/>
          <w:sz w:val="32"/>
          <w:szCs w:val="32"/>
        </w:rPr>
        <w:t>行</w:t>
      </w:r>
      <w:r>
        <w:rPr>
          <w:rFonts w:hint="eastAsia" w:ascii="仿宋_GB2312" w:hAnsi="仿宋" w:eastAsia="仿宋_GB2312" w:cs="宋体"/>
          <w:sz w:val="32"/>
          <w:szCs w:val="32"/>
        </w:rPr>
        <w:t>县总</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代表大</w:t>
      </w:r>
      <w:r>
        <w:rPr>
          <w:rFonts w:hint="eastAsia" w:ascii="仿宋_GB2312" w:hAnsi="仿宋" w:eastAsia="仿宋_GB2312" w:cs="宋体"/>
          <w:sz w:val="32"/>
          <w:szCs w:val="32"/>
        </w:rPr>
        <w:t>会</w:t>
      </w:r>
      <w:r>
        <w:rPr>
          <w:rFonts w:hint="eastAsia" w:ascii="仿宋_GB2312" w:hAnsi="仿宋" w:eastAsia="仿宋_GB2312" w:cs="Batang"/>
          <w:sz w:val="32"/>
          <w:szCs w:val="32"/>
        </w:rPr>
        <w:t>和全委</w:t>
      </w:r>
      <w:r>
        <w:rPr>
          <w:rFonts w:hint="eastAsia" w:ascii="仿宋_GB2312" w:hAnsi="仿宋" w:eastAsia="仿宋_GB2312" w:cs="宋体"/>
          <w:sz w:val="32"/>
          <w:szCs w:val="32"/>
        </w:rPr>
        <w:t>会议</w:t>
      </w:r>
      <w:r>
        <w:rPr>
          <w:rFonts w:hint="eastAsia" w:ascii="仿宋_GB2312" w:hAnsi="仿宋" w:eastAsia="仿宋_GB2312" w:cs="Batang"/>
          <w:sz w:val="32"/>
          <w:szCs w:val="32"/>
        </w:rPr>
        <w:t>确定的任</w:t>
      </w:r>
      <w:r>
        <w:rPr>
          <w:rFonts w:hint="eastAsia" w:ascii="仿宋_GB2312" w:hAnsi="仿宋" w:eastAsia="仿宋_GB2312" w:cs="宋体"/>
          <w:sz w:val="32"/>
          <w:szCs w:val="32"/>
        </w:rPr>
        <w:t>务与</w:t>
      </w:r>
      <w:r>
        <w:rPr>
          <w:rFonts w:hint="eastAsia" w:ascii="仿宋_GB2312" w:hAnsi="仿宋" w:eastAsia="仿宋_GB2312" w:cs="Batang"/>
          <w:sz w:val="32"/>
          <w:szCs w:val="32"/>
        </w:rPr>
        <w:t>作出的</w:t>
      </w:r>
      <w:r>
        <w:rPr>
          <w:rFonts w:hint="eastAsia" w:ascii="仿宋_GB2312" w:hAnsi="仿宋" w:eastAsia="仿宋_GB2312" w:cs="宋体"/>
          <w:sz w:val="32"/>
          <w:szCs w:val="32"/>
        </w:rPr>
        <w:t>决议</w:t>
      </w:r>
      <w:r>
        <w:rPr>
          <w:rFonts w:hint="eastAsia" w:ascii="仿宋_GB2312" w:hAnsi="仿宋" w:eastAsia="仿宋_GB2312" w:cs="Batang"/>
          <w:sz w:val="32"/>
          <w:szCs w:val="32"/>
        </w:rPr>
        <w:t>。</w:t>
      </w:r>
    </w:p>
    <w:p>
      <w:pPr>
        <w:rPr>
          <w:rFonts w:ascii="仿宋_GB2312" w:hAnsi="仿宋" w:eastAsia="仿宋_GB2312"/>
          <w:sz w:val="32"/>
          <w:szCs w:val="32"/>
        </w:rPr>
      </w:pPr>
      <w:r>
        <w:rPr>
          <w:rFonts w:hint="eastAsia" w:ascii="仿宋_GB2312" w:hAnsi="仿宋" w:eastAsia="仿宋_GB2312"/>
          <w:sz w:val="32"/>
          <w:szCs w:val="32"/>
        </w:rPr>
        <w:t xml:space="preserve">    2、依照法律和《中</w:t>
      </w:r>
      <w:r>
        <w:rPr>
          <w:rFonts w:hint="eastAsia" w:ascii="仿宋_GB2312" w:hAnsi="仿宋" w:eastAsia="仿宋_GB2312" w:cs="宋体"/>
          <w:sz w:val="32"/>
          <w:szCs w:val="32"/>
        </w:rPr>
        <w:t>国</w:t>
      </w:r>
      <w:r>
        <w:rPr>
          <w:rFonts w:hint="eastAsia" w:ascii="仿宋_GB2312" w:hAnsi="仿宋" w:eastAsia="仿宋_GB2312" w:cs="Batang"/>
          <w:sz w:val="32"/>
          <w:szCs w:val="32"/>
        </w:rPr>
        <w:t>工</w:t>
      </w:r>
      <w:r>
        <w:rPr>
          <w:rFonts w:hint="eastAsia" w:ascii="仿宋_GB2312" w:hAnsi="仿宋" w:eastAsia="仿宋_GB2312" w:cs="宋体"/>
          <w:sz w:val="32"/>
          <w:szCs w:val="32"/>
        </w:rPr>
        <w:t>会</w:t>
      </w:r>
      <w:r>
        <w:rPr>
          <w:rFonts w:hint="eastAsia" w:ascii="仿宋_GB2312" w:hAnsi="仿宋" w:eastAsia="仿宋_GB2312" w:cs="Batang"/>
          <w:sz w:val="32"/>
          <w:szCs w:val="32"/>
        </w:rPr>
        <w:t>章程》，</w:t>
      </w:r>
      <w:r>
        <w:rPr>
          <w:rFonts w:hint="eastAsia" w:ascii="仿宋_GB2312" w:hAnsi="仿宋" w:eastAsia="仿宋_GB2312" w:cs="宋体"/>
          <w:sz w:val="32"/>
          <w:szCs w:val="32"/>
        </w:rPr>
        <w:t>组织</w:t>
      </w:r>
      <w:r>
        <w:rPr>
          <w:rFonts w:hint="eastAsia" w:ascii="仿宋_GB2312" w:hAnsi="仿宋" w:eastAsia="仿宋_GB2312" w:cs="Batang"/>
          <w:sz w:val="32"/>
          <w:szCs w:val="32"/>
        </w:rPr>
        <w:t>和指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会坚</w:t>
      </w:r>
      <w:r>
        <w:rPr>
          <w:rFonts w:hint="eastAsia" w:ascii="仿宋_GB2312" w:hAnsi="仿宋" w:eastAsia="仿宋_GB2312" w:cs="Batang"/>
          <w:sz w:val="32"/>
          <w:szCs w:val="32"/>
        </w:rPr>
        <w:t>定不移地</w:t>
      </w:r>
      <w:r>
        <w:rPr>
          <w:rFonts w:hint="eastAsia" w:ascii="仿宋_GB2312" w:hAnsi="仿宋" w:eastAsia="仿宋_GB2312" w:cs="宋体"/>
          <w:sz w:val="32"/>
          <w:szCs w:val="32"/>
        </w:rPr>
        <w:t>贯彻</w:t>
      </w:r>
      <w:r>
        <w:rPr>
          <w:rFonts w:hint="eastAsia" w:ascii="仿宋_GB2312" w:hAnsi="仿宋" w:eastAsia="仿宋_GB2312" w:cs="Batang"/>
          <w:sz w:val="32"/>
          <w:szCs w:val="32"/>
        </w:rPr>
        <w:t>党的全心全意依靠工人</w:t>
      </w:r>
      <w:r>
        <w:rPr>
          <w:rFonts w:hint="eastAsia" w:ascii="仿宋_GB2312" w:hAnsi="仿宋" w:eastAsia="仿宋_GB2312" w:cs="宋体"/>
          <w:sz w:val="32"/>
          <w:szCs w:val="32"/>
        </w:rPr>
        <w:t>阶级</w:t>
      </w:r>
      <w:r>
        <w:rPr>
          <w:rFonts w:hint="eastAsia" w:ascii="仿宋_GB2312" w:hAnsi="仿宋" w:eastAsia="仿宋_GB2312" w:cs="Batang"/>
          <w:sz w:val="32"/>
          <w:szCs w:val="32"/>
        </w:rPr>
        <w:t>的根本指</w:t>
      </w:r>
      <w:r>
        <w:rPr>
          <w:rFonts w:hint="eastAsia" w:ascii="仿宋_GB2312" w:hAnsi="仿宋" w:eastAsia="仿宋_GB2312" w:cs="宋体"/>
          <w:sz w:val="32"/>
          <w:szCs w:val="32"/>
        </w:rPr>
        <w:t>导</w:t>
      </w:r>
      <w:r>
        <w:rPr>
          <w:rFonts w:hint="eastAsia" w:ascii="仿宋_GB2312" w:hAnsi="仿宋" w:eastAsia="仿宋_GB2312" w:cs="Batang"/>
          <w:sz w:val="32"/>
          <w:szCs w:val="32"/>
        </w:rPr>
        <w:t>方</w:t>
      </w:r>
      <w:r>
        <w:rPr>
          <w:rFonts w:hint="eastAsia" w:ascii="仿宋_GB2312" w:hAnsi="仿宋" w:eastAsia="仿宋_GB2312" w:cs="宋体"/>
          <w:sz w:val="32"/>
          <w:szCs w:val="32"/>
        </w:rPr>
        <w:t>针</w:t>
      </w:r>
      <w:r>
        <w:rPr>
          <w:rFonts w:hint="eastAsia" w:ascii="仿宋_GB2312" w:hAnsi="仿宋" w:eastAsia="仿宋_GB2312" w:cs="Batang"/>
          <w:sz w:val="32"/>
          <w:szCs w:val="32"/>
        </w:rPr>
        <w:t>，全面履行工</w:t>
      </w:r>
      <w:r>
        <w:rPr>
          <w:rFonts w:hint="eastAsia" w:ascii="仿宋_GB2312" w:hAnsi="仿宋" w:eastAsia="仿宋_GB2312" w:cs="宋体"/>
          <w:sz w:val="32"/>
          <w:szCs w:val="32"/>
        </w:rPr>
        <w:t>会</w:t>
      </w:r>
      <w:r>
        <w:rPr>
          <w:rFonts w:hint="eastAsia" w:ascii="仿宋_GB2312" w:hAnsi="仿宋" w:eastAsia="仿宋_GB2312" w:cs="Batang"/>
          <w:sz w:val="32"/>
          <w:szCs w:val="32"/>
        </w:rPr>
        <w:t>各</w:t>
      </w:r>
      <w:r>
        <w:rPr>
          <w:rFonts w:hint="eastAsia" w:ascii="仿宋_GB2312" w:hAnsi="仿宋" w:eastAsia="仿宋_GB2312" w:cs="宋体"/>
          <w:sz w:val="32"/>
          <w:szCs w:val="32"/>
        </w:rPr>
        <w:t>项职</w:t>
      </w:r>
      <w:r>
        <w:rPr>
          <w:rFonts w:hint="eastAsia" w:ascii="仿宋_GB2312" w:hAnsi="仿宋" w:eastAsia="仿宋_GB2312" w:cs="Batang"/>
          <w:sz w:val="32"/>
          <w:szCs w:val="32"/>
        </w:rPr>
        <w:t>能，</w:t>
      </w:r>
      <w:r>
        <w:rPr>
          <w:rFonts w:hint="eastAsia" w:ascii="仿宋_GB2312" w:hAnsi="仿宋" w:eastAsia="仿宋_GB2312" w:cs="宋体"/>
          <w:sz w:val="32"/>
          <w:szCs w:val="32"/>
        </w:rPr>
        <w:t>进</w:t>
      </w:r>
      <w:r>
        <w:rPr>
          <w:rFonts w:hint="eastAsia" w:ascii="仿宋_GB2312" w:hAnsi="仿宋" w:eastAsia="仿宋_GB2312" w:cs="Batang"/>
          <w:sz w:val="32"/>
          <w:szCs w:val="32"/>
        </w:rPr>
        <w:t>一步突出和履行</w:t>
      </w:r>
      <w:r>
        <w:rPr>
          <w:rFonts w:hint="eastAsia" w:ascii="仿宋_GB2312" w:hAnsi="仿宋" w:eastAsia="仿宋_GB2312" w:cs="宋体"/>
          <w:sz w:val="32"/>
          <w:szCs w:val="32"/>
        </w:rPr>
        <w:t>维护职</w:t>
      </w:r>
      <w:r>
        <w:rPr>
          <w:rFonts w:hint="eastAsia" w:ascii="仿宋_GB2312" w:hAnsi="仿宋" w:eastAsia="仿宋_GB2312" w:cs="Batang"/>
          <w:sz w:val="32"/>
          <w:szCs w:val="32"/>
        </w:rPr>
        <w:t>能。</w:t>
      </w:r>
    </w:p>
    <w:p>
      <w:pPr>
        <w:rPr>
          <w:rFonts w:ascii="仿宋_GB2312" w:hAnsi="仿宋" w:eastAsia="仿宋_GB2312"/>
          <w:sz w:val="32"/>
          <w:szCs w:val="32"/>
        </w:rPr>
      </w:pPr>
      <w:r>
        <w:rPr>
          <w:rFonts w:hint="eastAsia" w:ascii="仿宋_GB2312" w:hAnsi="仿宋" w:eastAsia="仿宋_GB2312"/>
          <w:sz w:val="32"/>
          <w:szCs w:val="32"/>
        </w:rPr>
        <w:t xml:space="preserve">    3、</w:t>
      </w:r>
      <w:r>
        <w:rPr>
          <w:rFonts w:hint="eastAsia" w:ascii="仿宋_GB2312" w:hAnsi="仿宋" w:eastAsia="仿宋_GB2312" w:cs="宋体"/>
          <w:sz w:val="32"/>
          <w:szCs w:val="32"/>
        </w:rPr>
        <w:t>对</w:t>
      </w:r>
      <w:r>
        <w:rPr>
          <w:rFonts w:hint="eastAsia" w:ascii="仿宋_GB2312" w:hAnsi="仿宋" w:eastAsia="仿宋_GB2312" w:cs="Batang"/>
          <w:sz w:val="32"/>
          <w:szCs w:val="32"/>
        </w:rPr>
        <w:t>有</w:t>
      </w:r>
      <w:r>
        <w:rPr>
          <w:rFonts w:hint="eastAsia" w:ascii="仿宋_GB2312" w:hAnsi="仿宋" w:eastAsia="仿宋_GB2312" w:cs="宋体"/>
          <w:sz w:val="32"/>
          <w:szCs w:val="32"/>
        </w:rPr>
        <w:t>关职</w:t>
      </w:r>
      <w:r>
        <w:rPr>
          <w:rFonts w:hint="eastAsia" w:ascii="仿宋_GB2312" w:hAnsi="仿宋" w:eastAsia="仿宋_GB2312" w:cs="Batang"/>
          <w:sz w:val="32"/>
          <w:szCs w:val="32"/>
        </w:rPr>
        <w:t>工合法</w:t>
      </w:r>
      <w:r>
        <w:rPr>
          <w:rFonts w:hint="eastAsia" w:ascii="仿宋_GB2312" w:hAnsi="仿宋" w:eastAsia="仿宋_GB2312" w:cs="宋体"/>
          <w:sz w:val="32"/>
          <w:szCs w:val="32"/>
        </w:rPr>
        <w:t>权</w:t>
      </w:r>
      <w:r>
        <w:rPr>
          <w:rFonts w:hint="eastAsia" w:ascii="仿宋_GB2312" w:hAnsi="仿宋" w:eastAsia="仿宋_GB2312" w:cs="Batang"/>
          <w:sz w:val="32"/>
          <w:szCs w:val="32"/>
        </w:rPr>
        <w:t>益的重大</w:t>
      </w:r>
      <w:r>
        <w:rPr>
          <w:rFonts w:hint="eastAsia" w:ascii="仿宋_GB2312" w:hAnsi="仿宋" w:eastAsia="仿宋_GB2312" w:cs="宋体"/>
          <w:sz w:val="32"/>
          <w:szCs w:val="32"/>
        </w:rPr>
        <w:t>问题进</w:t>
      </w:r>
      <w:r>
        <w:rPr>
          <w:rFonts w:hint="eastAsia" w:ascii="仿宋_GB2312" w:hAnsi="仿宋" w:eastAsia="仿宋_GB2312" w:cs="Batang"/>
          <w:sz w:val="32"/>
          <w:szCs w:val="32"/>
        </w:rPr>
        <w:t>行</w:t>
      </w:r>
      <w:r>
        <w:rPr>
          <w:rFonts w:hint="eastAsia" w:ascii="仿宋_GB2312" w:hAnsi="仿宋" w:eastAsia="仿宋_GB2312" w:cs="宋体"/>
          <w:sz w:val="32"/>
          <w:szCs w:val="32"/>
        </w:rPr>
        <w:t>调查研</w:t>
      </w:r>
      <w:r>
        <w:rPr>
          <w:rFonts w:hint="eastAsia" w:ascii="仿宋_GB2312" w:hAnsi="仿宋" w:eastAsia="仿宋_GB2312" w:cs="Batang"/>
          <w:sz w:val="32"/>
          <w:szCs w:val="32"/>
        </w:rPr>
        <w:t>究，向</w:t>
      </w:r>
      <w:r>
        <w:rPr>
          <w:rFonts w:hint="eastAsia" w:ascii="仿宋_GB2312" w:hAnsi="仿宋" w:eastAsia="仿宋_GB2312" w:cs="宋体"/>
          <w:sz w:val="32"/>
          <w:szCs w:val="32"/>
        </w:rPr>
        <w:t>县</w:t>
      </w:r>
      <w:r>
        <w:rPr>
          <w:rFonts w:hint="eastAsia" w:ascii="仿宋_GB2312" w:hAnsi="仿宋" w:eastAsia="仿宋_GB2312" w:cs="Batang"/>
          <w:sz w:val="32"/>
          <w:szCs w:val="32"/>
        </w:rPr>
        <w:t>委、</w:t>
      </w:r>
      <w:r>
        <w:rPr>
          <w:rFonts w:hint="eastAsia" w:ascii="仿宋_GB2312" w:hAnsi="仿宋" w:eastAsia="仿宋_GB2312" w:cs="宋体"/>
          <w:sz w:val="32"/>
          <w:szCs w:val="32"/>
        </w:rPr>
        <w:t>县</w:t>
      </w:r>
      <w:r>
        <w:rPr>
          <w:rFonts w:hint="eastAsia" w:ascii="仿宋_GB2312" w:hAnsi="仿宋" w:eastAsia="仿宋_GB2312" w:cs="Batang"/>
          <w:sz w:val="32"/>
          <w:szCs w:val="32"/>
        </w:rPr>
        <w:t>政府反映</w:t>
      </w:r>
      <w:r>
        <w:rPr>
          <w:rFonts w:hint="eastAsia" w:ascii="仿宋_GB2312" w:hAnsi="仿宋" w:eastAsia="仿宋_GB2312" w:cs="宋体"/>
          <w:sz w:val="32"/>
          <w:szCs w:val="32"/>
        </w:rPr>
        <w:t>职</w:t>
      </w:r>
      <w:r>
        <w:rPr>
          <w:rFonts w:hint="eastAsia" w:ascii="仿宋_GB2312" w:hAnsi="仿宋" w:eastAsia="仿宋_GB2312" w:cs="Batang"/>
          <w:sz w:val="32"/>
          <w:szCs w:val="32"/>
        </w:rPr>
        <w:t>工群</w:t>
      </w:r>
      <w:r>
        <w:rPr>
          <w:rFonts w:hint="eastAsia" w:ascii="仿宋_GB2312" w:hAnsi="仿宋" w:eastAsia="仿宋_GB2312" w:cs="宋体"/>
          <w:sz w:val="32"/>
          <w:szCs w:val="32"/>
        </w:rPr>
        <w:t>众</w:t>
      </w:r>
      <w:r>
        <w:rPr>
          <w:rFonts w:hint="eastAsia" w:ascii="仿宋_GB2312" w:hAnsi="仿宋" w:eastAsia="仿宋_GB2312" w:cs="Batang"/>
          <w:sz w:val="32"/>
          <w:szCs w:val="32"/>
        </w:rPr>
        <w:t>的思想、愿望和要求，提出意</w:t>
      </w:r>
      <w:r>
        <w:rPr>
          <w:rFonts w:hint="eastAsia" w:ascii="仿宋_GB2312" w:hAnsi="仿宋" w:eastAsia="仿宋_GB2312" w:cs="宋体"/>
          <w:sz w:val="32"/>
          <w:szCs w:val="32"/>
        </w:rPr>
        <w:t>见</w:t>
      </w:r>
      <w:r>
        <w:rPr>
          <w:rFonts w:hint="eastAsia" w:ascii="仿宋_GB2312" w:hAnsi="仿宋" w:eastAsia="仿宋_GB2312" w:cs="Batang"/>
          <w:sz w:val="32"/>
          <w:szCs w:val="32"/>
        </w:rPr>
        <w:t>和建</w:t>
      </w:r>
      <w:r>
        <w:rPr>
          <w:rFonts w:hint="eastAsia" w:ascii="仿宋_GB2312" w:hAnsi="仿宋" w:eastAsia="仿宋_GB2312" w:cs="宋体"/>
          <w:sz w:val="32"/>
          <w:szCs w:val="32"/>
        </w:rPr>
        <w:t>议</w:t>
      </w:r>
      <w:r>
        <w:rPr>
          <w:rFonts w:hint="eastAsia" w:ascii="仿宋_GB2312" w:hAnsi="仿宋" w:eastAsia="仿宋_GB2312" w:cs="Batang"/>
          <w:sz w:val="32"/>
          <w:szCs w:val="32"/>
        </w:rPr>
        <w:t>；</w:t>
      </w:r>
      <w:r>
        <w:rPr>
          <w:rFonts w:hint="eastAsia" w:ascii="仿宋_GB2312" w:hAnsi="仿宋" w:eastAsia="仿宋_GB2312" w:cs="宋体"/>
          <w:sz w:val="32"/>
          <w:szCs w:val="32"/>
        </w:rPr>
        <w:t>参与</w:t>
      </w:r>
      <w:r>
        <w:rPr>
          <w:rFonts w:hint="eastAsia" w:ascii="仿宋_GB2312" w:hAnsi="仿宋" w:eastAsia="仿宋_GB2312" w:cs="Batang"/>
          <w:sz w:val="32"/>
          <w:szCs w:val="32"/>
        </w:rPr>
        <w:t>涉及</w:t>
      </w:r>
      <w:r>
        <w:rPr>
          <w:rFonts w:hint="eastAsia" w:ascii="仿宋_GB2312" w:hAnsi="仿宋" w:eastAsia="仿宋_GB2312" w:cs="宋体"/>
          <w:sz w:val="32"/>
          <w:szCs w:val="32"/>
        </w:rPr>
        <w:t>职</w:t>
      </w:r>
      <w:r>
        <w:rPr>
          <w:rFonts w:hint="eastAsia" w:ascii="仿宋_GB2312" w:hAnsi="仿宋" w:eastAsia="仿宋_GB2312" w:cs="Batang"/>
          <w:sz w:val="32"/>
          <w:szCs w:val="32"/>
        </w:rPr>
        <w:t>工切身利益的政策、措施、制度及</w:t>
      </w:r>
      <w:r>
        <w:rPr>
          <w:rFonts w:hint="eastAsia" w:ascii="仿宋_GB2312" w:hAnsi="仿宋" w:eastAsia="仿宋_GB2312" w:cs="宋体"/>
          <w:sz w:val="32"/>
          <w:szCs w:val="32"/>
        </w:rPr>
        <w:t>规</w:t>
      </w:r>
      <w:r>
        <w:rPr>
          <w:rFonts w:hint="eastAsia" w:ascii="仿宋_GB2312" w:hAnsi="仿宋" w:eastAsia="仿宋_GB2312" w:cs="Batang"/>
          <w:sz w:val="32"/>
          <w:szCs w:val="32"/>
        </w:rPr>
        <w:t>范性文件的</w:t>
      </w:r>
      <w:r>
        <w:rPr>
          <w:rFonts w:hint="eastAsia" w:ascii="仿宋_GB2312" w:hAnsi="仿宋" w:eastAsia="仿宋_GB2312" w:cs="宋体"/>
          <w:sz w:val="32"/>
          <w:szCs w:val="32"/>
        </w:rPr>
        <w:t>拟</w:t>
      </w:r>
      <w:r>
        <w:rPr>
          <w:rFonts w:hint="eastAsia" w:ascii="仿宋_GB2312" w:hAnsi="仿宋" w:eastAsia="仿宋_GB2312" w:cs="Batang"/>
          <w:sz w:val="32"/>
          <w:szCs w:val="32"/>
        </w:rPr>
        <w:t>定；</w:t>
      </w:r>
      <w:r>
        <w:rPr>
          <w:rFonts w:hint="eastAsia" w:ascii="仿宋_GB2312" w:hAnsi="仿宋" w:eastAsia="仿宋_GB2312" w:cs="宋体"/>
          <w:sz w:val="32"/>
          <w:szCs w:val="32"/>
        </w:rPr>
        <w:t>参与职</w:t>
      </w:r>
      <w:r>
        <w:rPr>
          <w:rFonts w:hint="eastAsia" w:ascii="仿宋_GB2312" w:hAnsi="仿宋" w:eastAsia="仿宋_GB2312" w:cs="Batang"/>
          <w:sz w:val="32"/>
          <w:szCs w:val="32"/>
        </w:rPr>
        <w:t>工重大</w:t>
      </w:r>
      <w:r>
        <w:rPr>
          <w:rFonts w:hint="eastAsia" w:ascii="仿宋_GB2312" w:hAnsi="仿宋" w:eastAsia="仿宋_GB2312" w:cs="宋体"/>
          <w:sz w:val="32"/>
          <w:szCs w:val="32"/>
        </w:rPr>
        <w:t>伤</w:t>
      </w:r>
      <w:r>
        <w:rPr>
          <w:rFonts w:hint="eastAsia" w:ascii="仿宋_GB2312" w:hAnsi="仿宋" w:eastAsia="仿宋_GB2312" w:cs="Batang"/>
          <w:sz w:val="32"/>
          <w:szCs w:val="32"/>
        </w:rPr>
        <w:t>亡事故和</w:t>
      </w:r>
      <w:r>
        <w:rPr>
          <w:rFonts w:hint="eastAsia" w:ascii="仿宋_GB2312" w:hAnsi="仿宋" w:eastAsia="仿宋_GB2312" w:cs="宋体"/>
          <w:sz w:val="32"/>
          <w:szCs w:val="32"/>
        </w:rPr>
        <w:t>严</w:t>
      </w:r>
      <w:r>
        <w:rPr>
          <w:rFonts w:hint="eastAsia" w:ascii="仿宋_GB2312" w:hAnsi="仿宋" w:eastAsia="仿宋_GB2312" w:cs="Batang"/>
          <w:sz w:val="32"/>
          <w:szCs w:val="32"/>
        </w:rPr>
        <w:t>重</w:t>
      </w:r>
      <w:r>
        <w:rPr>
          <w:rFonts w:hint="eastAsia" w:ascii="仿宋_GB2312" w:hAnsi="仿宋" w:eastAsia="仿宋_GB2312" w:cs="宋体"/>
          <w:sz w:val="32"/>
          <w:szCs w:val="32"/>
        </w:rPr>
        <w:t>职业</w:t>
      </w:r>
      <w:r>
        <w:rPr>
          <w:rFonts w:hint="eastAsia" w:ascii="仿宋_GB2312" w:hAnsi="仿宋" w:eastAsia="仿宋_GB2312" w:cs="Batang"/>
          <w:sz w:val="32"/>
          <w:szCs w:val="32"/>
        </w:rPr>
        <w:t>危害的</w:t>
      </w:r>
      <w:r>
        <w:rPr>
          <w:rFonts w:hint="eastAsia" w:ascii="仿宋_GB2312" w:hAnsi="仿宋" w:eastAsia="仿宋_GB2312" w:cs="宋体"/>
          <w:sz w:val="32"/>
          <w:szCs w:val="32"/>
        </w:rPr>
        <w:t>调查处</w:t>
      </w:r>
      <w:r>
        <w:rPr>
          <w:rFonts w:hint="eastAsia" w:ascii="仿宋_GB2312" w:hAnsi="仿宋" w:eastAsia="仿宋_GB2312" w:cs="Batang"/>
          <w:sz w:val="32"/>
          <w:szCs w:val="32"/>
        </w:rPr>
        <w:t>理；</w:t>
      </w:r>
      <w:r>
        <w:rPr>
          <w:rFonts w:hint="eastAsia" w:ascii="仿宋_GB2312" w:hAnsi="仿宋" w:eastAsia="仿宋_GB2312" w:cs="宋体"/>
          <w:sz w:val="32"/>
          <w:szCs w:val="32"/>
        </w:rPr>
        <w:t>坚</w:t>
      </w:r>
      <w:r>
        <w:rPr>
          <w:rFonts w:hint="eastAsia" w:ascii="仿宋_GB2312" w:hAnsi="仿宋" w:eastAsia="仿宋_GB2312" w:cs="Batang"/>
          <w:sz w:val="32"/>
          <w:szCs w:val="32"/>
        </w:rPr>
        <w:t>持</w:t>
      </w:r>
      <w:r>
        <w:rPr>
          <w:rFonts w:hint="eastAsia" w:ascii="仿宋_GB2312" w:hAnsi="仿宋" w:eastAsia="仿宋_GB2312" w:cs="宋体"/>
          <w:sz w:val="32"/>
          <w:szCs w:val="32"/>
        </w:rPr>
        <w:t>与</w:t>
      </w:r>
      <w:r>
        <w:rPr>
          <w:rFonts w:hint="eastAsia" w:ascii="仿宋_GB2312" w:hAnsi="仿宋" w:eastAsia="仿宋_GB2312" w:cs="Batang"/>
          <w:sz w:val="32"/>
          <w:szCs w:val="32"/>
        </w:rPr>
        <w:t>政府的</w:t>
      </w:r>
      <w:r>
        <w:rPr>
          <w:rFonts w:hint="eastAsia" w:ascii="仿宋_GB2312" w:hAnsi="仿宋" w:eastAsia="仿宋_GB2312" w:cs="宋体"/>
          <w:sz w:val="32"/>
          <w:szCs w:val="32"/>
        </w:rPr>
        <w:t>联</w:t>
      </w:r>
      <w:r>
        <w:rPr>
          <w:rFonts w:hint="eastAsia" w:ascii="仿宋_GB2312" w:hAnsi="仿宋" w:eastAsia="仿宋_GB2312" w:cs="Batang"/>
          <w:sz w:val="32"/>
          <w:szCs w:val="32"/>
        </w:rPr>
        <w:t>席（</w:t>
      </w:r>
      <w:r>
        <w:rPr>
          <w:rFonts w:hint="eastAsia" w:ascii="仿宋_GB2312" w:hAnsi="仿宋" w:eastAsia="仿宋_GB2312" w:cs="宋体"/>
          <w:sz w:val="32"/>
          <w:szCs w:val="32"/>
        </w:rPr>
        <w:t>联</w:t>
      </w:r>
      <w:r>
        <w:rPr>
          <w:rFonts w:hint="eastAsia" w:ascii="仿宋_GB2312" w:hAnsi="仿宋" w:eastAsia="仿宋_GB2312" w:cs="Batang"/>
          <w:sz w:val="32"/>
          <w:szCs w:val="32"/>
        </w:rPr>
        <w:t>系）</w:t>
      </w:r>
      <w:r>
        <w:rPr>
          <w:rFonts w:hint="eastAsia" w:ascii="仿宋_GB2312" w:hAnsi="仿宋" w:eastAsia="仿宋_GB2312" w:cs="宋体"/>
          <w:sz w:val="32"/>
          <w:szCs w:val="32"/>
        </w:rPr>
        <w:t>会议</w:t>
      </w:r>
      <w:r>
        <w:rPr>
          <w:rFonts w:hint="eastAsia" w:ascii="仿宋_GB2312" w:hAnsi="仿宋" w:eastAsia="仿宋_GB2312" w:cs="Batang"/>
          <w:sz w:val="32"/>
          <w:szCs w:val="32"/>
        </w:rPr>
        <w:t>制度。</w:t>
      </w:r>
    </w:p>
    <w:p>
      <w:pPr>
        <w:rPr>
          <w:rFonts w:ascii="仿宋_GB2312" w:hAnsi="仿宋" w:eastAsia="仿宋_GB2312"/>
          <w:sz w:val="32"/>
          <w:szCs w:val="32"/>
        </w:rPr>
      </w:pPr>
      <w:r>
        <w:rPr>
          <w:rFonts w:hint="eastAsia" w:ascii="仿宋_GB2312" w:hAnsi="仿宋" w:eastAsia="仿宋_GB2312"/>
          <w:sz w:val="32"/>
          <w:szCs w:val="32"/>
        </w:rPr>
        <w:t xml:space="preserve">    4、</w:t>
      </w:r>
      <w:r>
        <w:rPr>
          <w:rFonts w:hint="eastAsia" w:ascii="仿宋_GB2312" w:hAnsi="仿宋" w:eastAsia="仿宋_GB2312" w:cs="宋体"/>
          <w:sz w:val="32"/>
          <w:szCs w:val="32"/>
        </w:rPr>
        <w:t>研</w:t>
      </w:r>
      <w:r>
        <w:rPr>
          <w:rFonts w:hint="eastAsia" w:ascii="仿宋_GB2312" w:hAnsi="仿宋" w:eastAsia="仿宋_GB2312" w:cs="Batang"/>
          <w:sz w:val="32"/>
          <w:szCs w:val="32"/>
        </w:rPr>
        <w:t>究、制定工</w:t>
      </w:r>
      <w:r>
        <w:rPr>
          <w:rFonts w:hint="eastAsia" w:ascii="仿宋_GB2312" w:hAnsi="仿宋" w:eastAsia="仿宋_GB2312" w:cs="宋体"/>
          <w:sz w:val="32"/>
          <w:szCs w:val="32"/>
        </w:rPr>
        <w:t>会</w:t>
      </w:r>
      <w:r>
        <w:rPr>
          <w:rFonts w:hint="eastAsia" w:ascii="仿宋_GB2312" w:hAnsi="仿宋" w:eastAsia="仿宋_GB2312" w:cs="Batang"/>
          <w:sz w:val="32"/>
          <w:szCs w:val="32"/>
        </w:rPr>
        <w:t>的自身改革和建</w:t>
      </w:r>
      <w:r>
        <w:rPr>
          <w:rFonts w:hint="eastAsia" w:ascii="仿宋_GB2312" w:hAnsi="仿宋" w:eastAsia="仿宋_GB2312" w:cs="宋体"/>
          <w:sz w:val="32"/>
          <w:szCs w:val="32"/>
        </w:rPr>
        <w:t>设</w:t>
      </w:r>
      <w:r>
        <w:rPr>
          <w:rFonts w:hint="eastAsia" w:ascii="仿宋_GB2312" w:hAnsi="仿宋" w:eastAsia="仿宋_GB2312" w:cs="Batang"/>
          <w:sz w:val="32"/>
          <w:szCs w:val="32"/>
        </w:rPr>
        <w:t>；指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会组织开</w:t>
      </w:r>
      <w:r>
        <w:rPr>
          <w:rFonts w:hint="eastAsia" w:ascii="仿宋_GB2312" w:hAnsi="仿宋" w:eastAsia="仿宋_GB2312" w:cs="Batang"/>
          <w:sz w:val="32"/>
          <w:szCs w:val="32"/>
        </w:rPr>
        <w:t>展以</w:t>
      </w:r>
      <w:r>
        <w:rPr>
          <w:rFonts w:hint="eastAsia" w:ascii="仿宋_GB2312" w:hAnsi="仿宋" w:eastAsia="仿宋_GB2312" w:cs="宋体"/>
          <w:sz w:val="32"/>
          <w:szCs w:val="32"/>
        </w:rPr>
        <w:t>职</w:t>
      </w:r>
      <w:r>
        <w:rPr>
          <w:rFonts w:hint="eastAsia" w:ascii="仿宋_GB2312" w:hAnsi="仿宋" w:eastAsia="仿宋_GB2312" w:cs="Batang"/>
          <w:sz w:val="32"/>
          <w:szCs w:val="32"/>
        </w:rPr>
        <w:t>工代表大</w:t>
      </w:r>
      <w:r>
        <w:rPr>
          <w:rFonts w:hint="eastAsia" w:ascii="仿宋_GB2312" w:hAnsi="仿宋" w:eastAsia="仿宋_GB2312" w:cs="宋体"/>
          <w:sz w:val="32"/>
          <w:szCs w:val="32"/>
        </w:rPr>
        <w:t>会为</w:t>
      </w:r>
      <w:r>
        <w:rPr>
          <w:rFonts w:hint="eastAsia" w:ascii="仿宋_GB2312" w:hAnsi="仿宋" w:eastAsia="仿宋_GB2312" w:cs="Batang"/>
          <w:sz w:val="32"/>
          <w:szCs w:val="32"/>
        </w:rPr>
        <w:t>基本制度的民主</w:t>
      </w:r>
      <w:r>
        <w:rPr>
          <w:rFonts w:hint="eastAsia" w:ascii="仿宋_GB2312" w:hAnsi="仿宋" w:eastAsia="仿宋_GB2312" w:cs="宋体"/>
          <w:sz w:val="32"/>
          <w:szCs w:val="32"/>
        </w:rPr>
        <w:t>选举</w:t>
      </w:r>
      <w:r>
        <w:rPr>
          <w:rFonts w:hint="eastAsia" w:ascii="仿宋_GB2312" w:hAnsi="仿宋" w:eastAsia="仿宋_GB2312" w:cs="Batang"/>
          <w:sz w:val="32"/>
          <w:szCs w:val="32"/>
        </w:rPr>
        <w:t>、民主</w:t>
      </w:r>
      <w:r>
        <w:rPr>
          <w:rFonts w:hint="eastAsia" w:ascii="仿宋_GB2312" w:hAnsi="仿宋" w:eastAsia="仿宋_GB2312" w:cs="宋体"/>
          <w:sz w:val="32"/>
          <w:szCs w:val="32"/>
        </w:rPr>
        <w:t>决</w:t>
      </w:r>
      <w:r>
        <w:rPr>
          <w:rFonts w:hint="eastAsia" w:ascii="仿宋_GB2312" w:hAnsi="仿宋" w:eastAsia="仿宋_GB2312" w:cs="Batang"/>
          <w:sz w:val="32"/>
          <w:szCs w:val="32"/>
        </w:rPr>
        <w:t>策、民主管理和民主</w:t>
      </w:r>
      <w:r>
        <w:rPr>
          <w:rFonts w:hint="eastAsia" w:ascii="仿宋_GB2312" w:hAnsi="仿宋" w:eastAsia="仿宋_GB2312" w:cs="宋体"/>
          <w:sz w:val="32"/>
          <w:szCs w:val="32"/>
        </w:rPr>
        <w:t>监</w:t>
      </w:r>
      <w:r>
        <w:rPr>
          <w:rFonts w:hint="eastAsia" w:ascii="仿宋_GB2312" w:hAnsi="仿宋" w:eastAsia="仿宋_GB2312" w:cs="Batang"/>
          <w:sz w:val="32"/>
          <w:szCs w:val="32"/>
        </w:rPr>
        <w:t>督工作，推</w:t>
      </w:r>
      <w:r>
        <w:rPr>
          <w:rFonts w:hint="eastAsia" w:ascii="仿宋_GB2312" w:hAnsi="仿宋" w:eastAsia="仿宋_GB2312" w:cs="宋体"/>
          <w:sz w:val="32"/>
          <w:szCs w:val="32"/>
        </w:rPr>
        <w:t>动</w:t>
      </w:r>
      <w:r>
        <w:rPr>
          <w:rFonts w:hint="eastAsia" w:ascii="仿宋_GB2312" w:hAnsi="仿宋" w:eastAsia="仿宋_GB2312" w:cs="Batang"/>
          <w:sz w:val="32"/>
          <w:szCs w:val="32"/>
        </w:rPr>
        <w:t>建立平等</w:t>
      </w:r>
      <w:r>
        <w:rPr>
          <w:rFonts w:hint="eastAsia" w:ascii="仿宋_GB2312" w:hAnsi="仿宋" w:eastAsia="仿宋_GB2312" w:cs="宋体"/>
          <w:sz w:val="32"/>
          <w:szCs w:val="32"/>
        </w:rPr>
        <w:t>协</w:t>
      </w:r>
      <w:r>
        <w:rPr>
          <w:rFonts w:hint="eastAsia" w:ascii="仿宋_GB2312" w:hAnsi="仿宋" w:eastAsia="仿宋_GB2312" w:cs="Batang"/>
          <w:sz w:val="32"/>
          <w:szCs w:val="32"/>
        </w:rPr>
        <w:t>商、集体合同制度和</w:t>
      </w:r>
      <w:r>
        <w:rPr>
          <w:rFonts w:hint="eastAsia" w:ascii="仿宋_GB2312" w:hAnsi="仿宋" w:eastAsia="仿宋_GB2312" w:cs="宋体"/>
          <w:sz w:val="32"/>
          <w:szCs w:val="32"/>
        </w:rPr>
        <w:t>监</w:t>
      </w:r>
      <w:r>
        <w:rPr>
          <w:rFonts w:hint="eastAsia" w:ascii="仿宋_GB2312" w:hAnsi="仿宋" w:eastAsia="仿宋_GB2312" w:cs="Batang"/>
          <w:sz w:val="32"/>
          <w:szCs w:val="32"/>
        </w:rPr>
        <w:t>督保</w:t>
      </w:r>
      <w:r>
        <w:rPr>
          <w:rFonts w:hint="eastAsia" w:ascii="仿宋_GB2312" w:hAnsi="仿宋" w:eastAsia="仿宋_GB2312" w:cs="宋体"/>
          <w:sz w:val="32"/>
          <w:szCs w:val="32"/>
        </w:rPr>
        <w:t>证</w:t>
      </w:r>
      <w:r>
        <w:rPr>
          <w:rFonts w:hint="eastAsia" w:ascii="仿宋_GB2312" w:hAnsi="仿宋" w:eastAsia="仿宋_GB2312" w:cs="Batang"/>
          <w:sz w:val="32"/>
          <w:szCs w:val="32"/>
        </w:rPr>
        <w:t>机制的工作。</w:t>
      </w:r>
    </w:p>
    <w:p>
      <w:pPr>
        <w:rPr>
          <w:rFonts w:ascii="仿宋_GB2312" w:hAnsi="仿宋" w:eastAsia="仿宋_GB2312"/>
          <w:sz w:val="32"/>
          <w:szCs w:val="32"/>
        </w:rPr>
      </w:pPr>
      <w:r>
        <w:rPr>
          <w:rFonts w:hint="eastAsia" w:ascii="仿宋_GB2312" w:hAnsi="仿宋" w:eastAsia="仿宋_GB2312"/>
          <w:sz w:val="32"/>
          <w:szCs w:val="32"/>
        </w:rPr>
        <w:t xml:space="preserve">    5、指</w:t>
      </w:r>
      <w:r>
        <w:rPr>
          <w:rFonts w:hint="eastAsia" w:ascii="仿宋_GB2312" w:hAnsi="仿宋" w:eastAsia="仿宋_GB2312" w:cs="宋体"/>
          <w:sz w:val="32"/>
          <w:szCs w:val="32"/>
        </w:rPr>
        <w:t>导</w:t>
      </w:r>
      <w:r>
        <w:rPr>
          <w:rFonts w:hint="eastAsia" w:ascii="仿宋_GB2312" w:hAnsi="仿宋" w:eastAsia="仿宋_GB2312" w:cs="Batang"/>
          <w:sz w:val="32"/>
          <w:szCs w:val="32"/>
        </w:rPr>
        <w:t>基</w:t>
      </w:r>
      <w:r>
        <w:rPr>
          <w:rFonts w:hint="eastAsia" w:ascii="仿宋_GB2312" w:hAnsi="仿宋" w:eastAsia="仿宋_GB2312" w:cs="宋体"/>
          <w:sz w:val="32"/>
          <w:szCs w:val="32"/>
        </w:rPr>
        <w:t>层</w:t>
      </w:r>
      <w:r>
        <w:rPr>
          <w:rFonts w:hint="eastAsia" w:ascii="仿宋_GB2312" w:hAnsi="仿宋" w:eastAsia="仿宋_GB2312" w:cs="Batang"/>
          <w:sz w:val="32"/>
          <w:szCs w:val="32"/>
        </w:rPr>
        <w:t>工</w:t>
      </w:r>
      <w:r>
        <w:rPr>
          <w:rFonts w:hint="eastAsia" w:ascii="仿宋_GB2312" w:hAnsi="仿宋" w:eastAsia="仿宋_GB2312" w:cs="宋体"/>
          <w:sz w:val="32"/>
          <w:szCs w:val="32"/>
        </w:rPr>
        <w:t>会组织</w:t>
      </w:r>
      <w:r>
        <w:rPr>
          <w:rFonts w:hint="eastAsia" w:ascii="仿宋_GB2312" w:hAnsi="仿宋" w:eastAsia="仿宋_GB2312" w:cs="Batang"/>
          <w:sz w:val="32"/>
          <w:szCs w:val="32"/>
        </w:rPr>
        <w:t>建</w:t>
      </w:r>
      <w:r>
        <w:rPr>
          <w:rFonts w:hint="eastAsia" w:ascii="仿宋_GB2312" w:hAnsi="仿宋" w:eastAsia="仿宋_GB2312" w:cs="宋体"/>
          <w:sz w:val="32"/>
          <w:szCs w:val="32"/>
        </w:rPr>
        <w:t>设</w:t>
      </w:r>
      <w:r>
        <w:rPr>
          <w:rFonts w:hint="eastAsia" w:ascii="仿宋_GB2312" w:hAnsi="仿宋" w:eastAsia="仿宋_GB2312" w:cs="Batang"/>
          <w:sz w:val="32"/>
          <w:szCs w:val="32"/>
        </w:rPr>
        <w:t>，做好工</w:t>
      </w:r>
      <w:r>
        <w:rPr>
          <w:rFonts w:hint="eastAsia" w:ascii="仿宋_GB2312" w:hAnsi="仿宋" w:eastAsia="仿宋_GB2312" w:cs="宋体"/>
          <w:sz w:val="32"/>
          <w:szCs w:val="32"/>
        </w:rPr>
        <w:t>会</w:t>
      </w:r>
      <w:r>
        <w:rPr>
          <w:rFonts w:hint="eastAsia" w:ascii="仿宋_GB2312" w:hAnsi="仿宋" w:eastAsia="仿宋_GB2312" w:cs="Batang"/>
          <w:sz w:val="32"/>
          <w:szCs w:val="32"/>
        </w:rPr>
        <w:t>干部</w:t>
      </w:r>
      <w:r>
        <w:rPr>
          <w:rFonts w:hint="eastAsia" w:ascii="仿宋_GB2312" w:hAnsi="仿宋" w:eastAsia="仿宋_GB2312" w:cs="宋体"/>
          <w:sz w:val="32"/>
          <w:szCs w:val="32"/>
        </w:rPr>
        <w:t>协</w:t>
      </w:r>
      <w:r>
        <w:rPr>
          <w:rFonts w:hint="eastAsia" w:ascii="仿宋_GB2312" w:hAnsi="仿宋" w:eastAsia="仿宋_GB2312" w:cs="Batang"/>
          <w:sz w:val="32"/>
          <w:szCs w:val="32"/>
        </w:rPr>
        <w:t>管和干部培</w:t>
      </w:r>
      <w:r>
        <w:rPr>
          <w:rFonts w:hint="eastAsia" w:ascii="仿宋_GB2312" w:hAnsi="仿宋" w:eastAsia="仿宋_GB2312" w:cs="宋体"/>
          <w:sz w:val="32"/>
          <w:szCs w:val="32"/>
        </w:rPr>
        <w:t>训教</w:t>
      </w:r>
      <w:r>
        <w:rPr>
          <w:rFonts w:hint="eastAsia" w:ascii="仿宋_GB2312" w:hAnsi="仿宋" w:eastAsia="仿宋_GB2312" w:cs="Batang"/>
          <w:sz w:val="32"/>
          <w:szCs w:val="32"/>
        </w:rPr>
        <w:t>育工作；</w:t>
      </w:r>
    </w:p>
    <w:p>
      <w:pPr>
        <w:rPr>
          <w:rFonts w:ascii="仿宋_GB2312" w:hAnsi="仿宋" w:eastAsia="仿宋_GB2312" w:cs="Batang"/>
          <w:sz w:val="32"/>
          <w:szCs w:val="32"/>
        </w:rPr>
      </w:pPr>
      <w:r>
        <w:rPr>
          <w:rFonts w:hint="eastAsia" w:ascii="仿宋_GB2312" w:hAnsi="仿宋" w:eastAsia="仿宋_GB2312"/>
          <w:sz w:val="32"/>
          <w:szCs w:val="32"/>
        </w:rPr>
        <w:t xml:space="preserve">    6、根据</w:t>
      </w:r>
      <w:r>
        <w:rPr>
          <w:rFonts w:hint="eastAsia" w:ascii="仿宋_GB2312" w:hAnsi="仿宋" w:eastAsia="仿宋_GB2312" w:cs="宋体"/>
          <w:sz w:val="32"/>
          <w:szCs w:val="32"/>
        </w:rPr>
        <w:t>县</w:t>
      </w:r>
      <w:r>
        <w:rPr>
          <w:rFonts w:hint="eastAsia" w:ascii="仿宋_GB2312" w:hAnsi="仿宋" w:eastAsia="仿宋_GB2312" w:cs="Batang"/>
          <w:sz w:val="32"/>
          <w:szCs w:val="32"/>
        </w:rPr>
        <w:t>政府委托，</w:t>
      </w:r>
      <w:r>
        <w:rPr>
          <w:rFonts w:hint="eastAsia" w:ascii="仿宋_GB2312" w:hAnsi="仿宋" w:eastAsia="仿宋_GB2312" w:cs="宋体"/>
          <w:sz w:val="32"/>
          <w:szCs w:val="32"/>
        </w:rPr>
        <w:t>与</w:t>
      </w:r>
      <w:r>
        <w:rPr>
          <w:rFonts w:hint="eastAsia" w:ascii="仿宋_GB2312" w:hAnsi="仿宋" w:eastAsia="仿宋_GB2312" w:cs="Batang"/>
          <w:sz w:val="32"/>
          <w:szCs w:val="32"/>
        </w:rPr>
        <w:t>有</w:t>
      </w:r>
      <w:r>
        <w:rPr>
          <w:rFonts w:hint="eastAsia" w:ascii="仿宋_GB2312" w:hAnsi="仿宋" w:eastAsia="仿宋_GB2312" w:cs="宋体"/>
          <w:sz w:val="32"/>
          <w:szCs w:val="32"/>
        </w:rPr>
        <w:t>关</w:t>
      </w:r>
      <w:r>
        <w:rPr>
          <w:rFonts w:hint="eastAsia" w:ascii="仿宋_GB2312" w:hAnsi="仿宋" w:eastAsia="仿宋_GB2312" w:cs="Batang"/>
          <w:sz w:val="32"/>
          <w:szCs w:val="32"/>
        </w:rPr>
        <w:t>部</w:t>
      </w:r>
      <w:r>
        <w:rPr>
          <w:rFonts w:hint="eastAsia" w:ascii="仿宋_GB2312" w:hAnsi="仿宋" w:eastAsia="仿宋_GB2312" w:cs="宋体"/>
          <w:sz w:val="32"/>
          <w:szCs w:val="32"/>
        </w:rPr>
        <w:t>门</w:t>
      </w:r>
      <w:r>
        <w:rPr>
          <w:rFonts w:hint="eastAsia" w:ascii="仿宋_GB2312" w:hAnsi="仿宋" w:eastAsia="仿宋_GB2312" w:cs="Batang"/>
          <w:sz w:val="32"/>
          <w:szCs w:val="32"/>
        </w:rPr>
        <w:t>共同做好</w:t>
      </w:r>
      <w:r>
        <w:rPr>
          <w:rFonts w:hint="eastAsia" w:ascii="仿宋_GB2312" w:hAnsi="仿宋" w:eastAsia="仿宋_GB2312" w:cs="宋体"/>
          <w:sz w:val="32"/>
          <w:szCs w:val="32"/>
        </w:rPr>
        <w:t>劳动</w:t>
      </w:r>
      <w:r>
        <w:rPr>
          <w:rFonts w:hint="eastAsia" w:ascii="仿宋_GB2312" w:hAnsi="仿宋" w:eastAsia="仿宋_GB2312" w:cs="Batang"/>
          <w:sz w:val="32"/>
          <w:szCs w:val="32"/>
        </w:rPr>
        <w:t>模范、先</w:t>
      </w:r>
      <w:r>
        <w:rPr>
          <w:rFonts w:hint="eastAsia" w:ascii="仿宋_GB2312" w:hAnsi="仿宋" w:eastAsia="仿宋_GB2312" w:cs="宋体"/>
          <w:sz w:val="32"/>
          <w:szCs w:val="32"/>
        </w:rPr>
        <w:t>进</w:t>
      </w:r>
      <w:r>
        <w:rPr>
          <w:rFonts w:hint="eastAsia" w:ascii="仿宋_GB2312" w:hAnsi="仿宋" w:eastAsia="仿宋_GB2312" w:cs="Batang"/>
          <w:sz w:val="32"/>
          <w:szCs w:val="32"/>
        </w:rPr>
        <w:t>工作者的推荐、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w:t>
      </w:r>
      <w:r>
        <w:rPr>
          <w:rFonts w:hint="eastAsia" w:ascii="仿宋_GB2312" w:hAnsi="仿宋" w:eastAsia="仿宋_GB2312" w:cs="宋体"/>
          <w:sz w:val="32"/>
          <w:szCs w:val="32"/>
        </w:rPr>
        <w:t>负责</w:t>
      </w:r>
      <w:r>
        <w:rPr>
          <w:rFonts w:hint="default" w:ascii="仿宋_GB2312" w:hAnsi="仿宋" w:eastAsia="仿宋_GB2312"/>
          <w:sz w:val="32"/>
          <w:szCs w:val="32"/>
          <w:lang w:val="en-US"/>
        </w:rPr>
        <w:t>“五一劳动奖章”</w:t>
      </w:r>
      <w:r>
        <w:rPr>
          <w:rFonts w:hint="eastAsia" w:ascii="仿宋_GB2312" w:hAnsi="仿宋" w:eastAsia="仿宋_GB2312" w:cs="Batang"/>
          <w:sz w:val="32"/>
          <w:szCs w:val="32"/>
        </w:rPr>
        <w:t>、</w:t>
      </w:r>
      <w:r>
        <w:rPr>
          <w:rFonts w:hint="eastAsia" w:ascii="仿宋_GB2312" w:hAnsi="仿宋" w:eastAsia="仿宋_GB2312" w:cs="宋体"/>
          <w:sz w:val="32"/>
          <w:szCs w:val="32"/>
        </w:rPr>
        <w:t>奖状</w:t>
      </w:r>
      <w:r>
        <w:rPr>
          <w:rFonts w:hint="eastAsia" w:ascii="仿宋_GB2312" w:hAnsi="仿宋" w:eastAsia="仿宋_GB2312" w:cs="Batang"/>
          <w:sz w:val="32"/>
          <w:szCs w:val="32"/>
        </w:rPr>
        <w:t>的推荐、</w:t>
      </w:r>
      <w:r>
        <w:rPr>
          <w:rFonts w:hint="eastAsia" w:ascii="仿宋_GB2312" w:hAnsi="仿宋" w:eastAsia="仿宋_GB2312" w:cs="宋体"/>
          <w:sz w:val="32"/>
          <w:szCs w:val="32"/>
        </w:rPr>
        <w:t>评选</w:t>
      </w:r>
      <w:r>
        <w:rPr>
          <w:rFonts w:hint="eastAsia" w:ascii="仿宋_GB2312" w:hAnsi="仿宋" w:eastAsia="仿宋_GB2312" w:cs="Batang"/>
          <w:sz w:val="32"/>
          <w:szCs w:val="32"/>
        </w:rPr>
        <w:t>和管理工作；指</w:t>
      </w:r>
      <w:r>
        <w:rPr>
          <w:rFonts w:hint="eastAsia" w:ascii="仿宋_GB2312" w:hAnsi="仿宋" w:eastAsia="仿宋_GB2312" w:cs="宋体"/>
          <w:sz w:val="32"/>
          <w:szCs w:val="32"/>
        </w:rPr>
        <w:t>导</w:t>
      </w:r>
      <w:r>
        <w:rPr>
          <w:rFonts w:hint="eastAsia" w:ascii="仿宋_GB2312" w:hAnsi="仿宋" w:eastAsia="仿宋_GB2312" w:cs="Batang"/>
          <w:sz w:val="32"/>
          <w:szCs w:val="32"/>
        </w:rPr>
        <w:t>全</w:t>
      </w:r>
      <w:r>
        <w:rPr>
          <w:rFonts w:hint="eastAsia" w:ascii="仿宋_GB2312" w:hAnsi="仿宋" w:eastAsia="仿宋_GB2312" w:cs="宋体"/>
          <w:sz w:val="32"/>
          <w:szCs w:val="32"/>
        </w:rPr>
        <w:t>县</w:t>
      </w:r>
      <w:r>
        <w:rPr>
          <w:rFonts w:hint="eastAsia" w:ascii="仿宋_GB2312" w:hAnsi="仿宋" w:eastAsia="仿宋_GB2312" w:cs="Batang"/>
          <w:sz w:val="32"/>
          <w:szCs w:val="32"/>
        </w:rPr>
        <w:t>各</w:t>
      </w:r>
      <w:r>
        <w:rPr>
          <w:rFonts w:hint="eastAsia" w:ascii="仿宋_GB2312" w:hAnsi="仿宋" w:eastAsia="仿宋_GB2312" w:cs="宋体"/>
          <w:sz w:val="32"/>
          <w:szCs w:val="32"/>
        </w:rPr>
        <w:t>级</w:t>
      </w:r>
      <w:r>
        <w:rPr>
          <w:rFonts w:hint="eastAsia" w:ascii="仿宋_GB2312" w:hAnsi="仿宋" w:eastAsia="仿宋_GB2312" w:cs="Batang"/>
          <w:sz w:val="32"/>
          <w:szCs w:val="32"/>
        </w:rPr>
        <w:t>工</w:t>
      </w:r>
      <w:r>
        <w:rPr>
          <w:rFonts w:hint="eastAsia" w:ascii="仿宋_GB2312" w:hAnsi="仿宋" w:eastAsia="仿宋_GB2312" w:cs="宋体"/>
          <w:sz w:val="32"/>
          <w:szCs w:val="32"/>
        </w:rPr>
        <w:t>会组织职</w:t>
      </w:r>
      <w:r>
        <w:rPr>
          <w:rFonts w:hint="eastAsia" w:ascii="仿宋_GB2312" w:hAnsi="仿宋" w:eastAsia="仿宋_GB2312" w:cs="Batang"/>
          <w:sz w:val="32"/>
          <w:szCs w:val="32"/>
        </w:rPr>
        <w:t>工</w:t>
      </w:r>
      <w:r>
        <w:rPr>
          <w:rFonts w:hint="eastAsia" w:ascii="仿宋_GB2312" w:hAnsi="仿宋" w:eastAsia="仿宋_GB2312" w:cs="宋体"/>
          <w:sz w:val="32"/>
          <w:szCs w:val="32"/>
        </w:rPr>
        <w:t>开</w:t>
      </w:r>
      <w:r>
        <w:rPr>
          <w:rFonts w:hint="eastAsia" w:ascii="仿宋_GB2312" w:hAnsi="仿宋" w:eastAsia="仿宋_GB2312" w:cs="Batang"/>
          <w:sz w:val="32"/>
          <w:szCs w:val="32"/>
        </w:rPr>
        <w:t>展</w:t>
      </w:r>
      <w:r>
        <w:rPr>
          <w:rFonts w:hint="eastAsia" w:ascii="仿宋_GB2312" w:hAnsi="仿宋" w:eastAsia="仿宋_GB2312" w:cs="宋体"/>
          <w:sz w:val="32"/>
          <w:szCs w:val="32"/>
        </w:rPr>
        <w:t>劳动竞赛</w:t>
      </w:r>
      <w:r>
        <w:rPr>
          <w:rFonts w:hint="eastAsia" w:ascii="仿宋_GB2312" w:hAnsi="仿宋" w:eastAsia="仿宋_GB2312" w:cs="Batang"/>
          <w:sz w:val="32"/>
          <w:szCs w:val="32"/>
        </w:rPr>
        <w:t>、合理化建</w:t>
      </w:r>
      <w:r>
        <w:rPr>
          <w:rFonts w:hint="eastAsia" w:ascii="仿宋_GB2312" w:hAnsi="仿宋" w:eastAsia="仿宋_GB2312" w:cs="宋体"/>
          <w:sz w:val="32"/>
          <w:szCs w:val="32"/>
        </w:rPr>
        <w:t>议</w:t>
      </w:r>
      <w:r>
        <w:rPr>
          <w:rFonts w:hint="eastAsia" w:ascii="仿宋_GB2312" w:hAnsi="仿宋" w:eastAsia="仿宋_GB2312" w:cs="Batang"/>
          <w:sz w:val="32"/>
          <w:szCs w:val="32"/>
        </w:rPr>
        <w:t>、技</w:t>
      </w:r>
      <w:r>
        <w:rPr>
          <w:rFonts w:hint="eastAsia" w:ascii="仿宋_GB2312" w:hAnsi="仿宋" w:eastAsia="仿宋_GB2312" w:cs="宋体"/>
          <w:sz w:val="32"/>
          <w:szCs w:val="32"/>
        </w:rPr>
        <w:t>术创</w:t>
      </w:r>
      <w:r>
        <w:rPr>
          <w:rFonts w:hint="eastAsia" w:ascii="仿宋_GB2312" w:hAnsi="仿宋" w:eastAsia="仿宋_GB2312" w:cs="Batang"/>
          <w:sz w:val="32"/>
          <w:szCs w:val="32"/>
        </w:rPr>
        <w:t>新和技</w:t>
      </w:r>
      <w:r>
        <w:rPr>
          <w:rFonts w:hint="eastAsia" w:ascii="仿宋_GB2312" w:hAnsi="仿宋" w:eastAsia="仿宋_GB2312" w:cs="宋体"/>
          <w:sz w:val="32"/>
          <w:szCs w:val="32"/>
        </w:rPr>
        <w:t>术协</w:t>
      </w:r>
      <w:r>
        <w:rPr>
          <w:rFonts w:hint="eastAsia" w:ascii="仿宋_GB2312" w:hAnsi="仿宋" w:eastAsia="仿宋_GB2312" w:cs="Batang"/>
          <w:sz w:val="32"/>
          <w:szCs w:val="32"/>
        </w:rPr>
        <w:t>作活</w:t>
      </w:r>
      <w:r>
        <w:rPr>
          <w:rFonts w:hint="eastAsia" w:ascii="仿宋_GB2312" w:hAnsi="仿宋" w:eastAsia="仿宋_GB2312" w:cs="宋体"/>
          <w:sz w:val="32"/>
          <w:szCs w:val="32"/>
        </w:rPr>
        <w:t>动</w:t>
      </w:r>
      <w:r>
        <w:rPr>
          <w:rFonts w:hint="eastAsia" w:ascii="仿宋_GB2312" w:hAnsi="仿宋" w:eastAsia="仿宋_GB2312" w:cs="Batang"/>
          <w:sz w:val="32"/>
          <w:szCs w:val="32"/>
        </w:rPr>
        <w:t>。</w:t>
      </w:r>
    </w:p>
    <w:p>
      <w:pPr>
        <w:pStyle w:val="2"/>
        <w:spacing w:before="0" w:after="0" w:line="600" w:lineRule="exact"/>
        <w:jc w:val="left"/>
        <w:rPr>
          <w:rFonts w:ascii="黑体" w:eastAsia="黑体" w:cs="黑体" w:hAnsiTheme="minorHAnsi"/>
          <w:b w:val="0"/>
          <w:bCs w:val="0"/>
          <w:kern w:val="0"/>
          <w:sz w:val="32"/>
          <w:szCs w:val="32"/>
        </w:rPr>
      </w:pP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无极县总工会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3"/>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部门：无极县总工会</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247.96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242.54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5.42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05"/>
              </w:tabs>
              <w:spacing w:after="0" w:line="200" w:lineRule="exact"/>
              <w:jc w:val="left"/>
              <w:rPr>
                <w:rFonts w:ascii="宋体" w:hAnsi="宋体" w:cs="宋体"/>
                <w:color w:val="000000"/>
                <w:sz w:val="18"/>
                <w:szCs w:val="18"/>
              </w:rPr>
            </w:pPr>
            <w:r>
              <w:rPr>
                <w:rFonts w:hint="eastAsia" w:ascii="宋体" w:hAnsi="宋体" w:cs="宋体"/>
                <w:color w:val="000000"/>
                <w:sz w:val="18"/>
                <w:szCs w:val="18"/>
              </w:rPr>
              <w:tab/>
            </w:r>
            <w:r>
              <w:rPr>
                <w:rFonts w:hint="eastAsia" w:ascii="宋体" w:hAnsi="宋体" w:cs="宋体"/>
                <w:color w:val="000000"/>
                <w:sz w:val="18"/>
                <w:szCs w:val="18"/>
              </w:rPr>
              <w:t>247.96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64"/>
              </w:tabs>
              <w:spacing w:after="0" w:line="200" w:lineRule="exact"/>
              <w:jc w:val="left"/>
              <w:rPr>
                <w:rFonts w:ascii="宋体" w:hAnsi="宋体" w:cs="宋体"/>
                <w:color w:val="000000"/>
                <w:sz w:val="20"/>
                <w:szCs w:val="20"/>
              </w:rPr>
            </w:pPr>
            <w:r>
              <w:rPr>
                <w:rFonts w:hint="eastAsia" w:ascii="宋体" w:hAnsi="宋体" w:cs="宋体"/>
                <w:color w:val="000000"/>
                <w:sz w:val="20"/>
                <w:szCs w:val="20"/>
              </w:rPr>
              <w:tab/>
            </w:r>
            <w:r>
              <w:rPr>
                <w:rFonts w:hint="eastAsia" w:ascii="宋体" w:hAnsi="宋体" w:cs="宋体"/>
                <w:color w:val="000000"/>
                <w:sz w:val="20"/>
                <w:szCs w:val="20"/>
              </w:rPr>
              <w:t>247.96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18"/>
                <w:szCs w:val="18"/>
              </w:rPr>
            </w:pPr>
            <w:r>
              <w:rPr>
                <w:rFonts w:hint="eastAsia" w:ascii="宋体" w:hAnsi="宋体" w:cs="宋体"/>
                <w:color w:val="000000"/>
                <w:sz w:val="18"/>
                <w:szCs w:val="18"/>
              </w:rPr>
              <w:t>247.96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247.96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13" w:type="dxa"/>
        <w:jc w:val="center"/>
        <w:tblLayout w:type="fixed"/>
        <w:tblCellMar>
          <w:top w:w="0" w:type="dxa"/>
          <w:left w:w="0" w:type="dxa"/>
          <w:bottom w:w="0" w:type="dxa"/>
          <w:right w:w="0" w:type="dxa"/>
        </w:tblCellMar>
      </w:tblPr>
      <w:tblGrid>
        <w:gridCol w:w="548"/>
        <w:gridCol w:w="179"/>
        <w:gridCol w:w="520"/>
        <w:gridCol w:w="1465"/>
        <w:gridCol w:w="386"/>
        <w:gridCol w:w="260"/>
        <w:gridCol w:w="298"/>
        <w:gridCol w:w="517"/>
        <w:gridCol w:w="433"/>
        <w:gridCol w:w="383"/>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9013"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54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6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8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309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部门：无极县总工会</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71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44" w:type="dxa"/>
            <w:gridSpan w:val="3"/>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5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2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465"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44"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5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7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71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44"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07"/>
              </w:tabs>
              <w:spacing w:after="0" w:line="240" w:lineRule="atLeast"/>
              <w:jc w:val="left"/>
              <w:rPr>
                <w:rFonts w:ascii="宋体" w:hAnsi="宋体" w:cs="宋体"/>
                <w:b/>
                <w:color w:val="000000"/>
                <w:sz w:val="18"/>
                <w:szCs w:val="18"/>
              </w:rPr>
            </w:pPr>
            <w:r>
              <w:rPr>
                <w:rFonts w:hint="eastAsia" w:ascii="宋体" w:hAnsi="宋体" w:cs="宋体"/>
                <w:b/>
                <w:color w:val="000000"/>
                <w:sz w:val="18"/>
                <w:szCs w:val="18"/>
              </w:rPr>
              <w:tab/>
            </w:r>
            <w:r>
              <w:rPr>
                <w:rFonts w:hint="eastAsia" w:ascii="宋体" w:hAnsi="宋体" w:cs="宋体"/>
                <w:b/>
                <w:color w:val="000000"/>
                <w:sz w:val="18"/>
                <w:szCs w:val="18"/>
              </w:rPr>
              <w:t>247.96</w:t>
            </w:r>
          </w:p>
        </w:tc>
        <w:tc>
          <w:tcPr>
            <w:tcW w:w="95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00"/>
              </w:tabs>
              <w:spacing w:after="0" w:line="240" w:lineRule="atLeast"/>
              <w:ind w:firstLine="181" w:firstLineChars="100"/>
              <w:jc w:val="left"/>
              <w:rPr>
                <w:rFonts w:ascii="宋体" w:hAnsi="宋体" w:cs="宋体"/>
                <w:b/>
                <w:color w:val="000000"/>
                <w:sz w:val="18"/>
                <w:szCs w:val="18"/>
              </w:rPr>
            </w:pPr>
            <w:r>
              <w:rPr>
                <w:rFonts w:hint="eastAsia" w:ascii="宋体" w:hAnsi="宋体" w:cs="宋体"/>
                <w:b/>
                <w:color w:val="000000"/>
                <w:sz w:val="18"/>
                <w:szCs w:val="18"/>
              </w:rPr>
              <w:t>247.96</w:t>
            </w:r>
          </w:p>
        </w:tc>
        <w:tc>
          <w:tcPr>
            <w:tcW w:w="7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201</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一般公共服务支出</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57"/>
              </w:tabs>
              <w:spacing w:after="0" w:line="240" w:lineRule="atLeast"/>
              <w:jc w:val="right"/>
              <w:rPr>
                <w:rFonts w:ascii="宋体" w:hAnsi="宋体" w:cs="宋体"/>
                <w:color w:val="000000"/>
                <w:sz w:val="18"/>
                <w:szCs w:val="18"/>
              </w:rPr>
            </w:pPr>
            <w:r>
              <w:rPr>
                <w:rFonts w:hint="eastAsia" w:ascii="宋体" w:hAnsi="宋体" w:cs="宋体"/>
                <w:color w:val="000000"/>
                <w:sz w:val="18"/>
                <w:szCs w:val="18"/>
              </w:rPr>
              <w:tab/>
            </w:r>
            <w:r>
              <w:rPr>
                <w:rFonts w:hint="eastAsia" w:ascii="宋体" w:hAnsi="宋体" w:cs="宋体"/>
                <w:color w:val="000000"/>
                <w:sz w:val="18"/>
                <w:szCs w:val="18"/>
              </w:rPr>
              <w:t>242.54</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00"/>
              </w:tabs>
              <w:spacing w:after="0" w:line="240" w:lineRule="atLeast"/>
              <w:ind w:firstLine="180" w:firstLineChars="100"/>
              <w:jc w:val="right"/>
              <w:rPr>
                <w:rFonts w:ascii="宋体" w:hAnsi="宋体" w:cs="宋体"/>
                <w:color w:val="000000"/>
                <w:sz w:val="18"/>
                <w:szCs w:val="18"/>
              </w:rPr>
            </w:pPr>
            <w:r>
              <w:rPr>
                <w:rFonts w:hint="eastAsia" w:ascii="宋体" w:hAnsi="宋体" w:cs="宋体"/>
                <w:color w:val="000000"/>
                <w:sz w:val="18"/>
                <w:szCs w:val="18"/>
              </w:rPr>
              <w:t>242.54</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20129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群众团体事务</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70"/>
              </w:tabs>
              <w:spacing w:after="0" w:line="240" w:lineRule="atLeast"/>
              <w:ind w:firstLine="180" w:firstLineChars="100"/>
              <w:jc w:val="right"/>
              <w:rPr>
                <w:rFonts w:ascii="宋体" w:hAnsi="宋体" w:cs="宋体"/>
                <w:color w:val="000000"/>
                <w:sz w:val="18"/>
                <w:szCs w:val="18"/>
              </w:rPr>
            </w:pPr>
            <w:r>
              <w:rPr>
                <w:rFonts w:hint="eastAsia" w:ascii="宋体" w:hAnsi="宋体" w:cs="宋体"/>
                <w:color w:val="000000"/>
                <w:sz w:val="18"/>
                <w:szCs w:val="18"/>
              </w:rPr>
              <w:t>242.54</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 xml:space="preserve">242.54  </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2012901</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50" w:firstLineChars="100"/>
              <w:jc w:val="left"/>
              <w:rPr>
                <w:rFonts w:ascii="宋体" w:hAnsi="宋体" w:cs="宋体"/>
                <w:color w:val="000000"/>
                <w:sz w:val="15"/>
                <w:szCs w:val="15"/>
              </w:rPr>
            </w:pPr>
            <w:r>
              <w:rPr>
                <w:rFonts w:hint="eastAsia" w:ascii="宋体" w:hAnsi="宋体" w:cs="宋体"/>
                <w:color w:val="000000"/>
                <w:sz w:val="15"/>
                <w:szCs w:val="15"/>
              </w:rPr>
              <w:t>行政运行</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207.72</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207.72</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2012999</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left="149" w:leftChars="71"/>
              <w:jc w:val="left"/>
              <w:rPr>
                <w:rFonts w:ascii="宋体" w:hAnsi="宋体" w:cs="宋体"/>
                <w:color w:val="000000"/>
                <w:sz w:val="15"/>
                <w:szCs w:val="15"/>
              </w:rPr>
            </w:pPr>
            <w:r>
              <w:rPr>
                <w:rFonts w:hint="eastAsia" w:ascii="宋体" w:hAnsi="宋体" w:cs="宋体"/>
                <w:color w:val="000000"/>
                <w:sz w:val="15"/>
                <w:szCs w:val="15"/>
              </w:rPr>
              <w:t>其他群众团体事务支出</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34.82</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34.82</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社会保障和就业支出</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行政事业单位离退休</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2080505</w:t>
            </w: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机关事业单位基本养老保险缴费支出</w:t>
            </w: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247"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4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44"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9013"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000" w:type="dxa"/>
        <w:tblInd w:w="0" w:type="dxa"/>
        <w:tblLayout w:type="fixed"/>
        <w:tblCellMar>
          <w:top w:w="0" w:type="dxa"/>
          <w:left w:w="0" w:type="dxa"/>
          <w:bottom w:w="0" w:type="dxa"/>
          <w:right w:w="0" w:type="dxa"/>
        </w:tblCellMar>
      </w:tblPr>
      <w:tblGrid>
        <w:gridCol w:w="290"/>
        <w:gridCol w:w="289"/>
        <w:gridCol w:w="803"/>
        <w:gridCol w:w="1392"/>
        <w:gridCol w:w="372"/>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9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7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部门：无极县总工会</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77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0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0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77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0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77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247.96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195.79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52.17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一般公共服务支出</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242.54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52.17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20129</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群众团体事务</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242.54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52.17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2012901</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207.72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17.35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社会保障和就业支出</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20805</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行政事业单位离退休</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2080505</w:t>
            </w:r>
          </w:p>
        </w:tc>
        <w:tc>
          <w:tcPr>
            <w:tcW w:w="13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机关事业单位基本养老保险缴费支出</w:t>
            </w:r>
          </w:p>
        </w:tc>
        <w:tc>
          <w:tcPr>
            <w:tcW w:w="80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部门：无极县总工会</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242.54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242.54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247.96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317"/>
        <w:gridCol w:w="319"/>
        <w:gridCol w:w="357"/>
        <w:gridCol w:w="2293"/>
        <w:gridCol w:w="561"/>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29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61"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部门：无极县总工会</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28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574"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29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73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2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73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2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73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28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28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247.96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195.79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52.17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一般公共服务支出</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242.54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52.17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20129</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群众团体事务</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242.54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52.17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2012901</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行政运行</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207.72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190.37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17.35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2012999</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其他群众团体事务支出</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34.82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34.82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社会保障和就业支出</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20805</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行政事业单位离退休</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5"/>
                <w:szCs w:val="15"/>
              </w:rPr>
              <w:t>2080505</w:t>
            </w: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 w:val="13"/>
                <w:szCs w:val="13"/>
              </w:rPr>
              <w:t>机关事业单位基本养老保险缴费支出</w:t>
            </w: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r>
              <w:rPr>
                <w:rFonts w:hint="eastAsia" w:ascii="宋体" w:hAnsi="宋体" w:cs="宋体"/>
                <w:color w:val="000000"/>
                <w:sz w:val="15"/>
                <w:szCs w:val="15"/>
              </w:rPr>
              <w:t>5.42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5"/>
                <w:szCs w:val="15"/>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2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部门：无极县总工会</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91.37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92.20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49.53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12.12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7.08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7.85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6.40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74.22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103.60</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92.2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部门：无极县总工会</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部门：无极县总工会</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编制单位：无极县总工会</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kern w:val="0"/>
                <w:sz w:val="22"/>
                <w:szCs w:val="22"/>
              </w:rPr>
            </w:pPr>
            <w:r>
              <w:rPr>
                <w:rFonts w:hint="eastAsia" w:ascii="宋体" w:hAnsi="宋体" w:cs="宋体"/>
                <w:color w:val="000000"/>
                <w:kern w:val="0"/>
                <w:szCs w:val="21"/>
              </w:rPr>
              <w:t>本部门本年度无相关支出情况，按要求空表列示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3"/>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编制单位：无极县总工会</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本部门本年度无相关支出情况，按要求空表列示</w:t>
            </w: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&#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DAN8yzQwIAAHUEAAAOAAAAAAAAAAEAIAAAAEMBAABkcnMvZTJvRG9jLnhtbFBLBQYAAAAA&#10;BgAGAFkBAAD4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本部门2018年度收支总计（含结转和结余）247.96万元。与2017年度决算相比，收支各增加19.45万元，增长8.51%，主要原因是职工活动增加，职工维权活动向着更广更深的方向进展。</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本部门2018年度本年收入合计247.96万元，其中：财政拨款收入247.96万元，占100%；事业收入0万元；经营收入0万元，占0%；其他收入0万元，占0%。</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如图所示：</w:t>
      </w:r>
    </w:p>
    <w:p>
      <w:pPr>
        <w:adjustRightInd w:val="0"/>
        <w:snapToGrid w:val="0"/>
        <w:spacing w:after="0" w:line="580" w:lineRule="exact"/>
        <w:ind w:firstLine="1260" w:firstLineChars="600"/>
      </w:pPr>
      <w:r>
        <w:drawing>
          <wp:anchor distT="0" distB="0" distL="114300" distR="114300" simplePos="0" relativeHeight="251671552" behindDoc="1" locked="0" layoutInCell="1" allowOverlap="1">
            <wp:simplePos x="0" y="0"/>
            <wp:positionH relativeFrom="column">
              <wp:posOffset>123190</wp:posOffset>
            </wp:positionH>
            <wp:positionV relativeFrom="paragraph">
              <wp:posOffset>280035</wp:posOffset>
            </wp:positionV>
            <wp:extent cx="4572000" cy="2743200"/>
            <wp:effectExtent l="4445" t="4445" r="14605" b="14605"/>
            <wp:wrapTight wrapText="bothSides">
              <wp:wrapPolygon>
                <wp:start x="-21" y="-35"/>
                <wp:lineTo x="-21" y="21565"/>
                <wp:lineTo x="21579" y="21565"/>
                <wp:lineTo x="21579" y="-35"/>
                <wp:lineTo x="-21" y="-35"/>
              </wp:wrapPolygon>
            </wp:wrapTight>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rPr>
          <w:rFonts w:ascii="仿宋_GB2312" w:cs="DengXian-Regular"/>
          <w:sz w:val="32"/>
          <w:szCs w:val="32"/>
        </w:rPr>
      </w:pPr>
      <w:r>
        <w:rPr>
          <w:sz w:val="32"/>
        </w:rPr>
        <mc:AlternateContent>
          <mc:Choice Requires="wps">
            <w:drawing>
              <wp:anchor distT="0" distB="0" distL="114300" distR="114300" simplePos="0" relativeHeight="251679744" behindDoc="0" locked="0" layoutInCell="1" allowOverlap="1">
                <wp:simplePos x="0" y="0"/>
                <wp:positionH relativeFrom="column">
                  <wp:posOffset>-1763395</wp:posOffset>
                </wp:positionH>
                <wp:positionV relativeFrom="paragraph">
                  <wp:posOffset>130175</wp:posOffset>
                </wp:positionV>
                <wp:extent cx="1482090" cy="528955"/>
                <wp:effectExtent l="0" t="0" r="3810" b="4445"/>
                <wp:wrapNone/>
                <wp:docPr id="6" name="文本框 6"/>
                <wp:cNvGraphicFramePr/>
                <a:graphic xmlns:a="http://schemas.openxmlformats.org/drawingml/2006/main">
                  <a:graphicData uri="http://schemas.microsoft.com/office/word/2010/wordprocessingShape">
                    <wps:wsp>
                      <wps:cNvSpPr txBox="1"/>
                      <wps:spPr>
                        <a:xfrm>
                          <a:off x="2938780" y="5704205"/>
                          <a:ext cx="1482090" cy="528955"/>
                        </a:xfrm>
                        <a:prstGeom prst="rect">
                          <a:avLst/>
                        </a:prstGeom>
                        <a:solidFill>
                          <a:srgbClr val="FFFFFF"/>
                        </a:solidFill>
                        <a:ln w="6350">
                          <a:noFill/>
                        </a:ln>
                        <a:effectLst/>
                      </wps:spPr>
                      <wps:txbx>
                        <w:txbxContent>
                          <w:p>
                            <w:r>
                              <w:rPr>
                                <w:rFonts w:hint="eastAsia"/>
                              </w:rPr>
                              <w:t>财政拨款100%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38.85pt;margin-top:10.25pt;height:41.65pt;width:116.7pt;z-index:251679744;mso-width-relative:page;mso-height-relative:page;" fillcolor="#FFFFFF" filled="t" stroked="f" coordsize="21600,21600" o:gfxdata="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BYAAABkcnMvUEsBAhQAFAAAAAgAh07iQE7lxtrXAAAACwEAAA8AAAAAAAAAAQAgAAAAOAAAAGRy&#10;cy9kb3ducmV2LnhtbFBLAQIUABQAAAAIAIdO4kBLiC7OYgIAAKkEAAAOAAAAAAAAAAEAIAAAADwB&#10;AABkcnMvZTJvRG9jLnhtbFBLBQYAAAAABgAGAFkBAAAQBgAAAAA=&#10;">
                <v:fill on="t" focussize="0,0"/>
                <v:stroke on="f" weight="0.5pt"/>
                <v:imagedata o:title=""/>
                <o:lock v:ext="edit" aspectratio="f"/>
                <v:textbox>
                  <w:txbxContent>
                    <w:p>
                      <w:r>
                        <w:rPr>
                          <w:rFonts w:hint="eastAsia"/>
                        </w:rPr>
                        <w:t>财政拨款100%</w:t>
                      </w:r>
                    </w:p>
                  </w:txbxContent>
                </v:textbox>
              </v:shape>
            </w:pict>
          </mc:Fallback>
        </mc:AlternateContent>
      </w: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r>
        <mc:AlternateContent>
          <mc:Choice Requires="wps">
            <w:drawing>
              <wp:anchor distT="0" distB="0" distL="114300" distR="114300" simplePos="0" relativeHeight="251675648" behindDoc="0" locked="0" layoutInCell="1" allowOverlap="1">
                <wp:simplePos x="0" y="0"/>
                <wp:positionH relativeFrom="column">
                  <wp:posOffset>-3578860</wp:posOffset>
                </wp:positionH>
                <wp:positionV relativeFrom="paragraph">
                  <wp:posOffset>8255</wp:posOffset>
                </wp:positionV>
                <wp:extent cx="2465070" cy="407670"/>
                <wp:effectExtent l="0" t="0" r="11430" b="11430"/>
                <wp:wrapNone/>
                <wp:docPr id="32" name="文本框 32"/>
                <wp:cNvGraphicFramePr/>
                <a:graphic xmlns:a="http://schemas.openxmlformats.org/drawingml/2006/main">
                  <a:graphicData uri="http://schemas.microsoft.com/office/word/2010/wordprocessingShape">
                    <wps:wsp>
                      <wps:cNvSpPr txBox="1"/>
                      <wps:spPr>
                        <a:xfrm>
                          <a:off x="0" y="0"/>
                          <a:ext cx="2465549" cy="407677"/>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281.8pt;margin-top:0.65pt;height:32.1pt;width:194.1pt;z-index:251675648;mso-width-relative:page;mso-height-relative:page;" fillcolor="#FFFFFF" filled="t" stroked="f" coordsize="21600,21600" o:gfxdata="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FgAAAGRycy9QSwEC&#10;FAAUAAAACACHTuJANbe0CtUAAAAKAQAADwAAAAAAAAABACAAAAA4AAAAZHJzL2Rvd25yZXYueG1s&#10;UEsBAhQAFAAAAAgAh07iQELoCjdXAgAAnwQAAA4AAAAAAAAAAQAgAAAAOgEAAGRycy9lMm9Eb2Mu&#10;eG1sUEsFBgAAAAAGAAYAWQEAAAMG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mc:Fallback>
        </mc:AlternateContent>
      </w: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本部门2018年度本年支出合计247.96万元，其中：基本支出195.79万元，占78.96%；项目支出52.17万元，占21.04%；经营支出0万元，占0%。如图所示：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260" w:firstLineChars="600"/>
        <w:rPr>
          <w:rFonts w:ascii="仿宋_GB2312" w:eastAsia="仿宋_GB2312" w:cs="DengXian-Regular"/>
          <w:sz w:val="32"/>
          <w:szCs w:val="32"/>
        </w:rPr>
      </w:pPr>
      <w:r>
        <mc:AlternateContent>
          <mc:Choice Requires="wps">
            <w:drawing>
              <wp:anchor distT="0" distB="0" distL="114300" distR="114300" simplePos="0" relativeHeight="251676672" behindDoc="0" locked="0" layoutInCell="1" allowOverlap="1">
                <wp:simplePos x="0" y="0"/>
                <wp:positionH relativeFrom="column">
                  <wp:posOffset>-4006850</wp:posOffset>
                </wp:positionH>
                <wp:positionV relativeFrom="paragraph">
                  <wp:posOffset>15240</wp:posOffset>
                </wp:positionV>
                <wp:extent cx="3158490" cy="535940"/>
                <wp:effectExtent l="0" t="0" r="3810" b="16510"/>
                <wp:wrapNone/>
                <wp:docPr id="30" name="文本框 30"/>
                <wp:cNvGraphicFramePr/>
                <a:graphic xmlns:a="http://schemas.openxmlformats.org/drawingml/2006/main">
                  <a:graphicData uri="http://schemas.microsoft.com/office/word/2010/wordprocessingShape">
                    <wps:wsp>
                      <wps:cNvSpPr txBox="1"/>
                      <wps:spPr>
                        <a:xfrm>
                          <a:off x="0" y="0"/>
                          <a:ext cx="3158937" cy="535755"/>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15.5pt;margin-top:1.2pt;height:42.2pt;width:248.7pt;z-index:251676672;mso-width-relative:page;mso-height-relative:page;" fillcolor="#FFFFFF" filled="t" stroked="f" coordsize="21600,21600" o:gfxdata="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FgAAAGRycy9QSwEC&#10;FAAUAAAACACHTuJAcXxRN9YAAAAKAQAADwAAAAAAAAABACAAAAA4AAAAZHJzL2Rvd25yZXYueG1s&#10;UEsBAhQAFAAAAAgAh07iQOhkgiRWAgAAnwQAAA4AAAAAAAAAAQAgAAAAOwEAAGRycy9lMm9Eb2Mu&#10;eG1sUEsFBgAAAAAGAAYAWQEAAAMG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mc:Fallback>
        </mc:AlternateContent>
      </w:r>
      <w:r>
        <w:drawing>
          <wp:anchor distT="0" distB="0" distL="114300" distR="114300" simplePos="0" relativeHeight="251670528" behindDoc="1" locked="0" layoutInCell="1" allowOverlap="1">
            <wp:simplePos x="0" y="0"/>
            <wp:positionH relativeFrom="column">
              <wp:posOffset>131445</wp:posOffset>
            </wp:positionH>
            <wp:positionV relativeFrom="paragraph">
              <wp:posOffset>29845</wp:posOffset>
            </wp:positionV>
            <wp:extent cx="4572000" cy="2743200"/>
            <wp:effectExtent l="4445" t="4445" r="14605" b="14605"/>
            <wp:wrapTight wrapText="bothSides">
              <wp:wrapPolygon>
                <wp:start x="-21" y="-35"/>
                <wp:lineTo x="-21" y="21565"/>
                <wp:lineTo x="21579" y="21565"/>
                <wp:lineTo x="21579" y="-35"/>
                <wp:lineTo x="-21" y="-35"/>
              </wp:wrapPolygon>
            </wp:wrapTight>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r>
        <w:rPr>
          <w:sz w:val="32"/>
        </w:rPr>
        <mc:AlternateContent>
          <mc:Choice Requires="wps">
            <w:drawing>
              <wp:anchor distT="0" distB="0" distL="114300" distR="114300" simplePos="0" relativeHeight="251681792" behindDoc="0" locked="0" layoutInCell="1" allowOverlap="1">
                <wp:simplePos x="0" y="0"/>
                <wp:positionH relativeFrom="column">
                  <wp:posOffset>-4702175</wp:posOffset>
                </wp:positionH>
                <wp:positionV relativeFrom="paragraph">
                  <wp:posOffset>168910</wp:posOffset>
                </wp:positionV>
                <wp:extent cx="1417955" cy="412750"/>
                <wp:effectExtent l="0" t="0" r="10795" b="6350"/>
                <wp:wrapNone/>
                <wp:docPr id="13" name="文本框 13"/>
                <wp:cNvGraphicFramePr/>
                <a:graphic xmlns:a="http://schemas.openxmlformats.org/drawingml/2006/main">
                  <a:graphicData uri="http://schemas.microsoft.com/office/word/2010/wordprocessingShape">
                    <wps:wsp>
                      <wps:cNvSpPr txBox="1"/>
                      <wps:spPr>
                        <a:xfrm>
                          <a:off x="4325620" y="4614545"/>
                          <a:ext cx="1417955" cy="412750"/>
                        </a:xfrm>
                        <a:prstGeom prst="rect">
                          <a:avLst/>
                        </a:prstGeom>
                        <a:solidFill>
                          <a:srgbClr val="FFFFFF"/>
                        </a:solidFill>
                        <a:ln w="6350">
                          <a:noFill/>
                        </a:ln>
                        <a:effectLst/>
                      </wps:spPr>
                      <wps:txbx>
                        <w:txbxContent>
                          <w:p>
                            <w:r>
                              <w:rPr>
                                <w:rFonts w:hint="eastAsia"/>
                              </w:rPr>
                              <w:t>项目支出21.04%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70.25pt;margin-top:13.3pt;height:32.5pt;width:111.65pt;z-index:251681792;mso-width-relative:page;mso-height-relative:page;" fillcolor="#FFFFFF" filled="t" stroked="f" coordsize="21600,21600" o:gfxdata="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&#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BYAAABkcnMvUEsBAhQAFAAAAAgAh07iQOMltYTXAAAACwEAAA8AAAAAAAAAAQAgAAAAOAAAAGRy&#10;cy9kb3ducmV2LnhtbFBLAQIUABQAAAAIAIdO4kBWq6E/YgIAAKsEAAAOAAAAAAAAAAEAIAAAADwB&#10;AABkcnMvZTJvRG9jLnhtbFBLBQYAAAAABgAGAFkBAAAQBgAAAAA=&#10;">
                <v:fill on="t" focussize="0,0"/>
                <v:stroke on="f" weight="0.5pt"/>
                <v:imagedata o:title=""/>
                <o:lock v:ext="edit" aspectratio="f"/>
                <v:textbox>
                  <w:txbxContent>
                    <w:p>
                      <w:r>
                        <w:rPr>
                          <w:rFonts w:hint="eastAsia"/>
                        </w:rPr>
                        <w:t>项目支出21.04%</w:t>
                      </w:r>
                    </w:p>
                  </w:txbxContent>
                </v:textbox>
              </v:shape>
            </w:pict>
          </mc:Fallback>
        </mc:AlternateContent>
      </w: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r>
        <mc:AlternateContent>
          <mc:Choice Requires="wps">
            <w:drawing>
              <wp:anchor distT="0" distB="0" distL="114300" distR="114300" simplePos="0" relativeHeight="251680768" behindDoc="0" locked="0" layoutInCell="1" allowOverlap="1">
                <wp:simplePos x="0" y="0"/>
                <wp:positionH relativeFrom="column">
                  <wp:posOffset>-1401445</wp:posOffset>
                </wp:positionH>
                <wp:positionV relativeFrom="paragraph">
                  <wp:posOffset>198755</wp:posOffset>
                </wp:positionV>
                <wp:extent cx="1280795" cy="391160"/>
                <wp:effectExtent l="0" t="0" r="14605" b="8890"/>
                <wp:wrapNone/>
                <wp:docPr id="11" name="文本框 11"/>
                <wp:cNvGraphicFramePr/>
                <a:graphic xmlns:a="http://schemas.openxmlformats.org/drawingml/2006/main">
                  <a:graphicData uri="http://schemas.microsoft.com/office/word/2010/wordprocessingShape">
                    <wps:wsp>
                      <wps:cNvSpPr txBox="1"/>
                      <wps:spPr>
                        <a:xfrm>
                          <a:off x="1351280" y="2669540"/>
                          <a:ext cx="1280795" cy="391160"/>
                        </a:xfrm>
                        <a:prstGeom prst="rect">
                          <a:avLst/>
                        </a:prstGeom>
                        <a:solidFill>
                          <a:srgbClr val="FFFFFF"/>
                        </a:solidFill>
                        <a:ln w="6350">
                          <a:noFill/>
                        </a:ln>
                        <a:effectLst/>
                      </wps:spPr>
                      <wps:txbx>
                        <w:txbxContent>
                          <w:p>
                            <w:r>
                              <w:rPr>
                                <w:rFonts w:hint="eastAsia"/>
                              </w:rPr>
                              <w:t>基本支出78.96%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0.35pt;margin-top:15.65pt;height:30.8pt;width:100.85pt;z-index:251680768;mso-width-relative:page;mso-height-relative:page;" fillcolor="#FFFFFF" filled="t" stroked="f" coordsize="21600,21600" o:gfxdata="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&#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FgAAAGRycy9QSwECFAAUAAAACACHTuJAcO2GBdYAAAAKAQAADwAAAAAAAAABACAAAAA4AAAAZHJz&#10;L2Rvd25yZXYueG1sUEsBAhQAFAAAAAgAh07iQEvsNF9iAgAAqwQAAA4AAAAAAAAAAQAgAAAAOwEA&#10;AGRycy9lMm9Eb2MueG1sUEsFBgAAAAAGAAYAWQEAAA8GAAAAAA==&#10;">
                <v:fill on="t" focussize="0,0"/>
                <v:stroke on="f" weight="0.5pt"/>
                <v:imagedata o:title=""/>
                <o:lock v:ext="edit" aspectratio="f"/>
                <v:textbox>
                  <w:txbxContent>
                    <w:p>
                      <w:r>
                        <w:rPr>
                          <w:rFonts w:hint="eastAsia"/>
                        </w:rPr>
                        <w:t>基本支出78.96%</w:t>
                      </w:r>
                    </w:p>
                  </w:txbxContent>
                </v:textbox>
              </v:shape>
            </w:pict>
          </mc:Fallback>
        </mc:AlternateConten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247.96万元,比2017年度增加19.45万元，增长8.51%，主要是职工活动支出增加；本年支出247.96万元，增加19.45万元，增长8.51%，主要是职工活动经费增加，职工维权不断深入。</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mc:AlternateContent>
          <mc:Choice Requires="wps">
            <w:drawing>
              <wp:anchor distT="0" distB="0" distL="114300" distR="114300" simplePos="0" relativeHeight="251677696" behindDoc="0" locked="0" layoutInCell="1" allowOverlap="1">
                <wp:simplePos x="0" y="0"/>
                <wp:positionH relativeFrom="column">
                  <wp:posOffset>1590040</wp:posOffset>
                </wp:positionH>
                <wp:positionV relativeFrom="paragraph">
                  <wp:posOffset>-347345</wp:posOffset>
                </wp:positionV>
                <wp:extent cx="2407285" cy="535305"/>
                <wp:effectExtent l="0" t="0" r="12065" b="17145"/>
                <wp:wrapNone/>
                <wp:docPr id="2" name="文本框 2"/>
                <wp:cNvGraphicFramePr/>
                <a:graphic xmlns:a="http://schemas.openxmlformats.org/drawingml/2006/main">
                  <a:graphicData uri="http://schemas.microsoft.com/office/word/2010/wordprocessingShape">
                    <wps:wsp>
                      <wps:cNvSpPr txBox="1"/>
                      <wps:spPr>
                        <a:xfrm>
                          <a:off x="0" y="0"/>
                          <a:ext cx="2407285" cy="535108"/>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5.2pt;margin-top:-27.35pt;height:42.15pt;width:189.55pt;z-index:251677696;mso-width-relative:page;mso-height-relative:page;" fillcolor="#FFFFFF" filled="t" stroked="f" coordsize="21600,21600" o:gfxdata="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FgAAAGRycy9QSwEC&#10;FAAUAAAACACHTuJAnHZIrNYAAAAKAQAADwAAAAAAAAABACAAAAA4AAAAZHJzL2Rvd25yZXYueG1s&#10;UEsBAhQAFAAAAAgAh07iQE1pwbdWAgAAnQQAAA4AAAAAAAAAAQAgAAAAOwEAAGRycy9lMm9Eb2Mu&#10;eG1sUEsFBgAAAAAGAAYAWQEAAAMG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r>
        <w:drawing>
          <wp:anchor distT="0" distB="0" distL="114300" distR="114300" simplePos="0" relativeHeight="251672576" behindDoc="1" locked="0" layoutInCell="1" allowOverlap="1">
            <wp:simplePos x="0" y="0"/>
            <wp:positionH relativeFrom="column">
              <wp:posOffset>789940</wp:posOffset>
            </wp:positionH>
            <wp:positionV relativeFrom="paragraph">
              <wp:posOffset>-344170</wp:posOffset>
            </wp:positionV>
            <wp:extent cx="3968750" cy="2407285"/>
            <wp:effectExtent l="4445" t="4445" r="8255" b="7620"/>
            <wp:wrapTight wrapText="bothSides">
              <wp:wrapPolygon>
                <wp:start x="-24" y="-40"/>
                <wp:lineTo x="-24" y="21497"/>
                <wp:lineTo x="21541" y="21497"/>
                <wp:lineTo x="21541" y="-40"/>
                <wp:lineTo x="-24" y="-40"/>
              </wp:wrapPolygon>
            </wp:wrapTight>
            <wp:docPr id="1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247.96万元，完成年初预算的119.22%,比年初预算增加39.98万元，决算数大于预算数主要原因是职工活动经费增加，职工维权不断深入；本年支出247.96万元，完成年初预算的119.22%,比年初预算增加39.98万元，决算数大于预算数主要原因是职工维权活动不断深入，职工活动经费增加。</w:t>
      </w:r>
    </w:p>
    <w:p>
      <w:pPr>
        <w:adjustRightInd w:val="0"/>
        <w:snapToGrid w:val="0"/>
        <w:spacing w:after="0" w:line="580" w:lineRule="exact"/>
        <w:ind w:firstLine="420" w:firstLineChars="200"/>
        <w:rPr>
          <w:rFonts w:ascii="仿宋_GB2312" w:eastAsia="仿宋_GB2312" w:cs="DengXian-Regular"/>
          <w:sz w:val="32"/>
          <w:szCs w:val="32"/>
          <w:highlight w:val="yellow"/>
        </w:rPr>
      </w:pPr>
      <w:r>
        <mc:AlternateContent>
          <mc:Choice Requires="wps">
            <w:drawing>
              <wp:anchor distT="0" distB="0" distL="114300" distR="114300" simplePos="0" relativeHeight="251678720" behindDoc="0" locked="0" layoutInCell="1" allowOverlap="1">
                <wp:simplePos x="0" y="0"/>
                <wp:positionH relativeFrom="column">
                  <wp:posOffset>-4412615</wp:posOffset>
                </wp:positionH>
                <wp:positionV relativeFrom="paragraph">
                  <wp:posOffset>306705</wp:posOffset>
                </wp:positionV>
                <wp:extent cx="4358005" cy="494665"/>
                <wp:effectExtent l="0" t="0" r="4445" b="635"/>
                <wp:wrapNone/>
                <wp:docPr id="37" name="文本框 28"/>
                <wp:cNvGraphicFramePr/>
                <a:graphic xmlns:a="http://schemas.openxmlformats.org/drawingml/2006/main">
                  <a:graphicData uri="http://schemas.microsoft.com/office/word/2010/wordprocessingShape">
                    <wps:wsp>
                      <wps:cNvSpPr txBox="1"/>
                      <wps:spPr>
                        <a:xfrm>
                          <a:off x="0" y="0"/>
                          <a:ext cx="4358004" cy="494488"/>
                        </a:xfrm>
                        <a:prstGeom prst="rect">
                          <a:avLst/>
                        </a:prstGeom>
                        <a:solidFill>
                          <a:srgbClr val="FFFFFF"/>
                        </a:solidFill>
                        <a:ln w="6350">
                          <a:noFill/>
                        </a:ln>
                        <a:effectLst/>
                      </wps:spPr>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28" o:spid="_x0000_s1026" o:spt="202" type="#_x0000_t202" style="position:absolute;left:0pt;margin-left:-347.45pt;margin-top:24.15pt;height:38.95pt;width:343.15pt;z-index:251678720;mso-width-relative:page;mso-height-relative:page;" fillcolor="#FFFFFF" filled="t" stroked="f" coordsize="21600,21600" o:gfxdata="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w:pict>
          </mc:Fallback>
        </mc:AlternateContent>
      </w:r>
      <w:r>
        <w:drawing>
          <wp:anchor distT="0" distB="0" distL="114300" distR="114300" simplePos="0" relativeHeight="251673600" behindDoc="1" locked="0" layoutInCell="1" allowOverlap="1">
            <wp:simplePos x="0" y="0"/>
            <wp:positionH relativeFrom="column">
              <wp:posOffset>346075</wp:posOffset>
            </wp:positionH>
            <wp:positionV relativeFrom="paragraph">
              <wp:posOffset>297815</wp:posOffset>
            </wp:positionV>
            <wp:extent cx="4572000" cy="3028315"/>
            <wp:effectExtent l="4445" t="4445" r="14605" b="15240"/>
            <wp:wrapTight wrapText="bothSides">
              <wp:wrapPolygon>
                <wp:start x="-21" y="-32"/>
                <wp:lineTo x="-21" y="21437"/>
                <wp:lineTo x="21579" y="21437"/>
                <wp:lineTo x="21579" y="-32"/>
                <wp:lineTo x="-21" y="-32"/>
              </wp:wrapPolygon>
            </wp:wrapTight>
            <wp:docPr id="20"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年度财政拨款支出247.96万元，主要用于以下方面：一般公共服务（类）支出247.96万元，占100%；公共安全类（类）支出0万元，占0%；教育（类）支出0万元，占0%；科学技术（类）支出0万元，占 0%；社会保障和就业（类）支出 34.82万元，占14.04%；住房保障（类）支出0万元，占 0%;</w:t>
      </w:r>
    </w:p>
    <w:p>
      <w:pPr>
        <w:adjustRightInd w:val="0"/>
        <w:snapToGrid w:val="0"/>
        <w:spacing w:after="0" w:line="580" w:lineRule="exact"/>
        <w:rPr>
          <w:rFonts w:ascii="楷体_GB2312" w:eastAsia="楷体_GB2312" w:cs="DengXian-Bold"/>
          <w:b/>
          <w:bCs/>
          <w:sz w:val="32"/>
          <w:szCs w:val="32"/>
        </w:rPr>
      </w:pPr>
      <w:r>
        <mc:AlternateContent>
          <mc:Choice Requires="wps">
            <w:drawing>
              <wp:anchor distT="0" distB="0" distL="114300" distR="114300" simplePos="0" relativeHeight="251682816" behindDoc="0" locked="0" layoutInCell="1" allowOverlap="1">
                <wp:simplePos x="0" y="0"/>
                <wp:positionH relativeFrom="column">
                  <wp:posOffset>1316990</wp:posOffset>
                </wp:positionH>
                <wp:positionV relativeFrom="paragraph">
                  <wp:posOffset>3199765</wp:posOffset>
                </wp:positionV>
                <wp:extent cx="2105025" cy="539750"/>
                <wp:effectExtent l="0" t="0" r="9525" b="12700"/>
                <wp:wrapNone/>
                <wp:docPr id="15" name="文本框 15"/>
                <wp:cNvGraphicFramePr/>
                <a:graphic xmlns:a="http://schemas.openxmlformats.org/drawingml/2006/main">
                  <a:graphicData uri="http://schemas.microsoft.com/office/word/2010/wordprocessingShape">
                    <wps:wsp>
                      <wps:cNvSpPr txBox="1"/>
                      <wps:spPr>
                        <a:xfrm>
                          <a:off x="1563370" y="4773295"/>
                          <a:ext cx="2105025" cy="539750"/>
                        </a:xfrm>
                        <a:prstGeom prst="rect">
                          <a:avLst/>
                        </a:prstGeom>
                        <a:solidFill>
                          <a:srgbClr val="FFFFFF"/>
                        </a:solidFill>
                        <a:ln w="6350">
                          <a:noFill/>
                        </a:ln>
                        <a:effectLst/>
                      </wps:spPr>
                      <wps:txbx>
                        <w:txbxContent>
                          <w:p>
                            <w:r>
                              <w:rPr>
                                <w:rFonts w:hint="eastAsia"/>
                              </w:rPr>
                              <w:t>一般公共服务（类）支出100%</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03.7pt;margin-top:251.95pt;height:42.5pt;width:165.75pt;z-index:251682816;mso-width-relative:page;mso-height-relative:page;" fillcolor="#FFFFFF" filled="t" stroked="f" coordsize="21600,21600" o:gfxdata="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W&#10;AAAAZHJzL1BLAQIUABQAAAAIAIdO4kA199nK1QAAAAsBAAAPAAAAAAAAAAEAIAAAADgAAABkcnMv&#10;ZG93bnJldi54bWxQSwECFAAUAAAACACHTuJACa39amICAACrBAAADgAAAAAAAAABACAAAAA6AQAA&#10;ZHJzL2Uyb0RvYy54bWxQSwUGAAAAAAYABgBZAQAADgYAAAAA&#10;">
                <v:fill on="t" focussize="0,0"/>
                <v:stroke on="f" weight="0.5pt"/>
                <v:imagedata o:title=""/>
                <o:lock v:ext="edit" aspectratio="f"/>
                <v:textbox>
                  <w:txbxContent>
                    <w:p>
                      <w:r>
                        <w:rPr>
                          <w:rFonts w:hint="eastAsia"/>
                        </w:rPr>
                        <w:t>一般公共服务（类）支出100%</w:t>
                      </w:r>
                    </w:p>
                  </w:txbxContent>
                </v:textbox>
              </v:shape>
            </w:pict>
          </mc:Fallback>
        </mc:AlternateContent>
      </w:r>
      <w:r>
        <w:drawing>
          <wp:anchor distT="0" distB="0" distL="114300" distR="114300" simplePos="0" relativeHeight="251674624" behindDoc="0" locked="0" layoutInCell="1" allowOverlap="1">
            <wp:simplePos x="0" y="0"/>
            <wp:positionH relativeFrom="column">
              <wp:posOffset>227965</wp:posOffset>
            </wp:positionH>
            <wp:positionV relativeFrom="paragraph">
              <wp:posOffset>351790</wp:posOffset>
            </wp:positionV>
            <wp:extent cx="4572000" cy="3843655"/>
            <wp:effectExtent l="5080" t="4445" r="13970" b="19050"/>
            <wp:wrapTopAndBottom/>
            <wp:docPr id="2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年度一般公共预算财政拨款基本支出195.79万元，其中：人员经费 103.6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92.2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pStyle w:val="3"/>
        <w:spacing w:before="0" w:after="0" w:line="580" w:lineRule="exact"/>
        <w:ind w:firstLine="640" w:firstLineChars="200"/>
        <w:rPr>
          <w:rFonts w:ascii="仿宋_GB2312" w:hAnsi="Times New Roman" w:eastAsia="仿宋_GB2312" w:cs="DengXian-Regular"/>
          <w:b w:val="0"/>
          <w:bCs w:val="0"/>
          <w:highlight w:val="yellow"/>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较年初预算未增加</w:t>
      </w:r>
      <w:r>
        <w:rPr>
          <w:rFonts w:hint="eastAsia" w:ascii="仿宋_GB2312" w:eastAsia="仿宋_GB2312" w:cs="DengXian-Regular"/>
          <w:sz w:val="32"/>
          <w:szCs w:val="32"/>
        </w:rPr>
        <w:t>主要是：认真贯彻落实</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本部门2018年度因公出国（境）团组0个、共0人/参加其他单位组织的因公出国（境）团组0个、共0人/无本单位组织的出国（境）团组。因公出国（境）费支出与年初预算持平，无增减变化。主要是认真贯彻落实</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精神和厉行节约要求，从严控制“三公”经费开支。</w:t>
      </w:r>
    </w:p>
    <w:p>
      <w:pPr>
        <w:adjustRightInd w:val="0"/>
        <w:snapToGrid w:val="0"/>
        <w:spacing w:after="0" w:line="580" w:lineRule="exact"/>
        <w:ind w:firstLine="643" w:firstLineChars="200"/>
        <w:rPr>
          <w:rFonts w:ascii="仿宋_GB2312" w:eastAsia="仿宋_GB2312" w:cs="DengXian-Regular"/>
          <w:b/>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本部门2018年度公务用车购置及运行维护费较年初预算持平，无增减变化。主要是本部门2017年度公务用车已上缴，至今未购置公车。</w:t>
      </w:r>
      <w:r>
        <w:rPr>
          <w:rFonts w:hint="eastAsia" w:ascii="仿宋_GB2312" w:eastAsia="仿宋_GB2312" w:cs="DengXian-Regular"/>
          <w:b/>
          <w:sz w:val="32"/>
          <w:szCs w:val="32"/>
        </w:rPr>
        <w:t>其中：</w:t>
      </w:r>
    </w:p>
    <w:p>
      <w:pPr>
        <w:adjustRightInd w:val="0"/>
        <w:snapToGrid w:val="0"/>
        <w:spacing w:after="0" w:line="580" w:lineRule="exact"/>
        <w:ind w:firstLine="643" w:firstLineChars="200"/>
        <w:rPr>
          <w:rFonts w:ascii="仿宋_GB2312" w:eastAsia="仿宋_GB2312" w:cs="DengXian-Regular"/>
          <w:color w:val="000000" w:themeColor="text1"/>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本部门2018年度单位公务用车保有0量辆。公车运行维护费支出与年初预算持平。主要是2018年度</w:t>
      </w:r>
      <w:r>
        <w:rPr>
          <w:rFonts w:hint="eastAsia" w:ascii="仿宋_GB2312" w:eastAsia="仿宋_GB2312" w:cs="DengXian-Regular"/>
          <w:color w:val="000000" w:themeColor="text1"/>
          <w:sz w:val="32"/>
          <w:szCs w:val="32"/>
        </w:rPr>
        <w:t>未发生‘公务用车购置’经费支出。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本部门2018年度公务接待共0批次、0人次。公务接待费支出与年初预算持平，无增减变化。主要是认真贯彻落实</w:t>
      </w:r>
      <w:r>
        <w:rPr>
          <w:rFonts w:hint="eastAsia" w:ascii="仿宋_GB2312" w:eastAsia="仿宋_GB2312" w:cs="DengXian-Regular"/>
          <w:sz w:val="32"/>
          <w:szCs w:val="32"/>
          <w:lang w:eastAsia="zh-CN"/>
        </w:rPr>
        <w:t>中央八项规定</w:t>
      </w:r>
      <w:r>
        <w:rPr>
          <w:rFonts w:hint="eastAsia" w:ascii="仿宋_GB2312" w:eastAsia="仿宋_GB2312" w:cs="DengXian-Regular"/>
          <w:sz w:val="32"/>
          <w:szCs w:val="32"/>
        </w:rPr>
        <w:t>精神和厉行节约要求，从严控制“三公”经费开支。</w:t>
      </w:r>
    </w:p>
    <w:p>
      <w:pPr>
        <w:adjustRightInd w:val="0"/>
        <w:snapToGrid w:val="0"/>
        <w:spacing w:after="0" w:line="580" w:lineRule="exact"/>
        <w:ind w:firstLine="640" w:firstLineChars="200"/>
        <w:rPr>
          <w:rFonts w:ascii="仿宋_GB2312" w:eastAsia="仿宋_GB2312" w:cs="DengXian-Regular"/>
          <w:sz w:val="32"/>
          <w:szCs w:val="32"/>
          <w:highlight w:val="yellow"/>
        </w:rPr>
      </w:pP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职工维权、劳模救助、职工活动等7个项目，涉及资金52.17万元。从评价情况看，评价结果为优秀的项目有2个，良好的项目有3个，一般的项目有2个。</w:t>
      </w:r>
    </w:p>
    <w:p>
      <w:pPr>
        <w:adjustRightInd w:val="0"/>
        <w:snapToGrid w:val="0"/>
        <w:spacing w:after="0" w:line="580" w:lineRule="exact"/>
        <w:ind w:firstLine="640" w:firstLineChars="20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慰问职工项目绩效自评：根据年初设定的绩效目标，慰问职工及劳模专项救助金项目绩效自评结果为良好。项目全年预算数为6.4万元，执行数为6.4万元，完成预算的100%。主要产出和效果是困难职工和劳模得以及时救助。</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本部门2018年度机关运行经费支出207.72万元，比年初预算数增加66.84万元，增长47.44%。主要原因是职工活动增加，维护职工权益的经费增加。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与上年持平，主要是节约工会经费。其中，副部（省）级及以上领导用车0辆，主要领导干部用车0辆，机要通信用车0辆，应急保障用车0辆，执法执勤用车0辆，特种专业技术用车0辆，离退休干部用车0辆，其他用车0辆，无其他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万元以上通用设备0台（套），与去年相同。主要是贯彻中央八项规定精神，经费节俭。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万元以上专用设备0台（套），与去年相同。主要是贯彻中央</w:t>
      </w:r>
      <w:r>
        <w:rPr>
          <w:rFonts w:hint="eastAsia" w:ascii="仿宋_GB2312" w:eastAsia="仿宋_GB2312" w:cs="DengXian-Regular"/>
          <w:sz w:val="32"/>
          <w:szCs w:val="32"/>
          <w:lang w:val="en-US" w:eastAsia="zh-CN"/>
        </w:rPr>
        <w:t>八项</w:t>
      </w:r>
      <w:r>
        <w:rPr>
          <w:rFonts w:hint="eastAsia" w:ascii="仿宋_GB2312" w:eastAsia="仿宋_GB2312" w:cs="DengXian-Regular"/>
          <w:sz w:val="32"/>
          <w:szCs w:val="32"/>
        </w:rPr>
        <w:t>规定精神，节约经费。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1、本部门2018年度无收支及结转结余情况，故一般公共预算财政拨款“三公”经费支出决算表，政府性基金预算财政拨款收入支出决算表，国有资本经营预算财政拨款支出决算表，政府采购情况表以空表列示。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黑体">
    <w:altName w:val="方正黑体_GBK"/>
    <w:panose1 w:val="00000000000000000000"/>
    <w:charset w:val="86"/>
    <w:family w:val="auto"/>
    <w:pitch w:val="default"/>
    <w:sig w:usb0="00000000" w:usb1="00000000" w:usb2="00000000" w:usb3="00000000" w:csb0="0000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Batang">
    <w:altName w:val="方正黑体_GBK"/>
    <w:panose1 w:val="02030600000101010101"/>
    <w:charset w:val="81"/>
    <w:family w:val="roman"/>
    <w:pitch w:val="default"/>
    <w:sig w:usb0="00000000" w:usb1="00000000" w:usb2="00000030" w:usb3="00000000" w:csb0="0008009F" w:csb1="00000000"/>
  </w:font>
  <w:font w:name="黑体">
    <w:altName w:val="方正黑体_GBK"/>
    <w:panose1 w:val="00000000000000000000"/>
    <w:charset w:val="00"/>
    <w:family w:val="auto"/>
    <w:pitch w:val="default"/>
    <w:sig w:usb0="00000000" w:usb1="00000000" w:usb2="00000000" w:usb3="00000000" w:csb0="00000000" w:csb1="00000000"/>
  </w:font>
  <w:font w:name="MS-UIGothic,Bold">
    <w:altName w:val="方正黑体_GBK"/>
    <w:panose1 w:val="00000000000000000000"/>
    <w:charset w:val="81"/>
    <w:family w:val="auto"/>
    <w:pitch w:val="default"/>
    <w:sig w:usb0="00000000" w:usb1="00000000" w:usb2="00000010" w:usb3="00000000" w:csb0="00080000"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0C20D5"/>
    <w:multiLevelType w:val="singleLevel"/>
    <w:tmpl w:val="410C20D5"/>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21B5E"/>
    <w:rsid w:val="00224E91"/>
    <w:rsid w:val="00233705"/>
    <w:rsid w:val="002740FD"/>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02871"/>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4CD7"/>
    <w:rsid w:val="009831B2"/>
    <w:rsid w:val="009A1ABE"/>
    <w:rsid w:val="009E21A4"/>
    <w:rsid w:val="009F22C6"/>
    <w:rsid w:val="00A07E50"/>
    <w:rsid w:val="00A15397"/>
    <w:rsid w:val="00A35CE0"/>
    <w:rsid w:val="00A4462E"/>
    <w:rsid w:val="00A44AA4"/>
    <w:rsid w:val="00A61623"/>
    <w:rsid w:val="00A84687"/>
    <w:rsid w:val="00AB0A0E"/>
    <w:rsid w:val="00AD283F"/>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86722"/>
    <w:rsid w:val="00FA0D58"/>
    <w:rsid w:val="00FA56F4"/>
    <w:rsid w:val="00FB4EDA"/>
    <w:rsid w:val="00FD3BD5"/>
    <w:rsid w:val="00FE3DC8"/>
    <w:rsid w:val="023D396E"/>
    <w:rsid w:val="024975B4"/>
    <w:rsid w:val="032C40FC"/>
    <w:rsid w:val="03437843"/>
    <w:rsid w:val="04073F84"/>
    <w:rsid w:val="055C1DFE"/>
    <w:rsid w:val="072D1FBB"/>
    <w:rsid w:val="075C494E"/>
    <w:rsid w:val="077C0AC6"/>
    <w:rsid w:val="09D13595"/>
    <w:rsid w:val="0A6F1968"/>
    <w:rsid w:val="0AF84568"/>
    <w:rsid w:val="0B0C1305"/>
    <w:rsid w:val="0B0F29B0"/>
    <w:rsid w:val="0B1A08FE"/>
    <w:rsid w:val="0B60750A"/>
    <w:rsid w:val="0CB055CF"/>
    <w:rsid w:val="104C5A17"/>
    <w:rsid w:val="10686488"/>
    <w:rsid w:val="10A769E9"/>
    <w:rsid w:val="10DF728A"/>
    <w:rsid w:val="110B65B1"/>
    <w:rsid w:val="113C0816"/>
    <w:rsid w:val="11FE3AD5"/>
    <w:rsid w:val="12546D0C"/>
    <w:rsid w:val="1264200E"/>
    <w:rsid w:val="12EF02E6"/>
    <w:rsid w:val="12FE4F2B"/>
    <w:rsid w:val="141C5B77"/>
    <w:rsid w:val="146A11BD"/>
    <w:rsid w:val="149338E3"/>
    <w:rsid w:val="14AF0850"/>
    <w:rsid w:val="15930F7D"/>
    <w:rsid w:val="16615224"/>
    <w:rsid w:val="17076F96"/>
    <w:rsid w:val="18D8339D"/>
    <w:rsid w:val="18D93B2E"/>
    <w:rsid w:val="1A21388F"/>
    <w:rsid w:val="1A570D2F"/>
    <w:rsid w:val="1D1955CC"/>
    <w:rsid w:val="1D451C8C"/>
    <w:rsid w:val="1D7856C0"/>
    <w:rsid w:val="1DE81037"/>
    <w:rsid w:val="1F406D90"/>
    <w:rsid w:val="1F9D18CE"/>
    <w:rsid w:val="20CB6426"/>
    <w:rsid w:val="20CF4C18"/>
    <w:rsid w:val="21B45648"/>
    <w:rsid w:val="22F50BF2"/>
    <w:rsid w:val="230974CF"/>
    <w:rsid w:val="2377484F"/>
    <w:rsid w:val="258541BF"/>
    <w:rsid w:val="259E6213"/>
    <w:rsid w:val="26561904"/>
    <w:rsid w:val="28A46637"/>
    <w:rsid w:val="28FB0B8D"/>
    <w:rsid w:val="29035A98"/>
    <w:rsid w:val="29BC5DC1"/>
    <w:rsid w:val="2A9870FC"/>
    <w:rsid w:val="2B392ACD"/>
    <w:rsid w:val="2B5D6601"/>
    <w:rsid w:val="2C8E419A"/>
    <w:rsid w:val="2D2B7942"/>
    <w:rsid w:val="2D3C6F43"/>
    <w:rsid w:val="2D46481D"/>
    <w:rsid w:val="2E733B28"/>
    <w:rsid w:val="2EF848BB"/>
    <w:rsid w:val="2F417055"/>
    <w:rsid w:val="31852B5A"/>
    <w:rsid w:val="31B1724B"/>
    <w:rsid w:val="32705751"/>
    <w:rsid w:val="32D01238"/>
    <w:rsid w:val="37800CC4"/>
    <w:rsid w:val="380D46C5"/>
    <w:rsid w:val="381361AC"/>
    <w:rsid w:val="39F152C8"/>
    <w:rsid w:val="39F769E3"/>
    <w:rsid w:val="3ACC7114"/>
    <w:rsid w:val="3BA06F90"/>
    <w:rsid w:val="3DFC59A8"/>
    <w:rsid w:val="3ECF245E"/>
    <w:rsid w:val="3F1A0507"/>
    <w:rsid w:val="3FB96314"/>
    <w:rsid w:val="4011098B"/>
    <w:rsid w:val="414350FF"/>
    <w:rsid w:val="42660387"/>
    <w:rsid w:val="42E83CEF"/>
    <w:rsid w:val="42F24DC8"/>
    <w:rsid w:val="4447003C"/>
    <w:rsid w:val="456545D2"/>
    <w:rsid w:val="45AA1EBA"/>
    <w:rsid w:val="46055F97"/>
    <w:rsid w:val="47254D65"/>
    <w:rsid w:val="4A087DEA"/>
    <w:rsid w:val="4A6C3C7B"/>
    <w:rsid w:val="4B5A26CF"/>
    <w:rsid w:val="4B884D44"/>
    <w:rsid w:val="4BD46880"/>
    <w:rsid w:val="4EA4092A"/>
    <w:rsid w:val="4EA86B66"/>
    <w:rsid w:val="4ECF145A"/>
    <w:rsid w:val="501E4EE8"/>
    <w:rsid w:val="5048467F"/>
    <w:rsid w:val="52A641FE"/>
    <w:rsid w:val="53A44FAF"/>
    <w:rsid w:val="54BF4E62"/>
    <w:rsid w:val="55726EC5"/>
    <w:rsid w:val="562558E8"/>
    <w:rsid w:val="5654481C"/>
    <w:rsid w:val="574B4CCA"/>
    <w:rsid w:val="594329EC"/>
    <w:rsid w:val="59462344"/>
    <w:rsid w:val="59B95537"/>
    <w:rsid w:val="5BEE1540"/>
    <w:rsid w:val="5D104935"/>
    <w:rsid w:val="5DE61A5D"/>
    <w:rsid w:val="5FDF11D1"/>
    <w:rsid w:val="6091597E"/>
    <w:rsid w:val="60945E88"/>
    <w:rsid w:val="62086AA8"/>
    <w:rsid w:val="62420EE0"/>
    <w:rsid w:val="637D2386"/>
    <w:rsid w:val="63994C39"/>
    <w:rsid w:val="63C04243"/>
    <w:rsid w:val="64302AC2"/>
    <w:rsid w:val="647F0712"/>
    <w:rsid w:val="649C01C7"/>
    <w:rsid w:val="66C16815"/>
    <w:rsid w:val="678103D8"/>
    <w:rsid w:val="67BE7257"/>
    <w:rsid w:val="684F26E6"/>
    <w:rsid w:val="68FB6D1C"/>
    <w:rsid w:val="699A3F60"/>
    <w:rsid w:val="69A40B9C"/>
    <w:rsid w:val="69E43AE6"/>
    <w:rsid w:val="6B313F5A"/>
    <w:rsid w:val="6C46138B"/>
    <w:rsid w:val="6C72633F"/>
    <w:rsid w:val="6D3E230E"/>
    <w:rsid w:val="6DA11CCD"/>
    <w:rsid w:val="6DBB0644"/>
    <w:rsid w:val="70BD6F64"/>
    <w:rsid w:val="72902E62"/>
    <w:rsid w:val="72B30BF4"/>
    <w:rsid w:val="73AD1D0C"/>
    <w:rsid w:val="73C30936"/>
    <w:rsid w:val="73C61104"/>
    <w:rsid w:val="75303088"/>
    <w:rsid w:val="775E2700"/>
    <w:rsid w:val="776452EA"/>
    <w:rsid w:val="77A010E6"/>
    <w:rsid w:val="77B121E2"/>
    <w:rsid w:val="7BFE681A"/>
    <w:rsid w:val="7BFFD0FF"/>
    <w:rsid w:val="7CD85E35"/>
    <w:rsid w:val="7DC663B9"/>
    <w:rsid w:val="7E95000D"/>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semiHidden/>
    <w:unhideWhenUsed/>
    <w:qFormat/>
    <w:uiPriority w:val="35"/>
    <w:rPr>
      <w:rFonts w:ascii="Arial" w:hAnsi="Arial" w:eastAsia="黑体"/>
      <w:sz w:val="20"/>
    </w:rPr>
  </w:style>
  <w:style w:type="paragraph" w:styleId="7">
    <w:name w:val="Date"/>
    <w:basedOn w:val="1"/>
    <w:next w:val="1"/>
    <w:link w:val="32"/>
    <w:semiHidden/>
    <w:unhideWhenUsed/>
    <w:qFormat/>
    <w:uiPriority w:val="99"/>
    <w:pPr>
      <w:ind w:left="100" w:leftChars="2500"/>
    </w:pPr>
  </w:style>
  <w:style w:type="paragraph" w:styleId="8">
    <w:name w:val="Balloon Text"/>
    <w:basedOn w:val="1"/>
    <w:link w:val="20"/>
    <w:semiHidden/>
    <w:unhideWhenUsed/>
    <w:qFormat/>
    <w:uiPriority w:val="99"/>
    <w:rPr>
      <w:sz w:val="18"/>
      <w:szCs w:val="18"/>
    </w:rPr>
  </w:style>
  <w:style w:type="paragraph" w:styleId="9">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2">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6">
    <w:name w:val="页眉 Char"/>
    <w:basedOn w:val="15"/>
    <w:link w:val="10"/>
    <w:qFormat/>
    <w:uiPriority w:val="99"/>
    <w:rPr>
      <w:sz w:val="18"/>
      <w:szCs w:val="18"/>
    </w:rPr>
  </w:style>
  <w:style w:type="character" w:customStyle="1" w:styleId="17">
    <w:name w:val="页脚 Char"/>
    <w:basedOn w:val="15"/>
    <w:link w:val="9"/>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5"/>
    <w:link w:val="18"/>
    <w:qFormat/>
    <w:uiPriority w:val="1"/>
    <w:rPr>
      <w:kern w:val="0"/>
      <w:sz w:val="22"/>
    </w:rPr>
  </w:style>
  <w:style w:type="character" w:customStyle="1" w:styleId="20">
    <w:name w:val="批注框文本 Char"/>
    <w:basedOn w:val="15"/>
    <w:link w:val="8"/>
    <w:semiHidden/>
    <w:qFormat/>
    <w:uiPriority w:val="99"/>
    <w:rPr>
      <w:rFonts w:ascii="Times New Roman" w:hAnsi="Times New Roman" w:eastAsia="宋体" w:cs="Times New Roman"/>
      <w:sz w:val="18"/>
      <w:szCs w:val="18"/>
    </w:rPr>
  </w:style>
  <w:style w:type="character" w:customStyle="1" w:styleId="21">
    <w:name w:val="标题 Char"/>
    <w:basedOn w:val="15"/>
    <w:link w:val="12"/>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5"/>
    <w:link w:val="11"/>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5"/>
    <w:qFormat/>
    <w:uiPriority w:val="1"/>
    <w:rPr>
      <w:rFonts w:asciiTheme="minorHAnsi" w:hAnsiTheme="minorEastAsia" w:eastAsiaTheme="minorEastAsia" w:cstheme="minorBidi"/>
      <w:sz w:val="22"/>
      <w:szCs w:val="22"/>
      <w:lang w:eastAsia="zh-CN"/>
    </w:rPr>
  </w:style>
  <w:style w:type="character" w:customStyle="1" w:styleId="24">
    <w:name w:val="Style2"/>
    <w:basedOn w:val="15"/>
    <w:qFormat/>
    <w:uiPriority w:val="1"/>
    <w:rPr>
      <w:rFonts w:asciiTheme="minorHAnsi" w:hAnsiTheme="minorEastAsia" w:eastAsiaTheme="minorEastAsia" w:cstheme="minorBidi"/>
      <w:sz w:val="22"/>
      <w:szCs w:val="22"/>
      <w:lang w:eastAsia="zh-CN"/>
    </w:rPr>
  </w:style>
  <w:style w:type="character" w:customStyle="1" w:styleId="25">
    <w:name w:val="Style3"/>
    <w:basedOn w:val="15"/>
    <w:qFormat/>
    <w:uiPriority w:val="1"/>
    <w:rPr>
      <w:rFonts w:asciiTheme="minorHAnsi" w:hAnsiTheme="minorEastAsia" w:eastAsiaTheme="minorEastAsia" w:cstheme="minorBidi"/>
      <w:szCs w:val="22"/>
      <w:lang w:eastAsia="zh-CN"/>
    </w:rPr>
  </w:style>
  <w:style w:type="character" w:customStyle="1" w:styleId="26">
    <w:name w:val="Style4"/>
    <w:basedOn w:val="15"/>
    <w:qFormat/>
    <w:uiPriority w:val="1"/>
    <w:rPr>
      <w:rFonts w:asciiTheme="minorHAnsi" w:hAnsiTheme="minorEastAsia" w:eastAsiaTheme="minorEastAsia" w:cstheme="minorBidi"/>
      <w:szCs w:val="22"/>
      <w:lang w:eastAsia="zh-CN"/>
    </w:rPr>
  </w:style>
  <w:style w:type="character" w:customStyle="1" w:styleId="27">
    <w:name w:val="Style5"/>
    <w:basedOn w:val="15"/>
    <w:qFormat/>
    <w:uiPriority w:val="1"/>
    <w:rPr>
      <w:rFonts w:asciiTheme="minorHAnsi" w:hAnsiTheme="minorEastAsia" w:eastAsiaTheme="minorEastAsia" w:cstheme="minorBidi"/>
      <w:sz w:val="22"/>
      <w:szCs w:val="22"/>
      <w:lang w:eastAsia="zh-CN"/>
    </w:rPr>
  </w:style>
  <w:style w:type="character" w:customStyle="1" w:styleId="28">
    <w:name w:val="标题 1 Char"/>
    <w:basedOn w:val="15"/>
    <w:link w:val="2"/>
    <w:qFormat/>
    <w:uiPriority w:val="9"/>
    <w:rPr>
      <w:rFonts w:ascii="Times New Roman" w:hAnsi="Times New Roman" w:eastAsia="宋体" w:cs="Times New Roman"/>
      <w:b/>
      <w:bCs/>
      <w:kern w:val="44"/>
      <w:sz w:val="44"/>
      <w:szCs w:val="44"/>
    </w:rPr>
  </w:style>
  <w:style w:type="character" w:customStyle="1" w:styleId="29">
    <w:name w:val="标题 2 Char"/>
    <w:basedOn w:val="15"/>
    <w:link w:val="3"/>
    <w:qFormat/>
    <w:uiPriority w:val="9"/>
    <w:rPr>
      <w:rFonts w:asciiTheme="majorHAnsi" w:hAnsiTheme="majorHAnsi" w:eastAsiaTheme="majorEastAsia" w:cstheme="majorBidi"/>
      <w:b/>
      <w:bCs/>
      <w:sz w:val="32"/>
      <w:szCs w:val="32"/>
    </w:rPr>
  </w:style>
  <w:style w:type="character" w:customStyle="1" w:styleId="30">
    <w:name w:val="标题 3 Char"/>
    <w:basedOn w:val="15"/>
    <w:link w:val="4"/>
    <w:qFormat/>
    <w:uiPriority w:val="9"/>
    <w:rPr>
      <w:rFonts w:ascii="Times New Roman" w:hAnsi="Times New Roman" w:eastAsia="宋体" w:cs="Times New Roman"/>
      <w:b/>
      <w:bCs/>
      <w:sz w:val="32"/>
      <w:szCs w:val="32"/>
    </w:rPr>
  </w:style>
  <w:style w:type="character" w:customStyle="1" w:styleId="31">
    <w:name w:val="标题 4 Char"/>
    <w:basedOn w:val="15"/>
    <w:link w:val="5"/>
    <w:qFormat/>
    <w:uiPriority w:val="9"/>
    <w:rPr>
      <w:rFonts w:asciiTheme="majorHAnsi" w:hAnsiTheme="majorHAnsi" w:eastAsiaTheme="majorEastAsia" w:cstheme="majorBidi"/>
      <w:b/>
      <w:bCs/>
      <w:sz w:val="28"/>
      <w:szCs w:val="28"/>
    </w:rPr>
  </w:style>
  <w:style w:type="character" w:customStyle="1" w:styleId="32">
    <w:name w:val="日期 Char"/>
    <w:basedOn w:val="15"/>
    <w:link w:val="7"/>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esktop\2018&#24180;&#20915;&#31639;&#20844;&#24320;&#25253;&#34920;\&#34892;&#25919;&#25919;&#27861;&#31185;\&#26080;&#26497;&#21439;&#24635;&#24037;&#2025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esktop\2018&#24180;&#20915;&#31639;&#20844;&#24320;&#25253;&#34920;\&#34892;&#25919;&#25919;&#27861;&#31185;\&#26080;&#26497;&#21439;&#24635;&#24037;&#2025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esktop\2018&#24180;&#20915;&#31639;&#20844;&#24320;&#25253;&#34920;\&#34892;&#25919;&#25919;&#27861;&#31185;\&#26080;&#26497;&#21439;&#24635;&#24037;&#2025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esktop\2018&#24180;&#20915;&#31639;&#20844;&#24320;&#25253;&#34920;\&#34892;&#25919;&#25919;&#27861;&#31185;\&#26080;&#26497;&#21439;&#24635;&#24037;&#2025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esktop\2018&#24180;&#20915;&#31639;&#20844;&#24320;&#25253;&#34920;\&#34892;&#25919;&#25919;&#27861;&#31185;\&#26080;&#26497;&#21439;&#24635;&#24037;&#2025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'[无极县总工会.XLS]Z03 收入决算表(公开02表)'!$F$4:$F$8</c:f>
              <c:strCache>
                <c:ptCount val="1"/>
                <c:pt idx="0">
                  <c:v>财政拨款收入 2</c:v>
                </c:pt>
              </c:strCache>
            </c:strRef>
          </c:tx>
          <c:spPr/>
          <c:explosion val="0"/>
          <c:dPt>
            <c:idx val="0"/>
            <c:bubble3D val="0"/>
            <c:spPr>
              <a:solidFill>
                <a:schemeClr val="accent1"/>
              </a:solidFill>
              <a:ln w="19050">
                <a:solidFill>
                  <a:schemeClr val="lt1"/>
                </a:solidFill>
              </a:ln>
              <a:effectLst/>
            </c:spPr>
          </c:dPt>
          <c:dLbls>
            <c:delete val="1"/>
          </c:dLbls>
          <c:val>
            <c:numRef>
              <c:f>'[无极县总工会.XLS]Z03 收入决算表(公开02表)'!$F$9</c:f>
              <c:numCache>
                <c:formatCode>#,##0.00</c:formatCode>
                <c:ptCount val="1"/>
                <c:pt idx="0">
                  <c:v>247.96</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52125"/>
          <c:y val="0.915972222222222"/>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elete val="1"/>
          </c:dLbls>
          <c:cat>
            <c:multiLvlStrRef>
              <c:f>'[无极县总工会.XLS]Z04 支出决算表(公开03表)'!$F$4:$G$8</c:f>
              <c:multiLvlStrCache>
                <c:ptCount val="2"/>
                <c:lvl>
                  <c:pt idx="0">
                    <c:v>2</c:v>
                  </c:pt>
                  <c:pt idx="1">
                    <c:v>3</c:v>
                  </c:pt>
                </c:lvl>
                <c:lvl/>
                <c:lvl/>
                <c:lvl>
                  <c:pt idx="0">
                    <c:v>基本支出</c:v>
                  </c:pt>
                  <c:pt idx="1">
                    <c:v>项目支出</c:v>
                  </c:pt>
                </c:lvl>
              </c:multiLvlStrCache>
            </c:multiLvlStrRef>
          </c:cat>
          <c:val>
            <c:numRef>
              <c:f>'[无极县总工会.XLS]Z04 支出决算表(公开03表)'!$F$9:$G$9</c:f>
              <c:numCache>
                <c:formatCode>#,##0.00</c:formatCode>
                <c:ptCount val="2"/>
                <c:pt idx="0">
                  <c:v>195.79</c:v>
                </c:pt>
                <c:pt idx="1">
                  <c:v>52.17</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[无极县总工会.XLS]Sheet1!$A$1:$D$1</c:f>
              <c:strCache>
                <c:ptCount val="4"/>
                <c:pt idx="0">
                  <c:v>2017年收入</c:v>
                </c:pt>
                <c:pt idx="1">
                  <c:v>2018年收入</c:v>
                </c:pt>
                <c:pt idx="2">
                  <c:v>2017年支出</c:v>
                </c:pt>
                <c:pt idx="3">
                  <c:v>2018年支出</c:v>
                </c:pt>
              </c:strCache>
            </c:strRef>
          </c:cat>
          <c:val>
            <c:numRef>
              <c:f>[无极县总工会.XLS]Sheet1!$A$2:$D$2</c:f>
              <c:numCache>
                <c:formatCode>General</c:formatCode>
                <c:ptCount val="4"/>
                <c:pt idx="0">
                  <c:v>228.51</c:v>
                </c:pt>
                <c:pt idx="1">
                  <c:v>247.96</c:v>
                </c:pt>
                <c:pt idx="2">
                  <c:v>228.51</c:v>
                </c:pt>
                <c:pt idx="3">
                  <c:v>247.96</c:v>
                </c:pt>
              </c:numCache>
            </c:numRef>
          </c:val>
        </c:ser>
        <c:dLbls>
          <c:showLegendKey val="0"/>
          <c:showVal val="0"/>
          <c:showCatName val="0"/>
          <c:showSerName val="0"/>
          <c:showPercent val="0"/>
          <c:showBubbleSize val="0"/>
        </c:dLbls>
        <c:gapWidth val="219"/>
        <c:overlap val="-27"/>
        <c:axId val="199233536"/>
        <c:axId val="199235456"/>
      </c:barChart>
      <c:catAx>
        <c:axId val="1992335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9235456"/>
        <c:crosses val="autoZero"/>
        <c:auto val="1"/>
        <c:lblAlgn val="ctr"/>
        <c:lblOffset val="100"/>
        <c:noMultiLvlLbl val="0"/>
      </c:catAx>
      <c:valAx>
        <c:axId val="1992354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99233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[无极县总工会.XLS]Sheet1!$A$25:$D$25</c:f>
              <c:strCache>
                <c:ptCount val="4"/>
                <c:pt idx="0">
                  <c:v>收入预算</c:v>
                </c:pt>
                <c:pt idx="1">
                  <c:v>收入决算</c:v>
                </c:pt>
                <c:pt idx="2">
                  <c:v>支出预算</c:v>
                </c:pt>
                <c:pt idx="3">
                  <c:v>支出决算</c:v>
                </c:pt>
              </c:strCache>
            </c:strRef>
          </c:cat>
          <c:val>
            <c:numRef>
              <c:f>[无极县总工会.XLS]Sheet1!$A$26:$D$26</c:f>
              <c:numCache>
                <c:formatCode>General</c:formatCode>
                <c:ptCount val="4"/>
                <c:pt idx="0">
                  <c:v>207.98</c:v>
                </c:pt>
                <c:pt idx="1">
                  <c:v>247.96</c:v>
                </c:pt>
                <c:pt idx="2">
                  <c:v>207.98</c:v>
                </c:pt>
                <c:pt idx="3">
                  <c:v>247.96</c:v>
                </c:pt>
              </c:numCache>
            </c:numRef>
          </c:val>
        </c:ser>
        <c:dLbls>
          <c:showLegendKey val="0"/>
          <c:showVal val="0"/>
          <c:showCatName val="0"/>
          <c:showSerName val="0"/>
          <c:showPercent val="0"/>
          <c:showBubbleSize val="0"/>
        </c:dLbls>
        <c:gapWidth val="219"/>
        <c:overlap val="-27"/>
        <c:axId val="202860800"/>
        <c:axId val="202871168"/>
      </c:barChart>
      <c:catAx>
        <c:axId val="20286080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2871168"/>
        <c:crosses val="autoZero"/>
        <c:auto val="1"/>
        <c:lblAlgn val="ctr"/>
        <c:lblOffset val="100"/>
        <c:noMultiLvlLbl val="0"/>
      </c:catAx>
      <c:valAx>
        <c:axId val="202871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286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manualLayout>
          <c:layoutTarget val="inner"/>
          <c:xMode val="edge"/>
          <c:yMode val="edge"/>
          <c:x val="0.299791666666667"/>
          <c:y val="0.172916666666667"/>
          <c:w val="0.400416666666667"/>
          <c:h val="0.667361111111111"/>
        </c:manualLayout>
      </c:layout>
      <c:pieChart>
        <c:varyColors val="1"/>
        <c:ser>
          <c:idx val="0"/>
          <c:order val="0"/>
          <c:tx>
            <c:strRef>
              <c:f>[无极县总工会.XLS]Sheet2!$A$1</c:f>
              <c:strCache>
                <c:ptCount val="1"/>
                <c:pt idx="0">
                  <c:v>一般公共服务类支出</c:v>
                </c:pt>
              </c:strCache>
            </c:strRef>
          </c:tx>
          <c:spPr/>
          <c:explosion val="0"/>
          <c:dPt>
            <c:idx val="0"/>
            <c:bubble3D val="0"/>
            <c:spPr>
              <a:solidFill>
                <a:schemeClr val="accent1"/>
              </a:solidFill>
              <a:ln w="19050">
                <a:solidFill>
                  <a:schemeClr val="lt1"/>
                </a:solidFill>
              </a:ln>
              <a:effectLst/>
            </c:spPr>
          </c:dPt>
          <c:dLbls>
            <c:delete val="1"/>
          </c:dLbls>
          <c:val>
            <c:numRef>
              <c:f>[无极县总工会.XLS]Sheet2!$A$2</c:f>
              <c:numCache>
                <c:formatCode>0%</c:formatCode>
                <c:ptCount val="1"/>
                <c:pt idx="0">
                  <c:v>1</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7539</Words>
  <Characters>3295</Characters>
  <Lines>27</Lines>
  <Paragraphs>21</Paragraphs>
  <TotalTime>3</TotalTime>
  <ScaleCrop>false</ScaleCrop>
  <LinksUpToDate>false</LinksUpToDate>
  <CharactersWithSpaces>10813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2024-01-03T09:24:17Z</dcterms:modified>
  <dc:subject>石家庄市xxx部门</dc:subject>
  <dc:title>2017年度部门决算</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9D94EFF74A849BC241B7946558F4F3AA</vt:lpwstr>
  </property>
</Properties>
</file>