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-991870</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郭庄镇</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郭庄镇</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郭庄镇</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一、财政拨款收入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二、事业收入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三、其他收入</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四、用事业基金弥补收支差额</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五、年初结转和结余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六、结余分配</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七、年末结转和结余</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八、基本支出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九、项目支出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十、基本建设支出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十一、其他资本性支出</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十二、“三公”经费</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十三、其他交通费用</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十四、公务用车购置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十五、其他交通工具购置</w:t>
      </w:r>
    </w:p>
    <w:p>
      <w:pPr>
        <w:spacing w:line="580" w:lineRule="exact"/>
        <w:ind w:firstLine="964" w:firstLineChars="300"/>
        <w:jc w:val="left"/>
        <w:rPr>
          <w:rFonts w:ascii="宋体" w:hAnsi="宋体" w:cs="宋体"/>
          <w:b/>
          <w:bCs/>
          <w:sz w:val="32"/>
          <w:szCs w:val="32"/>
        </w:rPr>
      </w:pPr>
      <w:r>
        <w:rPr>
          <w:rFonts w:hint="eastAsia" w:ascii="宋体" w:hAnsi="宋体" w:cs="宋体"/>
          <w:b/>
          <w:bCs/>
          <w:sz w:val="32"/>
          <w:szCs w:val="32"/>
        </w:rPr>
        <w:t>十六、机关运行经费</w:t>
      </w:r>
    </w:p>
    <w:p>
      <w:pPr>
        <w:spacing w:line="580" w:lineRule="exact"/>
        <w:rPr>
          <w:rFonts w:ascii="宋体" w:hAnsi="宋体" w:cs="宋体"/>
          <w:b/>
          <w:bCs/>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rPr>
          <w:rFonts w:ascii="宋体" w:hAnsi="宋体" w:cs="宋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Pr>
        <w:pStyle w:val="2"/>
        <w:spacing w:before="0" w:after="0" w:line="600" w:lineRule="exact"/>
        <w:ind w:firstLine="640" w:firstLineChars="200"/>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一、部门职责</w:t>
      </w:r>
    </w:p>
    <w:p>
      <w:pPr>
        <w:ind w:firstLine="640" w:firstLineChars="200"/>
        <w:jc w:val="left"/>
        <w:outlineLvl w:val="0"/>
        <w:rPr>
          <w:rFonts w:ascii="宋体" w:hAnsi="宋体" w:cs="宋体"/>
          <w:sz w:val="32"/>
          <w:szCs w:val="32"/>
        </w:rPr>
      </w:pPr>
      <w:r>
        <w:rPr>
          <w:rFonts w:hint="eastAsia" w:ascii="宋体" w:hAnsi="宋体" w:cs="宋体"/>
          <w:sz w:val="32"/>
          <w:szCs w:val="32"/>
        </w:rPr>
        <w:t>宣传、贯彻、执行党的路线方针政策和国家的法律、法规,执行本级人民代表大会的决议和上级国家行政机关的决定和命令,其主要职能为:</w:t>
      </w:r>
    </w:p>
    <w:p>
      <w:pPr>
        <w:ind w:firstLine="832" w:firstLineChars="260"/>
        <w:jc w:val="left"/>
        <w:outlineLvl w:val="0"/>
        <w:rPr>
          <w:rFonts w:ascii="宋体" w:hAnsi="宋体" w:cs="宋体"/>
          <w:sz w:val="32"/>
          <w:szCs w:val="32"/>
        </w:rPr>
      </w:pPr>
      <w:r>
        <w:rPr>
          <w:rFonts w:hint="eastAsia" w:ascii="宋体" w:hAnsi="宋体" w:cs="宋体"/>
          <w:sz w:val="32"/>
          <w:szCs w:val="32"/>
        </w:rPr>
        <w:t>1.促进经济发展</w:t>
      </w:r>
    </w:p>
    <w:p>
      <w:pPr>
        <w:ind w:firstLine="832" w:firstLineChars="260"/>
        <w:jc w:val="left"/>
        <w:outlineLvl w:val="0"/>
        <w:rPr>
          <w:rFonts w:ascii="宋体" w:hAnsi="宋体" w:cs="宋体"/>
          <w:sz w:val="32"/>
          <w:szCs w:val="32"/>
        </w:rPr>
      </w:pPr>
      <w:r>
        <w:rPr>
          <w:rFonts w:hint="eastAsia" w:ascii="宋体" w:hAnsi="宋体" w:cs="宋体"/>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ind w:firstLine="832" w:firstLineChars="260"/>
        <w:jc w:val="left"/>
        <w:outlineLvl w:val="0"/>
        <w:rPr>
          <w:rFonts w:ascii="宋体" w:hAnsi="宋体" w:cs="宋体"/>
          <w:sz w:val="32"/>
          <w:szCs w:val="32"/>
        </w:rPr>
      </w:pPr>
      <w:r>
        <w:rPr>
          <w:rFonts w:hint="eastAsia" w:ascii="宋体" w:hAnsi="宋体" w:cs="宋体"/>
          <w:sz w:val="32"/>
          <w:szCs w:val="32"/>
        </w:rPr>
        <w:t>2.加强社会管理</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ind w:firstLine="832" w:firstLineChars="260"/>
        <w:jc w:val="left"/>
        <w:outlineLvl w:val="0"/>
        <w:rPr>
          <w:rFonts w:ascii="宋体" w:hAnsi="宋体" w:cs="宋体"/>
          <w:sz w:val="32"/>
          <w:szCs w:val="32"/>
        </w:rPr>
      </w:pPr>
      <w:r>
        <w:rPr>
          <w:rFonts w:hint="eastAsia" w:ascii="宋体" w:hAnsi="宋体" w:cs="宋体"/>
          <w:sz w:val="32"/>
          <w:szCs w:val="32"/>
        </w:rPr>
        <w:t>3.提供公共服务</w:t>
      </w:r>
    </w:p>
    <w:p>
      <w:pPr>
        <w:ind w:firstLine="832" w:firstLineChars="260"/>
        <w:jc w:val="left"/>
        <w:outlineLvl w:val="0"/>
        <w:rPr>
          <w:rFonts w:ascii="宋体" w:hAnsi="宋体" w:cs="宋体"/>
          <w:sz w:val="32"/>
          <w:szCs w:val="32"/>
        </w:rPr>
      </w:pPr>
      <w:r>
        <w:rPr>
          <w:rFonts w:hint="eastAsia" w:ascii="宋体" w:hAnsi="宋体" w:cs="宋体"/>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ind w:firstLine="832" w:firstLineChars="260"/>
        <w:jc w:val="left"/>
        <w:outlineLvl w:val="0"/>
        <w:rPr>
          <w:rFonts w:ascii="宋体" w:hAnsi="宋体" w:cs="宋体"/>
          <w:sz w:val="32"/>
          <w:szCs w:val="32"/>
        </w:rPr>
      </w:pPr>
      <w:r>
        <w:rPr>
          <w:rFonts w:hint="eastAsia" w:ascii="宋体" w:hAnsi="宋体" w:cs="宋体"/>
          <w:sz w:val="32"/>
          <w:szCs w:val="32"/>
        </w:rPr>
        <w:t>4.维护农村稳定</w:t>
      </w:r>
    </w:p>
    <w:p>
      <w:pPr>
        <w:ind w:firstLine="832" w:firstLineChars="260"/>
        <w:jc w:val="left"/>
        <w:outlineLvl w:val="0"/>
        <w:rPr>
          <w:rFonts w:ascii="宋体" w:hAnsi="宋体" w:cs="宋体"/>
          <w:sz w:val="32"/>
          <w:szCs w:val="32"/>
        </w:rPr>
      </w:pPr>
      <w:r>
        <w:rPr>
          <w:rFonts w:hint="eastAsia" w:ascii="宋体" w:hAnsi="宋体" w:cs="宋体"/>
          <w:sz w:val="32"/>
          <w:szCs w:val="32"/>
        </w:rPr>
        <w:t>主要包括:（1）做好社会治安</w:t>
      </w:r>
      <w:r>
        <w:rPr>
          <w:rFonts w:hint="eastAsia" w:ascii="宋体" w:hAnsi="宋体" w:cs="宋体"/>
          <w:sz w:val="32"/>
          <w:szCs w:val="32"/>
          <w:lang w:eastAsia="zh-CN"/>
        </w:rPr>
        <w:t>综合治理</w:t>
      </w:r>
      <w:r>
        <w:rPr>
          <w:rFonts w:hint="eastAsia" w:ascii="宋体" w:hAnsi="宋体" w:cs="宋体"/>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无极县郭庄镇人民政府</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326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r>
              <w:rPr>
                <w:rFonts w:hint="eastAsia" w:ascii="宋体" w:hAnsi="宋体" w:cs="宋体"/>
                <w:color w:val="000000"/>
                <w:kern w:val="0"/>
                <w:sz w:val="20"/>
                <w:szCs w:val="20"/>
              </w:rPr>
              <w:t>部门：无极县郭庄镇人民政府</w:t>
            </w: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1595.52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1003.08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35.97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44.71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34.02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8.36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20"/>
                <w:szCs w:val="20"/>
              </w:rPr>
              <w:t>1595.52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349"/>
              </w:tabs>
              <w:spacing w:after="0" w:line="200" w:lineRule="exact"/>
              <w:jc w:val="center"/>
              <w:rPr>
                <w:rFonts w:ascii="宋体" w:hAnsi="宋体" w:cs="宋体"/>
                <w:color w:val="000000"/>
                <w:sz w:val="20"/>
                <w:szCs w:val="20"/>
              </w:rPr>
            </w:pPr>
            <w:r>
              <w:rPr>
                <w:rFonts w:hint="eastAsia" w:ascii="宋体" w:hAnsi="宋体" w:cs="宋体"/>
                <w:color w:val="000000"/>
                <w:sz w:val="20"/>
                <w:szCs w:val="20"/>
              </w:rPr>
              <w:t>1126.14</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30.62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500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1626.14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1626.14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无极县郭庄镇人民政府</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1595.52</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1595.52</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1475.67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1475.67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1475.67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1475.67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2010301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1325.67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1325.67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节能环保支出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污染防治</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2110301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大气</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447.51</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44.71</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城乡社区支出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2120801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征地和拆迁补偿支出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34.02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213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农林水收入</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rPr>
              <w:t>8.36</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无极县郭庄镇人民政府</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1126.14</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889.05</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237.09</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1003.08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color w:val="000000"/>
                <w:szCs w:val="21"/>
              </w:rPr>
              <w:t>853.08</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20103</w:t>
            </w:r>
          </w:p>
        </w:tc>
        <w:tc>
          <w:tcPr>
            <w:tcW w:w="111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政府办公厅（室）及相关机构事务</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1003.08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color w:val="000000"/>
                <w:szCs w:val="21"/>
              </w:rPr>
              <w:t>853.08</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2010301</w:t>
            </w:r>
          </w:p>
        </w:tc>
        <w:tc>
          <w:tcPr>
            <w:tcW w:w="111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853.08</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color w:val="000000"/>
                <w:szCs w:val="21"/>
              </w:rPr>
              <w:t>853.08</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35.97</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35.97</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w:t>
            </w:r>
          </w:p>
        </w:tc>
        <w:tc>
          <w:tcPr>
            <w:tcW w:w="1117"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节能环保支出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21103</w:t>
            </w:r>
          </w:p>
        </w:tc>
        <w:tc>
          <w:tcPr>
            <w:tcW w:w="1117"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污染防治</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2110301</w:t>
            </w:r>
          </w:p>
        </w:tc>
        <w:tc>
          <w:tcPr>
            <w:tcW w:w="11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大气</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w:t>
            </w:r>
          </w:p>
        </w:tc>
        <w:tc>
          <w:tcPr>
            <w:tcW w:w="11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城乡社区支出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21208</w:t>
            </w:r>
          </w:p>
        </w:tc>
        <w:tc>
          <w:tcPr>
            <w:tcW w:w="11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2120801</w:t>
            </w:r>
          </w:p>
        </w:tc>
        <w:tc>
          <w:tcPr>
            <w:tcW w:w="11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征地和拆迁补偿支出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213</w:t>
            </w:r>
          </w:p>
        </w:tc>
        <w:tc>
          <w:tcPr>
            <w:tcW w:w="1117"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农林水支出</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w:t>
            </w: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c>
          <w:tcPr>
            <w:tcW w:w="1084"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部门：无极县郭庄镇人民政府</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317"/>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1561.5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282"/>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1003.08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1003.084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34.02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35.97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44.71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44.71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34.02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34.02</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1595.52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1126.14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1592.12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34.02</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30.62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500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30.62</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r>
              <w:rPr>
                <w:rFonts w:hint="eastAsia" w:ascii="宋体" w:hAnsi="宋体" w:cs="宋体"/>
                <w:color w:val="000000"/>
                <w:sz w:val="18"/>
                <w:szCs w:val="18"/>
              </w:rPr>
              <w:t>1626.14</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1626.14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1592.12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535"/>
              </w:tabs>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34.02</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无极县郭庄镇人民政府</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b/>
                <w:color w:val="000000"/>
                <w:szCs w:val="21"/>
              </w:rPr>
            </w:pPr>
            <w:r>
              <w:rPr>
                <w:rFonts w:hint="eastAsia" w:ascii="宋体" w:hAnsi="宋体" w:cs="宋体"/>
                <w:b/>
                <w:color w:val="000000"/>
                <w:szCs w:val="21"/>
              </w:rPr>
              <w:t>1126.14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889.05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237.09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1003.08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color w:val="000000"/>
                <w:szCs w:val="21"/>
              </w:rPr>
              <w:t>853.08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w:t>
            </w:r>
          </w:p>
        </w:tc>
      </w:tr>
      <w:tr>
        <w:tblPrEx>
          <w:tblCellMar>
            <w:top w:w="0" w:type="dxa"/>
            <w:left w:w="0" w:type="dxa"/>
            <w:bottom w:w="0" w:type="dxa"/>
            <w:right w:w="0" w:type="dxa"/>
          </w:tblCellMar>
        </w:tblPrEx>
        <w:trPr>
          <w:trHeight w:val="625"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1003.08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b/>
                <w:color w:val="000000"/>
                <w:szCs w:val="21"/>
              </w:rPr>
              <w:t>825.67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853.08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853.08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35.97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19.64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19.64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19.64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16.33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节能环保支出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污染防治</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大气</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44.71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国有土地使用权出让收入及对应专项债务收入安排的支出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征地和拆迁补偿支出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34.02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2130299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其他林业支出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8.36</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sz w:val="40"/>
                <w:szCs w:val="40"/>
              </w:rPr>
            </w:pPr>
            <w:r>
              <w:rPr>
                <w:rFonts w:hint="eastAsia" w:ascii="黑体" w:hAnsi="宋体" w:eastAsia="黑体" w:cs="黑体"/>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sz w:val="22"/>
                <w:szCs w:val="22"/>
              </w:rPr>
            </w:pPr>
            <w:r>
              <w:rPr>
                <w:rFonts w:hint="eastAsia" w:ascii="宋体" w:hAnsi="宋体" w:cs="宋体"/>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sz w:val="22"/>
                <w:szCs w:val="22"/>
              </w:rPr>
            </w:pPr>
            <w:r>
              <w:rPr>
                <w:rFonts w:hint="eastAsia" w:ascii="宋体" w:hAnsi="宋体" w:cs="宋体"/>
                <w:kern w:val="0"/>
                <w:sz w:val="22"/>
                <w:szCs w:val="22"/>
              </w:rPr>
              <w:t>部门：</w:t>
            </w:r>
            <w:r>
              <w:rPr>
                <w:rFonts w:hint="eastAsia" w:ascii="宋体" w:hAnsi="宋体" w:cs="宋体"/>
                <w:kern w:val="0"/>
                <w:sz w:val="20"/>
                <w:szCs w:val="20"/>
              </w:rPr>
              <w:t>无极县郭庄镇人民政府</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sz w:val="22"/>
                <w:szCs w:val="22"/>
              </w:rPr>
            </w:pPr>
            <w:r>
              <w:rPr>
                <w:rFonts w:hint="eastAsia" w:ascii="宋体" w:hAnsi="宋体" w:cs="宋体"/>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szCs w:val="21"/>
              </w:rPr>
            </w:pPr>
            <w:r>
              <w:rPr>
                <w:rFonts w:hint="eastAsia" w:ascii="宋体" w:hAnsi="宋体" w:cs="宋体"/>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351.97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473.9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144.81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99.77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29"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157.49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27.24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r>
              <w:rPr>
                <w:rFonts w:hint="eastAsia" w:ascii="宋体" w:hAnsi="宋体" w:cs="宋体"/>
                <w:sz w:val="20"/>
                <w:szCs w:val="20"/>
              </w:rPr>
              <w:t>150</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30.03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19.64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17.07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13.09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r>
              <w:rPr>
                <w:rFonts w:hint="eastAsia" w:ascii="宋体" w:hAnsi="宋体" w:cs="宋体"/>
                <w:sz w:val="20"/>
                <w:szCs w:val="20"/>
              </w:rPr>
              <w:t>150</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11.58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23.06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101.11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116.24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0.24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r>
              <w:rPr>
                <w:rFonts w:hint="eastAsia" w:ascii="宋体" w:hAnsi="宋体" w:cs="宋体"/>
                <w:sz w:val="16"/>
                <w:szCs w:val="16"/>
              </w:rPr>
              <w:t>16.32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sz w:val="16"/>
                <w:szCs w:val="16"/>
              </w:rPr>
            </w:pPr>
            <w:r>
              <w:rPr>
                <w:rFonts w:hint="eastAsia" w:ascii="宋体" w:hAnsi="宋体" w:cs="宋体"/>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99.92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111.82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5.75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468.21</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623.9</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部门：无极县郭庄镇人民政府</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无极县郭庄镇人民政府</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34.02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105.74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2120801</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征地和拆迁补偿支出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34.02</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无极县郭庄镇人民政府</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注：1.本表反映部门本年度国有资本经营预算财政拨款支出情况。</w:t>
            </w:r>
          </w:p>
        </w:tc>
      </w:tr>
    </w:tbl>
    <w:p>
      <w:pPr>
        <w:widowControl/>
        <w:spacing w:after="0" w:line="560" w:lineRule="exact"/>
        <w:ind w:firstLine="440"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 w:val="22"/>
          <w:szCs w:val="22"/>
        </w:rPr>
        <w:t>2.本部门本年度无相关支出情况，按要求空表列示。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无极县郭庄镇人民政府</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1403.46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1403.46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1403.46</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1392.77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1392.77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1392.77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10.69</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543"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hint="eastAsia" w:ascii="宋体" w:hAnsi="宋体" w:cs="宋体"/>
                <w:color w:val="000000"/>
                <w:kern w:val="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hint="eastAsia" w:ascii="宋体" w:hAnsi="宋体" w:cs="宋体"/>
                <w:color w:val="000000"/>
                <w:kern w:val="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hint="eastAsia" w:ascii="宋体" w:hAnsi="宋体" w:cs="宋体"/>
                <w:color w:val="000000"/>
                <w:kern w:val="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hint="eastAsia" w:ascii="宋体" w:hAnsi="宋体" w:cs="宋体"/>
                <w:color w:val="000000"/>
                <w:kern w:val="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1397.48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1397.48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1397.48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10.68</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注：1.本表反映部门本年度纳入部门预算范围的政府采购预算及支出情况。</w:t>
            </w:r>
          </w:p>
        </w:tc>
      </w:tr>
    </w:tbl>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p>
    <w:p>
      <w:pPr>
        <w:rPr>
          <w:rFonts w:hint="eastAsia" w:ascii="宋体" w:hAnsi="宋体" w:cs="ArialUnicodeMS"/>
          <w:color w:val="000000"/>
          <w:kern w:val="0"/>
        </w:r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-1329055</wp:posOffset>
            </wp:positionH>
            <wp:positionV relativeFrom="paragraph">
              <wp:posOffset>438150</wp:posOffset>
            </wp:positionV>
            <wp:extent cx="7550785" cy="10674985"/>
            <wp:effectExtent l="19050" t="0" r="0" b="0"/>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785" cy="10674985"/>
                    </a:xfrm>
                    <a:prstGeom prst="rect">
                      <a:avLst/>
                    </a:prstGeom>
                  </pic:spPr>
                </pic:pic>
              </a:graphicData>
            </a:graphic>
          </wp:anchor>
        </w:drawing>
      </w:r>
    </w:p>
    <w:p>
      <w:pPr>
        <w:rPr>
          <w:rFonts w:hint="eastAsia" w:ascii="宋体" w:hAnsi="宋体" w:cs="ArialUnicodeMS"/>
          <w:color w:val="000000"/>
          <w:kern w:val="0"/>
        </w:rPr>
      </w:pPr>
    </w:p>
    <w:p>
      <w:pPr>
        <w:rPr>
          <w:rFonts w:hint="eastAsia"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本部门2018年度收支总计（含结转和结余）1626.14万元。与2017年度决算相比，收支各增加1116.64万元，上升219.16%，主要原因是项目支出增加。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本部门2018年度本年收入合计1595.52万元，其中：财政拨款收入1595.52万元，占100%；事业收入0万元，占0%；经营收入0万元，占0%；其他收入0万元，占0%。如图1所示：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p>
    <w:p>
      <w:pPr>
        <w:adjustRightInd w:val="0"/>
        <w:snapToGrid w:val="0"/>
        <w:spacing w:after="0" w:line="240" w:lineRule="auto"/>
        <w:ind w:firstLine="1260" w:firstLineChars="600"/>
      </w:pPr>
      <w:r>
        <w:rPr>
          <w:rFonts w:hint="eastAsia"/>
        </w:rPr>
        <w:drawing>
          <wp:inline distT="0" distB="0" distL="114300" distR="114300">
            <wp:extent cx="4133850" cy="2552700"/>
            <wp:effectExtent l="0" t="0" r="0" b="0"/>
            <wp:docPr id="24" name="图片 24" descr="15686894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1568689406(1)"/>
                    <pic:cNvPicPr>
                      <a:picLocks noChangeAspect="1"/>
                    </pic:cNvPicPr>
                  </pic:nvPicPr>
                  <pic:blipFill>
                    <a:blip r:embed="rId8"/>
                    <a:stretch>
                      <a:fillRect/>
                    </a:stretch>
                  </pic:blipFill>
                  <pic:spPr>
                    <a:xfrm>
                      <a:off x="0" y="0"/>
                      <a:ext cx="4133850" cy="2552700"/>
                    </a:xfrm>
                    <a:prstGeom prst="rect">
                      <a:avLst/>
                    </a:prstGeom>
                  </pic:spPr>
                </pic:pic>
              </a:graphicData>
            </a:graphic>
          </wp:inline>
        </w:drawing>
      </w:r>
    </w:p>
    <w:p>
      <w:pPr>
        <w:adjustRightInd w:val="0"/>
        <w:snapToGrid w:val="0"/>
        <w:spacing w:after="0" w:line="240" w:lineRule="auto"/>
        <w:ind w:firstLine="1260" w:firstLineChars="600"/>
      </w:pPr>
    </w:p>
    <w:p>
      <w:pPr>
        <w:adjustRightInd w:val="0"/>
        <w:snapToGrid w:val="0"/>
        <w:spacing w:after="0" w:line="240" w:lineRule="auto"/>
        <w:ind w:firstLine="1260" w:firstLineChars="600"/>
        <w:rPr>
          <w:color w:val="FFFFFF" w:themeColor="background1"/>
        </w:rPr>
      </w:pP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本部门2018年度本年支出合计1126.14万元，其中：基本支出889.05万元，占78.95%；项目支出237.09万元，占21.05%；经营支出0万元，占0%。如图2所示：</w:t>
      </w:r>
    </w:p>
    <w:p>
      <w:pPr>
        <w:adjustRightInd w:val="0"/>
        <w:snapToGrid w:val="0"/>
        <w:spacing w:after="0" w:line="240" w:lineRule="auto"/>
        <w:ind w:firstLine="1260" w:firstLineChars="600"/>
      </w:pPr>
    </w:p>
    <w:p>
      <w:pPr>
        <w:adjustRightInd w:val="0"/>
        <w:snapToGrid w:val="0"/>
        <w:spacing w:after="0" w:line="240" w:lineRule="auto"/>
        <w:ind w:firstLine="1260" w:firstLineChars="600"/>
      </w:pPr>
      <w:r>
        <w:rPr>
          <w:rFonts w:hint="eastAsia"/>
        </w:rPr>
        <w:drawing>
          <wp:inline distT="0" distB="0" distL="114300" distR="114300">
            <wp:extent cx="3933825" cy="2495550"/>
            <wp:effectExtent l="0" t="0" r="9525" b="0"/>
            <wp:docPr id="25" name="图片 25" descr="15686894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1568689490(1)"/>
                    <pic:cNvPicPr>
                      <a:picLocks noChangeAspect="1"/>
                    </pic:cNvPicPr>
                  </pic:nvPicPr>
                  <pic:blipFill>
                    <a:blip r:embed="rId9"/>
                    <a:stretch>
                      <a:fillRect/>
                    </a:stretch>
                  </pic:blipFill>
                  <pic:spPr>
                    <a:xfrm>
                      <a:off x="0" y="0"/>
                      <a:ext cx="3933825" cy="2495550"/>
                    </a:xfrm>
                    <a:prstGeom prst="rect">
                      <a:avLst/>
                    </a:prstGeom>
                  </pic:spPr>
                </pic:pic>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本部门2018年度财政拨款本年收入1595.12万元,比2017年度增加1116.64万元，增长213.08%，主要是本部门2018年度项目增加，财政拨款较上年度增加；本年支出1126.14万元，增加616.64万元，增长121.03%，主要是项目支出。</w:t>
      </w:r>
    </w:p>
    <w:p>
      <w:pPr>
        <w:adjustRightInd w:val="0"/>
        <w:snapToGrid w:val="0"/>
        <w:spacing w:after="0" w:line="580" w:lineRule="exact"/>
        <w:ind w:firstLine="640" w:firstLineChars="200"/>
        <w:rPr>
          <w:rFonts w:ascii="仿宋_GB2312" w:eastAsia="仿宋_GB2312" w:cs="DengXian-Regular"/>
          <w:color w:val="000000" w:themeColor="text1"/>
          <w:sz w:val="32"/>
          <w:szCs w:val="32"/>
        </w:rPr>
      </w:pPr>
      <w:r>
        <w:rPr>
          <w:rFonts w:hint="eastAsia" w:ascii="仿宋_GB2312" w:eastAsia="仿宋_GB2312" w:cs="DengXian-Regular"/>
          <w:color w:val="000000" w:themeColor="text1"/>
          <w:sz w:val="32"/>
          <w:szCs w:val="32"/>
        </w:rPr>
        <w:t>其中：一般公共预算财政拨款本年收入1561.5万元，比上年增加1052万元，增长206.48%；主要是本部门2018年度项目增加，财政拨款较上年度增加；本年支出1092.21万元，比上年增加582.71万元，增长114.37%，主要</w:t>
      </w:r>
      <w:bookmarkStart w:id="0" w:name="_GoBack"/>
      <w:bookmarkEnd w:id="0"/>
      <w:r>
        <w:rPr>
          <w:rFonts w:hint="eastAsia" w:ascii="仿宋_GB2312" w:eastAsia="仿宋_GB2312" w:cs="DengXian-Regular"/>
          <w:color w:val="000000" w:themeColor="text1"/>
          <w:sz w:val="32"/>
          <w:szCs w:val="32"/>
          <w:lang w:eastAsia="zh-CN"/>
        </w:rPr>
        <w:t>是</w:t>
      </w:r>
      <w:r>
        <w:rPr>
          <w:rFonts w:hint="eastAsia" w:ascii="仿宋_GB2312" w:eastAsia="仿宋_GB2312" w:cs="DengXian-Regular"/>
          <w:color w:val="000000" w:themeColor="text1"/>
          <w:sz w:val="32"/>
          <w:szCs w:val="32"/>
        </w:rPr>
        <w:t>本部门2018年度项目增加，增加了支出。政府性基金预算财政拨款本年收入34.02万元，比上年增加34.02万元，增长100%，主要原因是征地和拆迁补偿</w:t>
      </w: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70528" behindDoc="0" locked="0" layoutInCell="1" allowOverlap="1">
            <wp:simplePos x="0" y="0"/>
            <wp:positionH relativeFrom="column">
              <wp:posOffset>873125</wp:posOffset>
            </wp:positionH>
            <wp:positionV relativeFrom="paragraph">
              <wp:posOffset>45720</wp:posOffset>
            </wp:positionV>
            <wp:extent cx="3917950" cy="2461260"/>
            <wp:effectExtent l="0" t="0" r="6350" b="15240"/>
            <wp:wrapSquare wrapText="bothSides"/>
            <wp:docPr id="2" name="图片 2" descr="15774328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577432868(1)"/>
                    <pic:cNvPicPr>
                      <a:picLocks noChangeAspect="1"/>
                    </pic:cNvPicPr>
                  </pic:nvPicPr>
                  <pic:blipFill>
                    <a:blip r:embed="rId10"/>
                    <a:stretch>
                      <a:fillRect/>
                    </a:stretch>
                  </pic:blipFill>
                  <pic:spPr>
                    <a:xfrm>
                      <a:off x="0" y="0"/>
                      <a:ext cx="3917950" cy="2461260"/>
                    </a:xfrm>
                    <a:prstGeom prst="rect">
                      <a:avLst/>
                    </a:prstGeom>
                  </pic:spPr>
                </pic:pic>
              </a:graphicData>
            </a:graphic>
          </wp:anchor>
        </w:drawing>
      </w:r>
    </w:p>
    <w:p>
      <w:pPr>
        <w:adjustRightInd w:val="0"/>
        <w:snapToGrid w:val="0"/>
        <w:spacing w:after="0" w:line="580" w:lineRule="exact"/>
        <w:ind w:firstLine="643" w:firstLineChars="200"/>
        <w:rPr>
          <w:rFonts w:ascii="楷体_GB2312" w:eastAsia="楷体_GB2312" w:cs="DengXian-Bold"/>
          <w:b/>
          <w:bCs/>
          <w:sz w:val="32"/>
          <w:szCs w:val="32"/>
        </w:rPr>
      </w:pPr>
    </w:p>
    <w:p>
      <w:pPr>
        <w:adjustRightInd w:val="0"/>
        <w:snapToGrid w:val="0"/>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1595.52万元，完成年初预算的411.53%,比年初预算增加1207.82万元，决算数大于预算数主要原因是人员经费和日常公用经费及项目支出预估过少；本年支出1126.14万元，完成年初预算的290.47%,比年初预算增加738.44万元，决算数大于预算数主要原因是主要是人员经费和日常公用经费及项目支出预估过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其中，一般公共预算财政拨款本年收入1561.5万元，完成年初预算402.76%，比年初预算增加1173.8万元，主要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人员经费和日常公用经费及项目支出预估过少；支出1092.12万元，完成年初预算281.69%，比年初预算增加704.42万元，主要</w:t>
      </w:r>
      <w:r>
        <w:rPr>
          <w:rFonts w:hint="eastAsia" w:ascii="仿宋_GB2312" w:eastAsia="仿宋_GB2312" w:cs="DengXian-Regular"/>
          <w:sz w:val="32"/>
          <w:szCs w:val="32"/>
          <w:lang w:eastAsia="zh-CN"/>
        </w:rPr>
        <w:t>是</w:t>
      </w:r>
      <w:r>
        <w:rPr>
          <w:rFonts w:hint="eastAsia" w:ascii="仿宋_GB2312" w:eastAsia="仿宋_GB2312" w:cs="DengXian-Regular"/>
          <w:sz w:val="32"/>
          <w:szCs w:val="32"/>
        </w:rPr>
        <w:t>人员经费和日常公用经费及项目支出预估过少。政府性基金预算财政拨款本年收入34.02万元，完成年初预算100%，比年初预算增加34.02万元，主要是本部门2018年度有相关收入情况，上年度没有；支出34.02万元，完成年初预算100%，比年初预算增加34.02万元，主要是本部门2018年度有相关收入情况，上年度没有。</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153535" cy="3198495"/>
            <wp:effectExtent l="0" t="0" r="18415" b="1905"/>
            <wp:docPr id="30" name="图片 30" descr="15686912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1568691247(1)"/>
                    <pic:cNvPicPr>
                      <a:picLocks noChangeAspect="1"/>
                    </pic:cNvPicPr>
                  </pic:nvPicPr>
                  <pic:blipFill>
                    <a:blip r:embed="rId11"/>
                    <a:stretch>
                      <a:fillRect/>
                    </a:stretch>
                  </pic:blipFill>
                  <pic:spPr>
                    <a:xfrm>
                      <a:off x="0" y="0"/>
                      <a:ext cx="4153535" cy="3198495"/>
                    </a:xfrm>
                    <a:prstGeom prst="rect">
                      <a:avLst/>
                    </a:prstGeom>
                  </pic:spPr>
                </pic:pic>
              </a:graphicData>
            </a:graphic>
          </wp:inline>
        </w:drawing>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640" w:firstLineChars="200"/>
        <w:rPr>
          <w:rFonts w:ascii="仿宋_GB2312" w:eastAsia="仿宋_GB2312" w:cs="DengXian-Regular"/>
          <w:sz w:val="32"/>
          <w:szCs w:val="32"/>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1126.14万元，主要用于以下方面：一般公共服务（类）支出1003.08万元，占89.07%；社会保障和就业支出35.97万元，占3.19%；节能环保（类）支出44.71万元，占3.97%；城乡社区（类）支出34.02万元，占3.02%；农林水支出8.36万元，占0.74%。</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r>
        <w:rPr>
          <w:rFonts w:hint="eastAsia" w:ascii="仿宋_GB2312" w:eastAsia="仿宋_GB2312" w:cs="DengXian-Regular"/>
          <w:sz w:val="32"/>
          <w:szCs w:val="32"/>
        </w:rPr>
        <w:drawing>
          <wp:inline distT="0" distB="0" distL="114300" distR="114300">
            <wp:extent cx="4448175" cy="3276600"/>
            <wp:effectExtent l="0" t="0" r="9525" b="0"/>
            <wp:docPr id="32" name="图片 32" descr="15686919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1568691957(1)"/>
                    <pic:cNvPicPr>
                      <a:picLocks noChangeAspect="1"/>
                    </pic:cNvPicPr>
                  </pic:nvPicPr>
                  <pic:blipFill>
                    <a:blip r:embed="rId12"/>
                    <a:stretch>
                      <a:fillRect/>
                    </a:stretch>
                  </pic:blipFill>
                  <pic:spPr>
                    <a:xfrm>
                      <a:off x="0" y="0"/>
                      <a:ext cx="4448175" cy="3276600"/>
                    </a:xfrm>
                    <a:prstGeom prst="rect">
                      <a:avLst/>
                    </a:prstGeom>
                  </pic:spPr>
                </pic:pic>
              </a:graphicData>
            </a:graphic>
          </wp:inline>
        </w:drawing>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889.05万元，其中：人员经费415.15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473.90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本部门2018年度，公务用车运行费1.75万元，“三公”经费支出共计1.75万元，较年初预算减少1.25万元，减少41.47%，主要是严格落实使用公车制度，精心运行、维护车辆。具体情况如下：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本部门2018年度因公出国（境）团组0个、共0人。因公出国（境）费支出较年初预算无增减变化，本部门2018年度未发生“因公出国（境）费支出”经费支出。</w:t>
      </w:r>
    </w:p>
    <w:p>
      <w:pPr>
        <w:ind w:firstLine="64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（二）公务用车购置及运行维护费支出1.75万元。</w:t>
      </w:r>
      <w:r>
        <w:rPr>
          <w:rFonts w:hint="eastAsia" w:ascii="仿宋_GB2312" w:eastAsia="仿宋_GB2312" w:cs="DengXian-Regular"/>
          <w:sz w:val="32"/>
          <w:szCs w:val="32"/>
        </w:rPr>
        <w:t>本部门2018年度公务用车购置及运行维护费较年初预算减少1.25万元，减少41.47%,主要是严格落实使用公车制度，精心运行、维护车辆。</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本部门2018年度公务用车购置量0辆，发生“公务用车购置”经费支出0万元。公务用车购置费支出与年初预算持平，无增减变化，本部门2018年度未发生“公务用车购置”经费支出；与年初决算持平，无增减变化。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1.75万元，支出较年初预算减少1.25万元，减少41.47%,主要是严格落实使用公车制度，精心运行、维护车辆，较2017年增加0.98万元，增长127.27%,主要是车辆老化，维修保养费增加了“三公”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本部门2018年度公务接待共0批次、0人次。公务接待费支出较年初预算持平，无增减变化,本部门2018年度未发生公务接待经费支出，“较2017年度决算无增减变化。”。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优秀。</w:t>
      </w:r>
    </w:p>
    <w:p>
      <w:pPr>
        <w:numPr>
          <w:ilvl w:val="0"/>
          <w:numId w:val="2"/>
        </w:num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郭庄镇正港线整治资金、郭庄镇环保工作人员配备移动监管资金、郭庄镇战备路维修项目、郭庄镇环境卫生整治、郭庄镇对各村补助款项、郭庄镇两参人员资金、郭庄镇对各村占地补偿、郭庄镇收缴散煤资金、郭庄镇产业园区主干道占地补、郭庄镇京港澳高速连线占地补、郭庄镇产业园区占地补、郭庄镇农业扶持经费、郭庄镇环保经费、杨小烟死亡抚恤金等14个项目，涉及资金895.48万元。从评价情况看，评价结果为优秀的项目有14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战备路维修项目绩效自评：根据年初设定的绩效目标，战备路维修项目绩效自评结果为优秀。项目全年预算数为150万元，执行数为150万元，完成预算的100%。主要产出和效果是存进经济发展，方便人民出行，成为郭庄绿色长廊，项目绩效目标圆满完成。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本部门2018年度机关运行经费支出473.90万元，比年初预算数增加431.7万元，增长102.31%。主要原因是本部门2018年度机关运行经费支出预估过少，工作业务量增加，支出增加。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政府采购支出总额1397.48万元，从采购类型来看，政府采购货物支出0万元、政府采购工程支出1386.8万元、政府采购服务支出10.68万元。授予中小企业合同金0万元，占政府采购支出总额的0%，其中授予小微企业合同金额0万元，占政府采购支出总额的0%。本部门2018年度无相关政府采购支出情况。</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持平，无增减变化。其中，副部（省）级及以上领导用车0辆，主要领导干部用车0辆，机要通信用车0辆，应急保障用车0辆，执法执勤用车0辆，特种专业技术用车0辆，离退休干部用车0辆，其他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万元以上通用设备0台（套），比上年持平无增减变化，单位价值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万元以上专用设备0台（套）比上年增加持平无增减变化。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1、本部门2018年度国有资本经营预算财政拨款收入支出无收支及结转结余情况、故国有资本经营预算财政拨款收入支出决算表以空表列示。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黑体">
    <w:altName w:val="方正黑体_GBK"/>
    <w:panose1 w:val="00000000000000000000"/>
    <w:charset w:val="00"/>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29F771"/>
    <w:multiLevelType w:val="singleLevel"/>
    <w:tmpl w:val="3629F771"/>
    <w:lvl w:ilvl="0" w:tentative="0">
      <w:start w:val="2"/>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55F92"/>
    <w:rsid w:val="00176658"/>
    <w:rsid w:val="0018239E"/>
    <w:rsid w:val="001A2E41"/>
    <w:rsid w:val="001B3410"/>
    <w:rsid w:val="001C030D"/>
    <w:rsid w:val="001C4A84"/>
    <w:rsid w:val="001E5902"/>
    <w:rsid w:val="00221B5E"/>
    <w:rsid w:val="00224E91"/>
    <w:rsid w:val="00233705"/>
    <w:rsid w:val="00275CA2"/>
    <w:rsid w:val="002A65A5"/>
    <w:rsid w:val="002C04C4"/>
    <w:rsid w:val="002D08B0"/>
    <w:rsid w:val="002D1AE3"/>
    <w:rsid w:val="002F2ECE"/>
    <w:rsid w:val="003266D4"/>
    <w:rsid w:val="00341C8F"/>
    <w:rsid w:val="0035463A"/>
    <w:rsid w:val="00391D9D"/>
    <w:rsid w:val="00391E1D"/>
    <w:rsid w:val="003B6C51"/>
    <w:rsid w:val="003C1413"/>
    <w:rsid w:val="003C549F"/>
    <w:rsid w:val="003D5A16"/>
    <w:rsid w:val="003E7DB3"/>
    <w:rsid w:val="003F7EC9"/>
    <w:rsid w:val="00431175"/>
    <w:rsid w:val="004B6E37"/>
    <w:rsid w:val="004C32BA"/>
    <w:rsid w:val="004E6693"/>
    <w:rsid w:val="00502871"/>
    <w:rsid w:val="00546B52"/>
    <w:rsid w:val="0056700B"/>
    <w:rsid w:val="00575922"/>
    <w:rsid w:val="005A6C90"/>
    <w:rsid w:val="005E3FB0"/>
    <w:rsid w:val="005F4B66"/>
    <w:rsid w:val="005F5208"/>
    <w:rsid w:val="00641318"/>
    <w:rsid w:val="006424EE"/>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4CD7"/>
    <w:rsid w:val="009831B2"/>
    <w:rsid w:val="009A1ABE"/>
    <w:rsid w:val="009A7E86"/>
    <w:rsid w:val="009B0828"/>
    <w:rsid w:val="009E21A4"/>
    <w:rsid w:val="009F22C6"/>
    <w:rsid w:val="00A07E50"/>
    <w:rsid w:val="00A15397"/>
    <w:rsid w:val="00A35CE0"/>
    <w:rsid w:val="00A4462E"/>
    <w:rsid w:val="00A44AA4"/>
    <w:rsid w:val="00A44C89"/>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B469B"/>
    <w:rsid w:val="00DD72D7"/>
    <w:rsid w:val="00DE4EFA"/>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0FF6D57"/>
    <w:rsid w:val="010A31A2"/>
    <w:rsid w:val="023F5B94"/>
    <w:rsid w:val="02AE44BE"/>
    <w:rsid w:val="02CE0EFD"/>
    <w:rsid w:val="02F603A4"/>
    <w:rsid w:val="03837D0C"/>
    <w:rsid w:val="04073F84"/>
    <w:rsid w:val="05724B25"/>
    <w:rsid w:val="05CE7184"/>
    <w:rsid w:val="064E1720"/>
    <w:rsid w:val="078A187C"/>
    <w:rsid w:val="07E60591"/>
    <w:rsid w:val="09DE78D7"/>
    <w:rsid w:val="0A5163B9"/>
    <w:rsid w:val="0B60750A"/>
    <w:rsid w:val="0C6A2D3F"/>
    <w:rsid w:val="0DEA0537"/>
    <w:rsid w:val="0E6E4870"/>
    <w:rsid w:val="0E923BBA"/>
    <w:rsid w:val="0F760045"/>
    <w:rsid w:val="0FB64893"/>
    <w:rsid w:val="10686488"/>
    <w:rsid w:val="106C7F45"/>
    <w:rsid w:val="10DF728A"/>
    <w:rsid w:val="112C0488"/>
    <w:rsid w:val="1264200E"/>
    <w:rsid w:val="13030BC5"/>
    <w:rsid w:val="134B0E09"/>
    <w:rsid w:val="13536E31"/>
    <w:rsid w:val="13B01001"/>
    <w:rsid w:val="13D76BC5"/>
    <w:rsid w:val="13EC6E48"/>
    <w:rsid w:val="13F464CE"/>
    <w:rsid w:val="13FAAF83"/>
    <w:rsid w:val="141C5B77"/>
    <w:rsid w:val="143B60A7"/>
    <w:rsid w:val="148D24B1"/>
    <w:rsid w:val="15227247"/>
    <w:rsid w:val="15296E9F"/>
    <w:rsid w:val="15B530F0"/>
    <w:rsid w:val="16461F11"/>
    <w:rsid w:val="16DA1C06"/>
    <w:rsid w:val="16E117DD"/>
    <w:rsid w:val="18A6606D"/>
    <w:rsid w:val="18B71E24"/>
    <w:rsid w:val="18C524B5"/>
    <w:rsid w:val="18D8339D"/>
    <w:rsid w:val="18F71EB1"/>
    <w:rsid w:val="19092605"/>
    <w:rsid w:val="197D440A"/>
    <w:rsid w:val="19F0365F"/>
    <w:rsid w:val="19F825BA"/>
    <w:rsid w:val="1A014690"/>
    <w:rsid w:val="1A21388F"/>
    <w:rsid w:val="1A2E7FAA"/>
    <w:rsid w:val="1A570D2F"/>
    <w:rsid w:val="1A6A55A2"/>
    <w:rsid w:val="1CD067D8"/>
    <w:rsid w:val="1D64509D"/>
    <w:rsid w:val="20D9436F"/>
    <w:rsid w:val="21A6023E"/>
    <w:rsid w:val="21CE64B8"/>
    <w:rsid w:val="23333B89"/>
    <w:rsid w:val="24FF6CA0"/>
    <w:rsid w:val="27150970"/>
    <w:rsid w:val="27163BFB"/>
    <w:rsid w:val="27B031C2"/>
    <w:rsid w:val="28380962"/>
    <w:rsid w:val="2852244E"/>
    <w:rsid w:val="285320C2"/>
    <w:rsid w:val="28F9395C"/>
    <w:rsid w:val="28FB0B8D"/>
    <w:rsid w:val="29180557"/>
    <w:rsid w:val="29356AA4"/>
    <w:rsid w:val="2A9870FC"/>
    <w:rsid w:val="2B161D15"/>
    <w:rsid w:val="2B986A28"/>
    <w:rsid w:val="2C114C99"/>
    <w:rsid w:val="2D0A7E00"/>
    <w:rsid w:val="2D1A3BAB"/>
    <w:rsid w:val="2D2B7942"/>
    <w:rsid w:val="2D2F1369"/>
    <w:rsid w:val="2D46481D"/>
    <w:rsid w:val="2E733B28"/>
    <w:rsid w:val="2E7C1F33"/>
    <w:rsid w:val="2FB963FD"/>
    <w:rsid w:val="31852B5A"/>
    <w:rsid w:val="31C61C5F"/>
    <w:rsid w:val="32241FE2"/>
    <w:rsid w:val="328175B2"/>
    <w:rsid w:val="32D01238"/>
    <w:rsid w:val="335B2C84"/>
    <w:rsid w:val="33701024"/>
    <w:rsid w:val="33D514D5"/>
    <w:rsid w:val="345D7136"/>
    <w:rsid w:val="37E2269A"/>
    <w:rsid w:val="389A64DF"/>
    <w:rsid w:val="39AE2F65"/>
    <w:rsid w:val="3A6D3FB8"/>
    <w:rsid w:val="3CA647FA"/>
    <w:rsid w:val="3D1E7E00"/>
    <w:rsid w:val="3D562BD3"/>
    <w:rsid w:val="3DA94AB6"/>
    <w:rsid w:val="3DFC59A8"/>
    <w:rsid w:val="3DFE1FEA"/>
    <w:rsid w:val="3E410C49"/>
    <w:rsid w:val="3E682AEC"/>
    <w:rsid w:val="3ECF245E"/>
    <w:rsid w:val="3EEF26F8"/>
    <w:rsid w:val="3FB96314"/>
    <w:rsid w:val="40091F1E"/>
    <w:rsid w:val="404023CC"/>
    <w:rsid w:val="418A0386"/>
    <w:rsid w:val="41982CC9"/>
    <w:rsid w:val="43233342"/>
    <w:rsid w:val="45005CCA"/>
    <w:rsid w:val="451E7643"/>
    <w:rsid w:val="453F2187"/>
    <w:rsid w:val="45812EA7"/>
    <w:rsid w:val="458C24DF"/>
    <w:rsid w:val="45D92D1F"/>
    <w:rsid w:val="471B1825"/>
    <w:rsid w:val="47956648"/>
    <w:rsid w:val="480D321F"/>
    <w:rsid w:val="485B5164"/>
    <w:rsid w:val="49000DAE"/>
    <w:rsid w:val="49832415"/>
    <w:rsid w:val="49910A95"/>
    <w:rsid w:val="49C27EAC"/>
    <w:rsid w:val="4B473901"/>
    <w:rsid w:val="4BF7591D"/>
    <w:rsid w:val="4DF27F82"/>
    <w:rsid w:val="4F72510F"/>
    <w:rsid w:val="50F714E7"/>
    <w:rsid w:val="518E4327"/>
    <w:rsid w:val="51BD4789"/>
    <w:rsid w:val="5271021B"/>
    <w:rsid w:val="53081528"/>
    <w:rsid w:val="5356294B"/>
    <w:rsid w:val="53A44FAF"/>
    <w:rsid w:val="545B34B3"/>
    <w:rsid w:val="54D839BF"/>
    <w:rsid w:val="54E63BD0"/>
    <w:rsid w:val="55DD4BFF"/>
    <w:rsid w:val="5664554B"/>
    <w:rsid w:val="56CB060D"/>
    <w:rsid w:val="58B538D2"/>
    <w:rsid w:val="594329EC"/>
    <w:rsid w:val="5A0D721F"/>
    <w:rsid w:val="5AB61C53"/>
    <w:rsid w:val="5BCB607D"/>
    <w:rsid w:val="5BEE1540"/>
    <w:rsid w:val="5C951B80"/>
    <w:rsid w:val="5CE16D12"/>
    <w:rsid w:val="5D752857"/>
    <w:rsid w:val="5DE61A5D"/>
    <w:rsid w:val="5DFA3824"/>
    <w:rsid w:val="5E0E0498"/>
    <w:rsid w:val="5E194F23"/>
    <w:rsid w:val="5E933369"/>
    <w:rsid w:val="5F41421A"/>
    <w:rsid w:val="5F883B46"/>
    <w:rsid w:val="5FBF4082"/>
    <w:rsid w:val="608010BF"/>
    <w:rsid w:val="60DB5167"/>
    <w:rsid w:val="60F01D22"/>
    <w:rsid w:val="60F031CE"/>
    <w:rsid w:val="610B2B89"/>
    <w:rsid w:val="611C492C"/>
    <w:rsid w:val="61A759BD"/>
    <w:rsid w:val="61D00409"/>
    <w:rsid w:val="62140D23"/>
    <w:rsid w:val="62AB34A4"/>
    <w:rsid w:val="631636D9"/>
    <w:rsid w:val="637C4AC7"/>
    <w:rsid w:val="63C04243"/>
    <w:rsid w:val="649C01C7"/>
    <w:rsid w:val="64B10B4E"/>
    <w:rsid w:val="650F0ABC"/>
    <w:rsid w:val="65E81AD0"/>
    <w:rsid w:val="66407111"/>
    <w:rsid w:val="66426E72"/>
    <w:rsid w:val="67C90E70"/>
    <w:rsid w:val="68887810"/>
    <w:rsid w:val="68DB2866"/>
    <w:rsid w:val="690A1D1E"/>
    <w:rsid w:val="699A3F60"/>
    <w:rsid w:val="69E7620B"/>
    <w:rsid w:val="6A550260"/>
    <w:rsid w:val="6AB1306E"/>
    <w:rsid w:val="6AB63847"/>
    <w:rsid w:val="6B31317A"/>
    <w:rsid w:val="6B930AEF"/>
    <w:rsid w:val="6C310CE0"/>
    <w:rsid w:val="6DAE0A4F"/>
    <w:rsid w:val="6DF92CE6"/>
    <w:rsid w:val="6E943E29"/>
    <w:rsid w:val="6EAF31EF"/>
    <w:rsid w:val="6F440620"/>
    <w:rsid w:val="70880F5B"/>
    <w:rsid w:val="71434551"/>
    <w:rsid w:val="71D90174"/>
    <w:rsid w:val="721C2409"/>
    <w:rsid w:val="72383F02"/>
    <w:rsid w:val="7276790A"/>
    <w:rsid w:val="72902E62"/>
    <w:rsid w:val="72916A95"/>
    <w:rsid w:val="72E65131"/>
    <w:rsid w:val="72FB364A"/>
    <w:rsid w:val="73C61104"/>
    <w:rsid w:val="756922A3"/>
    <w:rsid w:val="776452EA"/>
    <w:rsid w:val="77B2433E"/>
    <w:rsid w:val="78AC28B9"/>
    <w:rsid w:val="798F6BC3"/>
    <w:rsid w:val="7D0F43DF"/>
    <w:rsid w:val="7DC663B9"/>
    <w:rsid w:val="7DDD2E86"/>
    <w:rsid w:val="7E201F5B"/>
    <w:rsid w:val="7E3067EC"/>
    <w:rsid w:val="7E424FB0"/>
    <w:rsid w:val="7E700F11"/>
    <w:rsid w:val="7FD15F63"/>
    <w:rsid w:val="7FD21032"/>
    <w:rsid w:val="7FEF20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1905</Words>
  <Characters>10862</Characters>
  <Lines>90</Lines>
  <Paragraphs>25</Paragraphs>
  <TotalTime>15</TotalTime>
  <ScaleCrop>false</ScaleCrop>
  <LinksUpToDate>false</LinksUpToDate>
  <CharactersWithSpaces>12742</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2019-09-11T11:12:00Z</cp:lastPrinted>
  <dcterms:modified xsi:type="dcterms:W3CDTF">2024-01-02T16:20:50Z</dcterms:modified>
  <dc:subject>石家庄市xxx部门</dc:subject>
  <dc:title>2017年度部门决算</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488F8E9E68D5843462C793658FC6D812</vt:lpwstr>
  </property>
</Properties>
</file>