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宋体" w:hAnsi="宋体" w:cs="宋体"/>
          <w:b/>
          <w:sz w:val="72"/>
          <w:szCs w:val="72"/>
        </w:rPr>
      </w:pPr>
      <w:bookmarkStart w:id="0" w:name="_GoBack"/>
      <w:bookmarkEnd w:id="0"/>
    </w:p>
    <w:p>
      <w:pPr>
        <w:widowControl/>
        <w:jc w:val="center"/>
        <w:rPr>
          <w:rFonts w:ascii="宋体" w:hAnsi="宋体" w:cs="宋体"/>
          <w:b/>
          <w:sz w:val="72"/>
          <w:szCs w:val="72"/>
        </w:rPr>
      </w:pPr>
    </w:p>
    <w:p>
      <w:pPr>
        <w:widowControl/>
        <w:jc w:val="center"/>
        <w:rPr>
          <w:rFonts w:ascii="宋体" w:hAnsi="宋体" w:cs="宋体"/>
          <w:sz w:val="72"/>
          <w:szCs w:val="72"/>
        </w:rPr>
      </w:pPr>
    </w:p>
    <w:p>
      <w:pPr>
        <w:widowControl/>
        <w:jc w:val="center"/>
        <w:rPr>
          <w:rFonts w:ascii="黑体" w:hAnsi="宋体" w:eastAsia="黑体"/>
          <w:color w:val="002060"/>
          <w:sz w:val="84"/>
          <w:szCs w:val="84"/>
        </w:rPr>
      </w:pPr>
      <w:r>
        <w:rPr>
          <w:rFonts w:hint="eastAsia" w:ascii="黑体" w:hAnsi="宋体" w:eastAsia="黑体"/>
          <w:color w:val="002060"/>
          <w:sz w:val="84"/>
          <w:szCs w:val="84"/>
        </w:rPr>
        <w:t>2017年度部门决算公开</w:t>
      </w:r>
    </w:p>
    <w:p>
      <w:pPr>
        <w:widowControl/>
        <w:jc w:val="center"/>
        <w:rPr>
          <w:rFonts w:ascii="黑体" w:hAnsi="黑体" w:eastAsia="黑体"/>
          <w:b/>
          <w:sz w:val="72"/>
          <w:szCs w:val="72"/>
        </w:rPr>
      </w:pPr>
    </w:p>
    <w:p>
      <w:pPr>
        <w:widowControl/>
        <w:jc w:val="center"/>
        <w:rPr>
          <w:rFonts w:ascii="宋体" w:hAnsi="宋体" w:cs="宋体"/>
          <w:b/>
          <w:sz w:val="72"/>
          <w:szCs w:val="72"/>
        </w:rPr>
      </w:pPr>
    </w:p>
    <w:p>
      <w:pPr>
        <w:widowControl/>
        <w:jc w:val="center"/>
        <w:rPr>
          <w:rFonts w:ascii="宋体" w:hAnsi="宋体" w:cs="宋体"/>
          <w:b/>
          <w:sz w:val="72"/>
          <w:szCs w:val="72"/>
        </w:rPr>
      </w:pPr>
    </w:p>
    <w:p>
      <w:pPr>
        <w:widowControl/>
        <w:jc w:val="center"/>
        <w:rPr>
          <w:rFonts w:ascii="宋体" w:hAnsi="宋体" w:cs="宋体"/>
          <w:b/>
          <w:sz w:val="72"/>
          <w:szCs w:val="72"/>
        </w:rPr>
      </w:pPr>
    </w:p>
    <w:p>
      <w:pPr>
        <w:widowControl/>
        <w:jc w:val="center"/>
        <w:rPr>
          <w:rFonts w:ascii="宋体" w:hAnsi="宋体" w:cs="宋体"/>
          <w:b/>
          <w:sz w:val="72"/>
          <w:szCs w:val="72"/>
        </w:rPr>
      </w:pPr>
    </w:p>
    <w:p>
      <w:pPr>
        <w:widowControl/>
        <w:jc w:val="center"/>
        <w:rPr>
          <w:rFonts w:ascii="宋体" w:hAnsi="宋体" w:cs="宋体"/>
          <w:b/>
          <w:sz w:val="72"/>
          <w:szCs w:val="72"/>
        </w:rPr>
      </w:pPr>
    </w:p>
    <w:p>
      <w:pPr>
        <w:pStyle w:val="22"/>
        <w:ind w:left="360" w:firstLine="0" w:firstLineChars="0"/>
        <w:jc w:val="center"/>
        <w:rPr>
          <w:rFonts w:ascii="宋体" w:hAnsi="宋体" w:cs="宋体"/>
          <w:b/>
          <w:sz w:val="44"/>
          <w:szCs w:val="44"/>
        </w:rPr>
      </w:pPr>
      <w:r>
        <w:rPr>
          <w:rFonts w:hint="eastAsia" w:ascii="宋体" w:hAnsi="宋体" w:cs="宋体"/>
          <w:b/>
          <w:sz w:val="44"/>
          <w:szCs w:val="44"/>
        </w:rPr>
        <w:t>无极县郝庄乡人民政府</w:t>
      </w:r>
    </w:p>
    <w:p>
      <w:pPr>
        <w:pStyle w:val="22"/>
        <w:ind w:left="360" w:firstLine="0" w:firstLineChars="0"/>
        <w:jc w:val="center"/>
        <w:rPr>
          <w:rFonts w:ascii="宋体" w:hAnsi="宋体" w:cs="宋体"/>
          <w:b/>
          <w:sz w:val="44"/>
          <w:szCs w:val="44"/>
        </w:rPr>
      </w:pPr>
      <w:r>
        <w:rPr>
          <w:rFonts w:hint="eastAsia" w:ascii="宋体" w:hAnsi="宋体" w:cs="宋体"/>
          <w:b/>
          <w:sz w:val="44"/>
          <w:szCs w:val="44"/>
        </w:rPr>
        <w:t>2018年9月18日</w:t>
      </w:r>
    </w:p>
    <w:p>
      <w:pPr>
        <w:widowControl/>
        <w:spacing w:line="580" w:lineRule="exact"/>
        <w:jc w:val="center"/>
        <w:rPr>
          <w:rFonts w:ascii="宋体" w:hAnsi="宋体" w:cs="宋体"/>
          <w:sz w:val="44"/>
          <w:szCs w:val="44"/>
        </w:rPr>
      </w:pPr>
    </w:p>
    <w:p>
      <w:pPr>
        <w:widowControl/>
        <w:spacing w:line="580" w:lineRule="exact"/>
        <w:jc w:val="center"/>
        <w:rPr>
          <w:rFonts w:ascii="黑体" w:eastAsia="黑体"/>
          <w:sz w:val="44"/>
          <w:szCs w:val="44"/>
        </w:rPr>
      </w:pPr>
      <w:r>
        <w:rPr>
          <w:rFonts w:hint="eastAsia" w:ascii="黑体" w:eastAsia="黑体"/>
          <w:sz w:val="44"/>
          <w:szCs w:val="44"/>
        </w:rPr>
        <w:t>部门决算公开目录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rPr>
      </w:pPr>
      <w:r>
        <w:rPr>
          <w:rFonts w:eastAsia="黑体"/>
          <w:sz w:val="32"/>
          <w:szCs w:val="32"/>
        </w:rPr>
        <w:t xml:space="preserve">第一部分  </w:t>
      </w:r>
      <w:r>
        <w:rPr>
          <w:rFonts w:hint="eastAsia" w:eastAsia="黑体"/>
          <w:sz w:val="32"/>
          <w:szCs w:val="32"/>
        </w:rPr>
        <w:t>无极县郝庄乡人民政府</w:t>
      </w:r>
      <w:r>
        <w:rPr>
          <w:rFonts w:eastAsia="黑体"/>
          <w:sz w:val="32"/>
          <w:szCs w:val="32"/>
        </w:rPr>
        <w:t>概况</w:t>
      </w:r>
      <w:r>
        <w:rPr>
          <w:rFonts w:hint="eastAsia" w:eastAsia="仿宋_GB2312"/>
          <w:sz w:val="24"/>
          <w:szCs w:val="32"/>
        </w:rPr>
        <w:t xml:space="preserve">  </w:t>
      </w:r>
    </w:p>
    <w:p>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pPr>
        <w:widowControl/>
        <w:spacing w:line="580" w:lineRule="exact"/>
        <w:ind w:firstLine="1273" w:firstLineChars="398"/>
        <w:rPr>
          <w:rFonts w:eastAsia="仿宋_GB2312"/>
          <w:sz w:val="32"/>
          <w:szCs w:val="32"/>
        </w:rPr>
      </w:pPr>
      <w:r>
        <w:rPr>
          <w:rFonts w:eastAsia="仿宋_GB2312"/>
          <w:sz w:val="32"/>
          <w:szCs w:val="32"/>
        </w:rPr>
        <w:t>二、部门决算单位构成</w:t>
      </w:r>
    </w:p>
    <w:p>
      <w:pPr>
        <w:widowControl/>
        <w:spacing w:line="580" w:lineRule="exact"/>
        <w:ind w:firstLine="640" w:firstLineChars="200"/>
        <w:rPr>
          <w:rFonts w:eastAsia="仿宋_GB2312"/>
          <w:sz w:val="20"/>
          <w:szCs w:val="32"/>
        </w:rPr>
      </w:pPr>
      <w:r>
        <w:rPr>
          <w:rFonts w:eastAsia="黑体"/>
          <w:sz w:val="32"/>
          <w:szCs w:val="32"/>
        </w:rPr>
        <w:t xml:space="preserve">第二部分  </w:t>
      </w:r>
      <w:r>
        <w:rPr>
          <w:rFonts w:hint="eastAsia" w:eastAsia="黑体"/>
          <w:sz w:val="32"/>
          <w:szCs w:val="32"/>
        </w:rPr>
        <w:t>无极县郝庄乡人民政府</w:t>
      </w:r>
      <w:r>
        <w:rPr>
          <w:rFonts w:eastAsia="黑体"/>
          <w:sz w:val="32"/>
          <w:szCs w:val="32"/>
        </w:rPr>
        <w:t>2017年度部门决算报表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六、一般公共预算财政拨款基本支出决算经济分类表</w:t>
      </w:r>
    </w:p>
    <w:p>
      <w:pPr>
        <w:widowControl/>
        <w:spacing w:line="580" w:lineRule="exact"/>
        <w:ind w:left="640" w:firstLine="640" w:firstLineChars="200"/>
        <w:rPr>
          <w:rFonts w:eastAsia="仿宋_GB2312"/>
          <w:sz w:val="32"/>
          <w:szCs w:val="32"/>
        </w:rPr>
      </w:pPr>
      <w:r>
        <w:rPr>
          <w:rFonts w:eastAsia="仿宋_GB2312"/>
          <w:sz w:val="32"/>
          <w:szCs w:val="32"/>
        </w:rPr>
        <w:t>七、政府性基金预算财政拨款收入支出决算表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八、国有资本经营预算财政拨款收入支出决算表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九、“三公”经费等相关信息统计表</w:t>
      </w:r>
    </w:p>
    <w:p>
      <w:pPr>
        <w:widowControl/>
        <w:spacing w:line="580" w:lineRule="exact"/>
        <w:ind w:left="640" w:firstLine="640" w:firstLineChars="200"/>
        <w:rPr>
          <w:rFonts w:eastAsia="仿宋_GB2312"/>
          <w:sz w:val="32"/>
          <w:szCs w:val="32"/>
        </w:rPr>
      </w:pPr>
      <w:r>
        <w:rPr>
          <w:rFonts w:eastAsia="仿宋_GB2312"/>
          <w:sz w:val="32"/>
          <w:szCs w:val="32"/>
        </w:rPr>
        <w:t>十、政府采购情况表</w:t>
      </w:r>
    </w:p>
    <w:p>
      <w:pPr>
        <w:widowControl/>
        <w:spacing w:line="580" w:lineRule="exact"/>
        <w:ind w:firstLine="640" w:firstLineChars="200"/>
        <w:rPr>
          <w:rFonts w:eastAsia="黑体"/>
          <w:sz w:val="32"/>
          <w:szCs w:val="32"/>
        </w:rPr>
      </w:pPr>
      <w:r>
        <w:rPr>
          <w:rFonts w:eastAsia="黑体"/>
          <w:sz w:val="32"/>
          <w:szCs w:val="32"/>
        </w:rPr>
        <w:t xml:space="preserve">第三部分 </w:t>
      </w:r>
      <w:r>
        <w:rPr>
          <w:rFonts w:hint="eastAsia" w:eastAsia="黑体"/>
          <w:sz w:val="32"/>
          <w:szCs w:val="32"/>
        </w:rPr>
        <w:t>无极县郝庄乡人民政府</w:t>
      </w:r>
      <w:r>
        <w:rPr>
          <w:rFonts w:eastAsia="黑体"/>
          <w:sz w:val="32"/>
          <w:szCs w:val="32"/>
        </w:rPr>
        <w:t>2017年部门决算情况说</w:t>
      </w:r>
      <w:r>
        <w:rPr>
          <w:rFonts w:hint="eastAsia" w:eastAsia="黑体"/>
          <w:sz w:val="32"/>
          <w:szCs w:val="32"/>
        </w:rPr>
        <w:t xml:space="preserve"> </w:t>
      </w:r>
      <w:r>
        <w:rPr>
          <w:rFonts w:eastAsia="黑体"/>
          <w:sz w:val="32"/>
          <w:szCs w:val="32"/>
        </w:rPr>
        <w:t>明</w: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五、“三公”经费支出决算情况说明</w:t>
      </w:r>
    </w:p>
    <w:p>
      <w:pPr>
        <w:widowControl/>
        <w:spacing w:line="580" w:lineRule="exact"/>
        <w:ind w:left="640" w:firstLine="640" w:firstLineChars="200"/>
        <w:rPr>
          <w:rFonts w:eastAsia="仿宋_GB2312"/>
          <w:sz w:val="32"/>
          <w:szCs w:val="32"/>
        </w:rPr>
      </w:pPr>
      <w:r>
        <w:rPr>
          <w:rFonts w:eastAsia="仿宋_GB2312"/>
          <w:sz w:val="32"/>
          <w:szCs w:val="32"/>
        </w:rPr>
        <w:t>六、预算绩效管理工作开展情况说明</w:t>
      </w:r>
    </w:p>
    <w:p>
      <w:pPr>
        <w:widowControl/>
        <w:spacing w:line="580" w:lineRule="exact"/>
        <w:ind w:left="640" w:firstLine="640" w:firstLineChars="200"/>
        <w:rPr>
          <w:rFonts w:eastAsia="仿宋_GB2312"/>
          <w:sz w:val="32"/>
          <w:szCs w:val="32"/>
        </w:rPr>
      </w:pPr>
      <w:r>
        <w:rPr>
          <w:rFonts w:eastAsia="仿宋_GB2312"/>
          <w:sz w:val="32"/>
          <w:szCs w:val="32"/>
        </w:rPr>
        <w:t>七、其他重要事项的说明</w:t>
      </w:r>
    </w:p>
    <w:p>
      <w:pPr>
        <w:widowControl/>
        <w:spacing w:line="580" w:lineRule="exact"/>
        <w:ind w:left="640" w:firstLine="1344" w:firstLineChars="420"/>
        <w:rPr>
          <w:rFonts w:eastAsia="仿宋_GB2312"/>
          <w:sz w:val="32"/>
          <w:szCs w:val="32"/>
        </w:rPr>
      </w:pPr>
      <w:r>
        <w:rPr>
          <w:rFonts w:eastAsia="仿宋_GB2312"/>
          <w:sz w:val="32"/>
          <w:szCs w:val="32"/>
        </w:rPr>
        <w:t>1.机关运行经费情况</w:t>
      </w:r>
    </w:p>
    <w:p>
      <w:pPr>
        <w:widowControl/>
        <w:spacing w:line="580" w:lineRule="exact"/>
        <w:ind w:left="640" w:firstLine="1344" w:firstLineChars="420"/>
        <w:rPr>
          <w:rFonts w:eastAsia="仿宋_GB2312"/>
          <w:sz w:val="32"/>
          <w:szCs w:val="32"/>
        </w:rPr>
      </w:pPr>
      <w:r>
        <w:rPr>
          <w:rFonts w:eastAsia="仿宋_GB2312"/>
          <w:sz w:val="32"/>
          <w:szCs w:val="32"/>
        </w:rPr>
        <w:t>2.政府采购情况</w:t>
      </w:r>
    </w:p>
    <w:p>
      <w:pPr>
        <w:widowControl/>
        <w:spacing w:line="580" w:lineRule="exact"/>
        <w:ind w:left="640" w:firstLine="1344" w:firstLineChars="420"/>
        <w:rPr>
          <w:rFonts w:eastAsia="仿宋_GB2312"/>
          <w:sz w:val="32"/>
          <w:szCs w:val="32"/>
        </w:rPr>
      </w:pPr>
      <w:r>
        <w:rPr>
          <w:rFonts w:eastAsia="仿宋_GB2312"/>
          <w:sz w:val="32"/>
          <w:szCs w:val="32"/>
        </w:rPr>
        <w:t>3.国有资产占用情况</w:t>
      </w:r>
    </w:p>
    <w:p>
      <w:pPr>
        <w:widowControl/>
        <w:spacing w:line="580" w:lineRule="exact"/>
        <w:ind w:left="640" w:firstLine="1344" w:firstLineChars="420"/>
        <w:rPr>
          <w:rFonts w:eastAsia="仿宋_GB2312"/>
          <w:sz w:val="32"/>
          <w:szCs w:val="32"/>
        </w:rPr>
      </w:pPr>
      <w:r>
        <w:rPr>
          <w:rFonts w:eastAsia="仿宋_GB2312"/>
          <w:sz w:val="32"/>
          <w:szCs w:val="32"/>
        </w:rPr>
        <w:t>4.其他需要说明的情况</w:t>
      </w:r>
    </w:p>
    <w:p>
      <w:pPr>
        <w:widowControl/>
        <w:spacing w:line="580" w:lineRule="exact"/>
        <w:ind w:firstLine="640" w:firstLineChars="200"/>
        <w:rPr>
          <w:rFonts w:eastAsia="黑体"/>
          <w:sz w:val="32"/>
          <w:szCs w:val="32"/>
        </w:rPr>
      </w:pPr>
      <w:r>
        <w:rPr>
          <w:rFonts w:eastAsia="黑体"/>
          <w:sz w:val="32"/>
          <w:szCs w:val="32"/>
        </w:rPr>
        <w:t>第四部分  名词解释</w:t>
      </w:r>
    </w:p>
    <w:p>
      <w:pPr>
        <w:rPr>
          <w:rFonts w:ascii="宋体" w:hAnsi="宋体" w:cs="宋体"/>
          <w:sz w:val="32"/>
          <w:szCs w:val="32"/>
        </w:rPr>
      </w:pPr>
    </w:p>
    <w:p>
      <w:pPr>
        <w:rPr>
          <w:rFonts w:ascii="宋体" w:hAnsi="宋体" w:cs="宋体"/>
          <w:sz w:val="32"/>
          <w:szCs w:val="32"/>
        </w:rPr>
      </w:pPr>
    </w:p>
    <w:p>
      <w:pPr>
        <w:rPr>
          <w:rFonts w:ascii="宋体" w:hAnsi="宋体" w:cs="宋体"/>
          <w:sz w:val="32"/>
          <w:szCs w:val="32"/>
        </w:rPr>
      </w:pPr>
    </w:p>
    <w:p>
      <w:pPr>
        <w:pStyle w:val="2"/>
        <w:spacing w:line="560" w:lineRule="exact"/>
        <w:jc w:val="center"/>
        <w:rPr>
          <w:rFonts w:ascii="宋体" w:hAnsi="宋体" w:cs="宋体"/>
          <w:color w:val="000000"/>
          <w:kern w:val="0"/>
        </w:rPr>
      </w:pPr>
      <w:r>
        <w:rPr>
          <w:rFonts w:hint="eastAsia" w:ascii="宋体" w:hAnsi="宋体" w:cs="宋体"/>
          <w:color w:val="000000"/>
          <w:kern w:val="0"/>
        </w:rPr>
        <w:t>第一部分 部门概况</w:t>
      </w:r>
    </w:p>
    <w:p>
      <w:pPr>
        <w:pStyle w:val="3"/>
        <w:numPr>
          <w:ilvl w:val="0"/>
          <w:numId w:val="1"/>
        </w:numPr>
        <w:spacing w:before="0" w:after="0" w:line="560" w:lineRule="exact"/>
        <w:ind w:firstLine="643" w:firstLineChars="200"/>
        <w:rPr>
          <w:rFonts w:ascii="宋体" w:hAnsi="宋体" w:cs="宋体"/>
          <w:kern w:val="0"/>
        </w:rPr>
      </w:pPr>
      <w:r>
        <w:rPr>
          <w:rFonts w:hint="eastAsia" w:ascii="宋体" w:hAnsi="宋体" w:cs="宋体"/>
          <w:kern w:val="0"/>
        </w:rPr>
        <w:t>部门职责</w:t>
      </w:r>
    </w:p>
    <w:p>
      <w:pPr>
        <w:snapToGrid w:val="0"/>
        <w:spacing w:line="560" w:lineRule="exact"/>
        <w:jc w:val="left"/>
        <w:rPr>
          <w:rFonts w:ascii="仿宋_GB2312" w:hAnsi="仿宋" w:eastAsia="仿宋_GB2312"/>
          <w:sz w:val="32"/>
        </w:rPr>
      </w:pPr>
      <w:r>
        <w:rPr>
          <w:rFonts w:hint="eastAsia" w:ascii="仿宋_GB2312" w:hAnsi="仿宋" w:eastAsia="仿宋_GB2312"/>
          <w:sz w:val="32"/>
        </w:rPr>
        <w:t xml:space="preserve">    宣传、贯彻、执行党的路线方针政策和国家的法律、法规,执行本级人民代表大会的决议和上级国家行政机关的决定和命令,其主要职能为:</w:t>
      </w:r>
    </w:p>
    <w:p>
      <w:pPr>
        <w:numPr>
          <w:ilvl w:val="0"/>
          <w:numId w:val="2"/>
        </w:numPr>
        <w:snapToGrid w:val="0"/>
        <w:spacing w:line="560" w:lineRule="exact"/>
        <w:jc w:val="left"/>
        <w:rPr>
          <w:rFonts w:ascii="仿宋_GB2312" w:hAnsi="仿宋" w:eastAsia="仿宋_GB2312"/>
          <w:sz w:val="32"/>
        </w:rPr>
      </w:pPr>
      <w:r>
        <w:rPr>
          <w:rFonts w:hint="eastAsia" w:ascii="仿宋_GB2312" w:hAnsi="仿宋" w:eastAsia="仿宋_GB2312"/>
          <w:sz w:val="32"/>
        </w:rPr>
        <w:t>促进经济发展</w:t>
      </w:r>
    </w:p>
    <w:p>
      <w:pPr>
        <w:snapToGrid w:val="0"/>
        <w:spacing w:line="560" w:lineRule="exact"/>
        <w:ind w:firstLine="640" w:firstLineChars="200"/>
        <w:jc w:val="left"/>
        <w:rPr>
          <w:rFonts w:ascii="仿宋_GB2312" w:hAnsi="仿宋" w:eastAsia="仿宋_GB2312"/>
          <w:sz w:val="32"/>
        </w:rPr>
      </w:pPr>
      <w:r>
        <w:rPr>
          <w:rFonts w:hint="eastAsia" w:ascii="仿宋_GB2312" w:hAnsi="仿宋" w:eastAsia="仿宋_GB2312"/>
          <w:sz w:val="32"/>
        </w:rPr>
        <w:t>主要包括:（1）搞好本乡镇产业发展规划,引导农民立足自身资源和区位条件,发展优势,大力发展区域特色经济。为农民提供政策、信息等服务,促进农民脱贫致富。（2）加强工业经济管理,为招商引资营造良好环境(投资环境、社会环境)大力发展第二、第三产业,加快城镇化进程;（3）配合民政、商务和供销社等部门,培育和发展农村经济合作组织(各种协会及中介组织);配合农口部门做好农业技术推广和服务工作</w:t>
      </w:r>
    </w:p>
    <w:p>
      <w:pPr>
        <w:snapToGrid w:val="0"/>
        <w:spacing w:line="560" w:lineRule="exact"/>
        <w:ind w:firstLine="627" w:firstLineChars="196"/>
        <w:jc w:val="left"/>
        <w:rPr>
          <w:rFonts w:ascii="仿宋_GB2312" w:hAnsi="仿宋" w:eastAsia="仿宋_GB2312"/>
          <w:sz w:val="32"/>
        </w:rPr>
      </w:pPr>
      <w:r>
        <w:rPr>
          <w:rFonts w:hint="eastAsia" w:ascii="仿宋_GB2312" w:hAnsi="仿宋" w:eastAsia="仿宋_GB2312"/>
          <w:sz w:val="32"/>
        </w:rPr>
        <w:t>2.加强社会管理</w:t>
      </w:r>
    </w:p>
    <w:p>
      <w:pPr>
        <w:snapToGrid w:val="0"/>
        <w:spacing w:line="560" w:lineRule="exact"/>
        <w:ind w:firstLine="627" w:firstLineChars="196"/>
        <w:jc w:val="left"/>
        <w:rPr>
          <w:rFonts w:ascii="仿宋_GB2312" w:hAnsi="仿宋" w:eastAsia="仿宋_GB2312"/>
          <w:sz w:val="32"/>
        </w:rPr>
      </w:pPr>
      <w:r>
        <w:rPr>
          <w:rFonts w:hint="eastAsia" w:ascii="仿宋_GB2312" w:hAnsi="仿宋" w:eastAsia="仿宋_GB2312"/>
          <w:sz w:val="32"/>
        </w:rPr>
        <w:t>主要包括:（1）加强乡村财政资金监督管理、农村合同管理及农民减负工作;做好乡镇统计、审计等工作。（2）做好人口和计划生育管理工作及计划生育协会工作。加强流动人口生育管理和计划生育技术服务站等工作。（3）推进农村民主政治建设和村民自治,加强农村基层组织建设,为实现公民在选举、决策、管理等方面的民主权利创造条件。（4）加强农村精神文明建设和生态文明村建设,制定构建和谐社会的具体措施,并抓好组织实施。（5）配合城建、国土资源部门做好镇村建设规划、保护耕地工作。（6）配合安全生产监督管理部门做好安全生产监督管理工作。（7）配合武装部做好征兵工作及民兵工作。（8）配合环保部门做好保护环境,改善生态环境工作,提高资源利用率</w:t>
      </w:r>
    </w:p>
    <w:p>
      <w:pPr>
        <w:snapToGrid w:val="0"/>
        <w:spacing w:line="560" w:lineRule="exact"/>
        <w:ind w:firstLine="627" w:firstLineChars="196"/>
        <w:jc w:val="left"/>
        <w:rPr>
          <w:rFonts w:ascii="仿宋_GB2312" w:hAnsi="仿宋" w:eastAsia="仿宋_GB2312"/>
          <w:sz w:val="32"/>
        </w:rPr>
      </w:pPr>
      <w:r>
        <w:rPr>
          <w:rFonts w:hint="eastAsia" w:ascii="仿宋_GB2312" w:hAnsi="仿宋" w:eastAsia="仿宋_GB2312"/>
          <w:sz w:val="32"/>
        </w:rPr>
        <w:t>3.提供公共服务</w:t>
      </w:r>
    </w:p>
    <w:p>
      <w:pPr>
        <w:snapToGrid w:val="0"/>
        <w:spacing w:line="560" w:lineRule="exact"/>
        <w:ind w:firstLine="627" w:firstLineChars="196"/>
        <w:jc w:val="left"/>
        <w:rPr>
          <w:rFonts w:ascii="仿宋_GB2312" w:hAnsi="仿宋" w:eastAsia="仿宋_GB2312"/>
          <w:sz w:val="32"/>
        </w:rPr>
      </w:pPr>
      <w:r>
        <w:rPr>
          <w:rFonts w:hint="eastAsia" w:ascii="仿宋_GB2312" w:hAnsi="仿宋" w:eastAsia="仿宋_GB2312"/>
          <w:sz w:val="32"/>
        </w:rPr>
        <w:t>主要包括:（1）量力组织乡村公共基础设施建设。（2）配合教育、科技、文体、卫生等部门搞好九年义务教育,普及推广科学技术,丰富农村文化生活,开展全民健身运动,推行和完善新型合作医疗制度,提高参保率;（3）配合农口部门(农、林、牧、水)做好农业技术服务和技术推广工作,动物防疫工作;加强农田水利基本建设,增强农业抗御自然灾害的能力。（4）配合广播电视、电力、电信等部门,做好普及有线电视、电网改造工作,扩大通讯网络在农村的覆盖面。（5）配合民政、残联部门做好农村扶贫和低保工作以及特困户救助和残疾人服务工作。配合劳动部门做好农村劳动力职业培训、劳动就业和社会保障工作。</w:t>
      </w:r>
    </w:p>
    <w:p>
      <w:pPr>
        <w:snapToGrid w:val="0"/>
        <w:spacing w:line="560" w:lineRule="exact"/>
        <w:ind w:firstLine="627" w:firstLineChars="196"/>
        <w:jc w:val="left"/>
        <w:rPr>
          <w:rFonts w:ascii="仿宋_GB2312" w:hAnsi="仿宋" w:eastAsia="仿宋_GB2312"/>
          <w:sz w:val="32"/>
        </w:rPr>
      </w:pPr>
      <w:r>
        <w:rPr>
          <w:rFonts w:hint="eastAsia" w:ascii="仿宋_GB2312" w:hAnsi="仿宋" w:eastAsia="仿宋_GB2312"/>
          <w:sz w:val="32"/>
        </w:rPr>
        <w:t>4.维护农村稳定</w:t>
      </w:r>
    </w:p>
    <w:p>
      <w:pPr>
        <w:snapToGrid w:val="0"/>
        <w:spacing w:line="560" w:lineRule="exact"/>
        <w:ind w:firstLine="627" w:firstLineChars="196"/>
        <w:jc w:val="left"/>
        <w:rPr>
          <w:rFonts w:ascii="仿宋_GB2312" w:hAnsi="仿宋" w:eastAsia="仿宋_GB2312"/>
          <w:sz w:val="32"/>
        </w:rPr>
      </w:pPr>
      <w:r>
        <w:rPr>
          <w:rFonts w:hint="eastAsia" w:ascii="仿宋_GB2312" w:hAnsi="仿宋" w:eastAsia="仿宋_GB2312"/>
          <w:sz w:val="32"/>
        </w:rPr>
        <w:t>主要包括:（1）做好社会治安综合</w:t>
      </w:r>
      <w:r>
        <w:rPr>
          <w:rFonts w:hint="eastAsia" w:ascii="仿宋_GB2312" w:hAnsi="仿宋" w:eastAsia="仿宋_GB2312"/>
          <w:sz w:val="32"/>
          <w:lang w:eastAsia="zh-CN"/>
        </w:rPr>
        <w:t>治理</w:t>
      </w:r>
      <w:r>
        <w:rPr>
          <w:rFonts w:hint="eastAsia" w:ascii="仿宋_GB2312" w:hAnsi="仿宋" w:eastAsia="仿宋_GB2312"/>
          <w:sz w:val="32"/>
        </w:rPr>
        <w:t>工作;（2）宣传贯彻国家法律法规和政策,增强农民法律意识,教育农民知法、懂法、守法;（3）做好司法、宗教工作,打击邪教;（4）做好群众来信来访、法律咨询、搞好农村矛盾纠纷排查调处;（5）妥善处理突发性、群体性事件,维护社会稳定;（6）协助司法机关打击各类刑事犯罪活动。</w:t>
      </w:r>
    </w:p>
    <w:p>
      <w:pPr>
        <w:ind w:firstLine="832" w:firstLineChars="260"/>
        <w:jc w:val="left"/>
        <w:outlineLvl w:val="0"/>
        <w:rPr>
          <w:rFonts w:ascii="宋体" w:hAnsi="宋体" w:cs="宋体"/>
          <w:sz w:val="32"/>
          <w:szCs w:val="32"/>
        </w:rPr>
      </w:pPr>
    </w:p>
    <w:p>
      <w:pPr>
        <w:pStyle w:val="3"/>
        <w:spacing w:before="0" w:after="0" w:line="560" w:lineRule="exact"/>
        <w:ind w:firstLine="643" w:firstLineChars="200"/>
        <w:rPr>
          <w:rFonts w:ascii="宋体" w:hAnsi="宋体" w:cs="宋体"/>
          <w:kern w:val="0"/>
        </w:rPr>
      </w:pPr>
      <w:r>
        <w:rPr>
          <w:rFonts w:hint="eastAsia" w:ascii="宋体" w:hAnsi="宋体" w:cs="宋体"/>
          <w:kern w:val="0"/>
        </w:rPr>
        <w:t>二、部门决算单位构成</w:t>
      </w:r>
    </w:p>
    <w:p>
      <w:pPr>
        <w:autoSpaceDE w:val="0"/>
        <w:autoSpaceDN w:val="0"/>
        <w:adjustRightInd w:val="0"/>
        <w:spacing w:after="0" w:line="560" w:lineRule="exact"/>
        <w:ind w:firstLine="640" w:firstLineChars="200"/>
        <w:jc w:val="left"/>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2017 年度，纳入本部门决算汇编范围的独立核算单位（以下简称“单位”）共1个，是无极县郝庄乡人民政府，单位基本性质为行政单位，预算管理级次为一级预算单位，执行行政单位会计制度，较上年无增减变化。</w:t>
      </w:r>
    </w:p>
    <w:p>
      <w:pPr>
        <w:autoSpaceDE w:val="0"/>
        <w:autoSpaceDN w:val="0"/>
        <w:adjustRightInd w:val="0"/>
        <w:spacing w:after="0" w:line="560" w:lineRule="exact"/>
        <w:ind w:firstLine="640" w:firstLineChars="200"/>
        <w:jc w:val="left"/>
        <w:rPr>
          <w:rFonts w:ascii="仿宋_GB2312" w:hAnsi="仿宋_GB2312" w:eastAsia="仿宋_GB2312" w:cs="仿宋_GB2312"/>
          <w:kern w:val="0"/>
          <w:sz w:val="32"/>
          <w:szCs w:val="32"/>
        </w:rPr>
      </w:pPr>
    </w:p>
    <w:tbl>
      <w:tblPr>
        <w:tblStyle w:val="10"/>
        <w:tblW w:w="91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309"/>
        <w:gridCol w:w="1077"/>
        <w:gridCol w:w="1077"/>
        <w:gridCol w:w="272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51" w:hRule="atLeast"/>
          <w:tblHeader/>
          <w:jc w:val="center"/>
        </w:trPr>
        <w:tc>
          <w:tcPr>
            <w:tcW w:w="4309" w:type="dxa"/>
            <w:vAlign w:val="center"/>
          </w:tcPr>
          <w:p>
            <w:pPr>
              <w:ind w:firstLine="361"/>
              <w:jc w:val="center"/>
              <w:rPr>
                <w:rFonts w:ascii="宋体" w:hAnsi="宋体" w:cs="宋体"/>
                <w:b/>
                <w:sz w:val="18"/>
              </w:rPr>
            </w:pPr>
            <w:r>
              <w:rPr>
                <w:rFonts w:hint="eastAsia" w:ascii="宋体" w:hAnsi="宋体" w:cs="宋体"/>
                <w:b/>
                <w:sz w:val="18"/>
              </w:rPr>
              <w:t>单位名称</w:t>
            </w:r>
          </w:p>
        </w:tc>
        <w:tc>
          <w:tcPr>
            <w:tcW w:w="1077" w:type="dxa"/>
            <w:vAlign w:val="center"/>
          </w:tcPr>
          <w:p>
            <w:pPr>
              <w:rPr>
                <w:rFonts w:ascii="宋体" w:hAnsi="宋体" w:cs="宋体"/>
                <w:b/>
                <w:sz w:val="18"/>
              </w:rPr>
            </w:pPr>
            <w:r>
              <w:rPr>
                <w:rFonts w:hint="eastAsia" w:ascii="宋体" w:hAnsi="宋体" w:cs="宋体"/>
                <w:b/>
                <w:sz w:val="18"/>
              </w:rPr>
              <w:t>单位规格</w:t>
            </w:r>
          </w:p>
        </w:tc>
        <w:tc>
          <w:tcPr>
            <w:tcW w:w="1077" w:type="dxa"/>
            <w:vAlign w:val="center"/>
          </w:tcPr>
          <w:p>
            <w:pPr>
              <w:jc w:val="center"/>
              <w:rPr>
                <w:rFonts w:ascii="宋体" w:hAnsi="宋体" w:cs="宋体"/>
                <w:b/>
                <w:sz w:val="18"/>
              </w:rPr>
            </w:pPr>
            <w:r>
              <w:rPr>
                <w:rFonts w:hint="eastAsia" w:ascii="宋体" w:hAnsi="宋体" w:cs="宋体"/>
                <w:b/>
                <w:sz w:val="18"/>
              </w:rPr>
              <w:t>单位性质</w:t>
            </w:r>
          </w:p>
        </w:tc>
        <w:tc>
          <w:tcPr>
            <w:tcW w:w="2721" w:type="dxa"/>
            <w:vAlign w:val="center"/>
          </w:tcPr>
          <w:p>
            <w:pPr>
              <w:ind w:firstLine="361"/>
              <w:jc w:val="center"/>
              <w:rPr>
                <w:rFonts w:ascii="宋体" w:hAnsi="宋体" w:cs="宋体"/>
                <w:b/>
                <w:sz w:val="18"/>
              </w:rPr>
            </w:pPr>
            <w:r>
              <w:rPr>
                <w:rFonts w:hint="eastAsia" w:ascii="宋体" w:hAnsi="宋体" w:cs="宋体"/>
                <w:b/>
                <w:sz w:val="18"/>
              </w:rPr>
              <w:t>财政供给政策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51" w:hRule="atLeast"/>
          <w:jc w:val="center"/>
        </w:trPr>
        <w:tc>
          <w:tcPr>
            <w:tcW w:w="4309" w:type="dxa"/>
            <w:vAlign w:val="center"/>
          </w:tcPr>
          <w:p>
            <w:pPr>
              <w:ind w:firstLine="480"/>
              <w:jc w:val="center"/>
              <w:rPr>
                <w:rFonts w:ascii="宋体" w:hAnsi="宋体" w:cs="宋体"/>
                <w:sz w:val="24"/>
              </w:rPr>
            </w:pPr>
            <w:r>
              <w:rPr>
                <w:rFonts w:hint="eastAsia" w:ascii="宋体" w:hAnsi="宋体" w:cs="宋体"/>
                <w:sz w:val="24"/>
              </w:rPr>
              <w:t>石家庄市无极县郝庄乡人民政府</w:t>
            </w:r>
          </w:p>
        </w:tc>
        <w:tc>
          <w:tcPr>
            <w:tcW w:w="1077" w:type="dxa"/>
            <w:vAlign w:val="center"/>
          </w:tcPr>
          <w:p>
            <w:pPr>
              <w:jc w:val="center"/>
              <w:rPr>
                <w:rFonts w:ascii="宋体" w:hAnsi="宋体" w:cs="宋体"/>
                <w:sz w:val="24"/>
              </w:rPr>
            </w:pPr>
            <w:r>
              <w:rPr>
                <w:rFonts w:hint="eastAsia" w:ascii="宋体" w:hAnsi="宋体" w:cs="宋体"/>
                <w:sz w:val="24"/>
              </w:rPr>
              <w:t>行政</w:t>
            </w:r>
          </w:p>
        </w:tc>
        <w:tc>
          <w:tcPr>
            <w:tcW w:w="1077" w:type="dxa"/>
            <w:vAlign w:val="center"/>
          </w:tcPr>
          <w:p>
            <w:pPr>
              <w:jc w:val="center"/>
              <w:rPr>
                <w:rFonts w:ascii="宋体" w:hAnsi="宋体" w:cs="宋体"/>
                <w:sz w:val="24"/>
              </w:rPr>
            </w:pPr>
            <w:r>
              <w:rPr>
                <w:rFonts w:hint="eastAsia" w:ascii="宋体" w:hAnsi="宋体" w:cs="宋体"/>
                <w:sz w:val="24"/>
              </w:rPr>
              <w:t>正科级</w:t>
            </w:r>
          </w:p>
        </w:tc>
        <w:tc>
          <w:tcPr>
            <w:tcW w:w="2721" w:type="dxa"/>
            <w:vAlign w:val="center"/>
          </w:tcPr>
          <w:p>
            <w:pPr>
              <w:ind w:firstLine="480"/>
              <w:jc w:val="center"/>
              <w:rPr>
                <w:rFonts w:ascii="宋体" w:hAnsi="宋体" w:cs="宋体"/>
                <w:sz w:val="24"/>
              </w:rPr>
            </w:pPr>
            <w:r>
              <w:rPr>
                <w:rFonts w:hint="eastAsia" w:ascii="宋体" w:hAnsi="宋体" w:cs="宋体"/>
                <w:sz w:val="24"/>
              </w:rPr>
              <w:t>财政拨款</w:t>
            </w:r>
          </w:p>
        </w:tc>
      </w:tr>
    </w:tbl>
    <w:p>
      <w:pPr>
        <w:autoSpaceDE w:val="0"/>
        <w:autoSpaceDN w:val="0"/>
        <w:adjustRightInd w:val="0"/>
        <w:spacing w:after="0" w:line="560" w:lineRule="exact"/>
        <w:ind w:firstLine="420" w:firstLineChars="200"/>
        <w:jc w:val="left"/>
        <w:sectPr>
          <w:pgSz w:w="11906" w:h="16838"/>
          <w:pgMar w:top="2098" w:right="1474" w:bottom="1985" w:left="1588" w:header="851" w:footer="992" w:gutter="0"/>
          <w:pgNumType w:start="0"/>
          <w:cols w:space="720" w:num="1"/>
          <w:titlePg/>
          <w:docGrid w:type="lines" w:linePitch="312" w:charSpace="0"/>
        </w:sectPr>
      </w:pPr>
    </w:p>
    <w:p>
      <w:pPr>
        <w:spacing w:line="560" w:lineRule="exact"/>
        <w:rPr>
          <w:rFonts w:ascii="宋体" w:hAnsi="宋体" w:cs="宋体"/>
          <w:kern w:val="0"/>
          <w:sz w:val="32"/>
          <w:szCs w:val="32"/>
        </w:rPr>
      </w:pPr>
    </w:p>
    <w:p>
      <w:pPr>
        <w:jc w:val="center"/>
        <w:rPr>
          <w:rFonts w:ascii="宋体" w:hAnsi="宋体" w:cs="宋体"/>
          <w:b/>
          <w:sz w:val="44"/>
          <w:szCs w:val="44"/>
        </w:rPr>
      </w:pPr>
      <w:r>
        <w:rPr>
          <w:rFonts w:hint="eastAsia" w:ascii="宋体" w:hAnsi="宋体" w:cs="宋体"/>
          <w:b/>
          <w:sz w:val="44"/>
          <w:szCs w:val="44"/>
        </w:rPr>
        <w:t>第二部分  郝庄乡部门2017年度部门决算报表</w:t>
      </w:r>
    </w:p>
    <w:p>
      <w:pPr>
        <w:jc w:val="center"/>
        <w:rPr>
          <w:rFonts w:ascii="宋体" w:hAnsi="宋体" w:cs="宋体"/>
          <w:b/>
          <w:sz w:val="44"/>
          <w:szCs w:val="44"/>
        </w:rPr>
      </w:pPr>
      <w:r>
        <w:rPr>
          <w:rFonts w:hint="eastAsia" w:ascii="宋体" w:hAnsi="宋体" w:cs="宋体"/>
          <w:b/>
          <w:sz w:val="44"/>
          <w:szCs w:val="44"/>
        </w:rPr>
        <w:t>（详见附件）</w:t>
      </w:r>
    </w:p>
    <w:p>
      <w:pPr>
        <w:ind w:firstLine="643"/>
        <w:jc w:val="left"/>
        <w:rPr>
          <w:rFonts w:ascii="宋体" w:hAnsi="宋体" w:eastAsia="仿宋" w:cs="宋体"/>
          <w:bCs/>
          <w:sz w:val="32"/>
          <w:szCs w:val="32"/>
        </w:rPr>
      </w:pPr>
      <w:r>
        <w:rPr>
          <w:rFonts w:hint="eastAsia" w:ascii="宋体" w:hAnsi="宋体" w:eastAsia="仿宋" w:cs="宋体"/>
          <w:bCs/>
          <w:sz w:val="32"/>
          <w:szCs w:val="32"/>
        </w:rPr>
        <w:t>一、收入支出决算总表</w:t>
      </w:r>
    </w:p>
    <w:p>
      <w:pPr>
        <w:ind w:firstLine="643"/>
        <w:rPr>
          <w:rFonts w:ascii="宋体" w:hAnsi="宋体" w:eastAsia="仿宋" w:cs="宋体"/>
          <w:bCs/>
          <w:sz w:val="32"/>
          <w:szCs w:val="32"/>
        </w:rPr>
      </w:pPr>
      <w:r>
        <w:rPr>
          <w:rFonts w:hint="eastAsia" w:ascii="宋体" w:hAnsi="宋体" w:eastAsia="仿宋" w:cs="宋体"/>
          <w:bCs/>
          <w:sz w:val="32"/>
          <w:szCs w:val="32"/>
        </w:rPr>
        <w:t>二、收入决算表</w:t>
      </w:r>
    </w:p>
    <w:p>
      <w:pPr>
        <w:ind w:firstLine="643"/>
        <w:rPr>
          <w:rFonts w:ascii="宋体" w:hAnsi="宋体" w:eastAsia="仿宋" w:cs="宋体"/>
          <w:bCs/>
          <w:sz w:val="32"/>
          <w:szCs w:val="32"/>
        </w:rPr>
      </w:pPr>
      <w:r>
        <w:rPr>
          <w:rFonts w:hint="eastAsia" w:ascii="宋体" w:hAnsi="宋体" w:eastAsia="仿宋" w:cs="宋体"/>
          <w:bCs/>
          <w:sz w:val="32"/>
          <w:szCs w:val="32"/>
        </w:rPr>
        <w:t xml:space="preserve">三、支出决算表 </w:t>
      </w:r>
    </w:p>
    <w:p>
      <w:pPr>
        <w:ind w:firstLine="643"/>
        <w:rPr>
          <w:rFonts w:ascii="宋体" w:hAnsi="宋体" w:eastAsia="仿宋" w:cs="宋体"/>
          <w:bCs/>
          <w:sz w:val="32"/>
          <w:szCs w:val="32"/>
        </w:rPr>
      </w:pPr>
      <w:r>
        <w:rPr>
          <w:rFonts w:hint="eastAsia" w:ascii="宋体" w:hAnsi="宋体" w:eastAsia="仿宋" w:cs="宋体"/>
          <w:bCs/>
          <w:sz w:val="32"/>
          <w:szCs w:val="32"/>
        </w:rPr>
        <w:t>四、财政拨款收入支出决算总表</w:t>
      </w:r>
    </w:p>
    <w:p>
      <w:pPr>
        <w:ind w:firstLine="643"/>
        <w:rPr>
          <w:rFonts w:ascii="宋体" w:hAnsi="宋体" w:eastAsia="仿宋" w:cs="宋体"/>
          <w:bCs/>
          <w:sz w:val="32"/>
          <w:szCs w:val="32"/>
        </w:rPr>
      </w:pPr>
      <w:r>
        <w:rPr>
          <w:rFonts w:hint="eastAsia" w:ascii="宋体" w:hAnsi="宋体" w:eastAsia="仿宋" w:cs="宋体"/>
          <w:bCs/>
          <w:sz w:val="32"/>
          <w:szCs w:val="32"/>
        </w:rPr>
        <w:t>五、一般公共预算财政拨款支出决算表</w:t>
      </w:r>
    </w:p>
    <w:p>
      <w:pPr>
        <w:ind w:firstLine="622"/>
        <w:rPr>
          <w:rFonts w:ascii="宋体" w:hAnsi="宋体" w:eastAsia="仿宋" w:cs="宋体"/>
          <w:bCs/>
          <w:sz w:val="32"/>
          <w:szCs w:val="32"/>
        </w:rPr>
      </w:pPr>
      <w:r>
        <w:rPr>
          <w:rFonts w:hint="eastAsia" w:ascii="宋体" w:hAnsi="宋体" w:eastAsia="仿宋" w:cs="宋体"/>
          <w:bCs/>
          <w:sz w:val="32"/>
          <w:szCs w:val="32"/>
        </w:rPr>
        <w:t>六、一般公共预算财政拨款基本支出决算表</w:t>
      </w:r>
    </w:p>
    <w:p>
      <w:pPr>
        <w:ind w:firstLine="622"/>
        <w:rPr>
          <w:rFonts w:ascii="宋体" w:hAnsi="宋体" w:eastAsia="仿宋" w:cs="宋体"/>
          <w:bCs/>
          <w:sz w:val="32"/>
          <w:szCs w:val="32"/>
        </w:rPr>
      </w:pPr>
      <w:r>
        <w:rPr>
          <w:rFonts w:hint="eastAsia" w:ascii="宋体" w:hAnsi="宋体" w:eastAsia="仿宋" w:cs="宋体"/>
          <w:bCs/>
          <w:sz w:val="32"/>
          <w:szCs w:val="32"/>
        </w:rPr>
        <w:t xml:space="preserve">七、政府性基金预算财政拨款收入支出决算表 </w:t>
      </w:r>
    </w:p>
    <w:p>
      <w:pPr>
        <w:ind w:firstLine="643"/>
        <w:rPr>
          <w:rFonts w:ascii="宋体" w:hAnsi="宋体" w:eastAsia="仿宋" w:cs="宋体"/>
          <w:bCs/>
          <w:sz w:val="32"/>
          <w:szCs w:val="32"/>
        </w:rPr>
      </w:pPr>
      <w:r>
        <w:rPr>
          <w:rFonts w:hint="eastAsia" w:ascii="宋体" w:hAnsi="宋体" w:eastAsia="仿宋" w:cs="宋体"/>
          <w:bCs/>
          <w:sz w:val="32"/>
          <w:szCs w:val="32"/>
        </w:rPr>
        <w:t>八、国有资本经营预算财政拨款收入支出决算表</w:t>
      </w:r>
    </w:p>
    <w:p>
      <w:pPr>
        <w:ind w:firstLine="643"/>
        <w:rPr>
          <w:rFonts w:ascii="宋体" w:hAnsi="宋体" w:eastAsia="仿宋" w:cs="宋体"/>
          <w:bCs/>
          <w:sz w:val="32"/>
          <w:szCs w:val="32"/>
        </w:rPr>
      </w:pPr>
      <w:r>
        <w:rPr>
          <w:rFonts w:hint="eastAsia" w:ascii="宋体" w:hAnsi="宋体" w:eastAsia="仿宋" w:cs="宋体"/>
          <w:bCs/>
          <w:sz w:val="32"/>
          <w:szCs w:val="32"/>
        </w:rPr>
        <w:t>九、“三公”经费及相关信息统计表</w:t>
      </w:r>
    </w:p>
    <w:p>
      <w:pPr>
        <w:ind w:firstLine="643"/>
        <w:rPr>
          <w:rFonts w:ascii="宋体" w:hAnsi="宋体" w:eastAsia="仿宋" w:cs="宋体"/>
          <w:bCs/>
          <w:color w:val="000000"/>
          <w:kern w:val="0"/>
          <w:sz w:val="32"/>
          <w:szCs w:val="32"/>
        </w:rPr>
      </w:pPr>
      <w:r>
        <w:rPr>
          <w:rFonts w:hint="eastAsia" w:ascii="宋体" w:hAnsi="宋体" w:eastAsia="仿宋" w:cs="宋体"/>
          <w:bCs/>
          <w:sz w:val="32"/>
          <w:szCs w:val="32"/>
        </w:rPr>
        <w:t>十、政府采购情况表</w:t>
      </w:r>
    </w:p>
    <w:p>
      <w:pPr>
        <w:pStyle w:val="2"/>
        <w:spacing w:line="560" w:lineRule="exact"/>
        <w:jc w:val="center"/>
        <w:rPr>
          <w:rFonts w:ascii="宋体" w:hAnsi="宋体" w:cs="宋体"/>
          <w:color w:val="000000"/>
          <w:kern w:val="0"/>
        </w:rPr>
      </w:pPr>
      <w:r>
        <w:rPr>
          <w:rFonts w:hint="eastAsia" w:ascii="宋体" w:hAnsi="宋体" w:cs="宋体"/>
          <w:color w:val="000000"/>
          <w:kern w:val="0"/>
        </w:rPr>
        <w:t>第三部分部门决算情况说明</w:t>
      </w:r>
    </w:p>
    <w:p>
      <w:pPr>
        <w:pStyle w:val="3"/>
        <w:spacing w:before="0" w:after="0" w:line="560" w:lineRule="exact"/>
        <w:ind w:firstLine="643" w:firstLineChars="200"/>
        <w:rPr>
          <w:rFonts w:ascii="黑体" w:hAnsi="黑体" w:eastAsia="黑体"/>
        </w:rPr>
      </w:pPr>
      <w:r>
        <w:rPr>
          <w:rFonts w:hint="eastAsia" w:ascii="黑体" w:hAnsi="黑体" w:eastAsia="黑体"/>
        </w:rPr>
        <w:t>一、收入</w:t>
      </w:r>
      <w:r>
        <w:rPr>
          <w:rFonts w:hint="eastAsia" w:ascii="黑体" w:hAnsi="黑体" w:eastAsia="黑体"/>
          <w:kern w:val="0"/>
        </w:rPr>
        <w:t>支出</w:t>
      </w:r>
      <w:r>
        <w:rPr>
          <w:rFonts w:hint="eastAsia" w:ascii="黑体" w:hAnsi="黑体" w:eastAsia="黑体"/>
        </w:rPr>
        <w:t>决算总体情况说明</w:t>
      </w:r>
    </w:p>
    <w:p>
      <w:pPr>
        <w:adjustRightInd w:val="0"/>
        <w:snapToGrid w:val="0"/>
        <w:spacing w:after="0"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本部门2017年度年初结转和结余0万元，本年收入993.75万元；本年支出989.59万元、年末结转和结余4.16万元。与2016年度决算相比，本年收入减少122.85万元，减少11%，主要原因是财政拨款减少。；本年支出减少127.01万元，减少11.37%，主要是财政拨款减少。</w:t>
      </w:r>
    </w:p>
    <w:p>
      <w:pPr>
        <w:pStyle w:val="3"/>
        <w:spacing w:before="0" w:after="0" w:line="560" w:lineRule="exact"/>
        <w:ind w:firstLine="643" w:firstLineChars="200"/>
        <w:rPr>
          <w:rFonts w:ascii="黑体" w:hAnsi="黑体" w:eastAsia="黑体"/>
        </w:rPr>
      </w:pPr>
      <w:r>
        <w:rPr>
          <w:rFonts w:hint="eastAsia" w:ascii="黑体" w:hAnsi="黑体" w:eastAsia="黑体"/>
        </w:rPr>
        <w:t>二、收入决算情况说明</w:t>
      </w:r>
    </w:p>
    <w:p>
      <w:pPr>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2017年部门决算收入993.75万元，其中：财政拨款收入993.75万元，占100%；上级补助收入0万元；事业收入0万元；其他收入0万元。与 2016 年度相比，减少122.85 万元，其中财政拨款收入收入减少122.85万元，减少11% ；其他收入增加0万元。如图所示：</w:t>
      </w:r>
    </w:p>
    <w:p>
      <w:pPr>
        <w:ind w:firstLine="640"/>
        <w:rPr>
          <w:rFonts w:ascii="仿宋" w:hAnsi="仿宋" w:eastAsia="仿宋" w:cs="仿宋"/>
          <w:sz w:val="32"/>
          <w:szCs w:val="32"/>
        </w:rPr>
      </w:pPr>
      <w:r>
        <w:rPr>
          <w:rFonts w:hint="eastAsia" w:ascii="仿宋" w:hAnsi="仿宋" w:eastAsia="仿宋" w:cs="仿宋"/>
          <w:sz w:val="32"/>
          <w:szCs w:val="32"/>
        </w:rPr>
        <w:t>图1：收入决算结构饼状图</w:t>
      </w:r>
    </w:p>
    <w:p>
      <w:pPr>
        <w:ind w:firstLine="640"/>
        <w:rPr>
          <w:rFonts w:ascii="仿宋" w:hAnsi="仿宋" w:eastAsia="仿宋" w:cs="仿宋"/>
          <w:sz w:val="32"/>
          <w:szCs w:val="32"/>
        </w:rPr>
      </w:pPr>
      <w:r>
        <w:drawing>
          <wp:inline distT="0" distB="0" distL="114300" distR="114300">
            <wp:extent cx="5610225" cy="2552700"/>
            <wp:effectExtent l="0" t="0" r="9525"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6"/>
                    <a:stretch>
                      <a:fillRect/>
                    </a:stretch>
                  </pic:blipFill>
                  <pic:spPr>
                    <a:xfrm>
                      <a:off x="0" y="0"/>
                      <a:ext cx="5610225" cy="2552700"/>
                    </a:xfrm>
                    <a:prstGeom prst="rect">
                      <a:avLst/>
                    </a:prstGeom>
                    <a:noFill/>
                    <a:ln>
                      <a:noFill/>
                    </a:ln>
                  </pic:spPr>
                </pic:pic>
              </a:graphicData>
            </a:graphic>
          </wp:inline>
        </w:drawing>
      </w:r>
    </w:p>
    <w:p>
      <w:pPr>
        <w:ind w:firstLine="640"/>
        <w:rPr>
          <w:rFonts w:ascii="仿宋_GB2312" w:hAnsi="仿宋_GB2312" w:eastAsia="仿宋_GB2312" w:cs="仿宋_GB2312"/>
          <w:sz w:val="32"/>
          <w:szCs w:val="32"/>
        </w:rPr>
      </w:pPr>
    </w:p>
    <w:p>
      <w:pPr>
        <w:pStyle w:val="3"/>
        <w:spacing w:before="0" w:after="0" w:line="560" w:lineRule="exact"/>
        <w:ind w:firstLine="643" w:firstLineChars="200"/>
        <w:rPr>
          <w:rFonts w:ascii="黑体" w:hAnsi="黑体" w:eastAsia="黑体"/>
        </w:rPr>
      </w:pPr>
      <w:r>
        <w:rPr>
          <w:rFonts w:hint="eastAsia" w:ascii="黑体" w:hAnsi="黑体" w:eastAsia="黑体"/>
        </w:rPr>
        <w:t>三、支出决算情况说明</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2017年部门决算支出989.59万元，其中：基本支出479.54万元；项目支出510.05万元。 其中： 财政拨款支出收入989.59万元，占 100%。与 2016 年度相比，支出收入减少127.01万元，其中基本支出减少109.06万元 。如图所示：</w:t>
      </w:r>
    </w:p>
    <w:p>
      <w:pPr>
        <w:ind w:firstLine="640" w:firstLineChars="200"/>
        <w:rPr>
          <w:rFonts w:ascii="仿宋" w:hAnsi="仿宋" w:eastAsia="仿宋" w:cs="仿宋"/>
          <w:sz w:val="32"/>
          <w:szCs w:val="32"/>
        </w:rPr>
      </w:pPr>
      <w:r>
        <w:rPr>
          <w:rFonts w:hint="eastAsia" w:ascii="仿宋" w:hAnsi="仿宋" w:eastAsia="仿宋" w:cs="仿宋"/>
          <w:sz w:val="32"/>
          <w:szCs w:val="32"/>
        </w:rPr>
        <w:t xml:space="preserve">        图2：支出决算结构饼状图</w:t>
      </w:r>
    </w:p>
    <w:p>
      <w:pPr>
        <w:ind w:firstLine="420" w:firstLineChars="200"/>
        <w:rPr>
          <w:rFonts w:ascii="仿宋" w:hAnsi="仿宋" w:eastAsia="仿宋" w:cs="仿宋"/>
          <w:sz w:val="32"/>
          <w:szCs w:val="32"/>
        </w:rPr>
      </w:pPr>
      <w:r>
        <w:drawing>
          <wp:inline distT="0" distB="0" distL="114300" distR="114300">
            <wp:extent cx="5610225" cy="2552700"/>
            <wp:effectExtent l="0" t="0" r="9525" b="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pic:cNvPicPr>
                  </pic:nvPicPr>
                  <pic:blipFill>
                    <a:blip r:embed="rId7"/>
                    <a:stretch>
                      <a:fillRect/>
                    </a:stretch>
                  </pic:blipFill>
                  <pic:spPr>
                    <a:xfrm>
                      <a:off x="0" y="0"/>
                      <a:ext cx="5610225" cy="2552700"/>
                    </a:xfrm>
                    <a:prstGeom prst="rect">
                      <a:avLst/>
                    </a:prstGeom>
                    <a:noFill/>
                    <a:ln>
                      <a:noFill/>
                    </a:ln>
                  </pic:spPr>
                </pic:pic>
              </a:graphicData>
            </a:graphic>
          </wp:inline>
        </w:drawing>
      </w:r>
    </w:p>
    <w:p>
      <w:pPr>
        <w:ind w:firstLine="640" w:firstLineChars="200"/>
        <w:rPr>
          <w:rFonts w:ascii="仿宋_GB2312" w:hAnsi="仿宋_GB2312" w:eastAsia="仿宋_GB2312" w:cs="仿宋_GB2312"/>
          <w:sz w:val="32"/>
          <w:szCs w:val="32"/>
        </w:rPr>
      </w:pPr>
    </w:p>
    <w:p>
      <w:pPr>
        <w:pStyle w:val="3"/>
        <w:spacing w:before="0" w:after="0" w:line="560" w:lineRule="exact"/>
        <w:ind w:firstLine="643" w:firstLineChars="200"/>
        <w:rPr>
          <w:rFonts w:ascii="黑体" w:hAnsi="黑体" w:eastAsia="黑体"/>
        </w:rPr>
      </w:pPr>
      <w:r>
        <w:rPr>
          <w:rFonts w:hint="eastAsia" w:ascii="黑体" w:hAnsi="黑体" w:eastAsia="黑体"/>
        </w:rPr>
        <w:t>四、</w:t>
      </w:r>
      <w:r>
        <w:rPr>
          <w:rFonts w:hint="eastAsia" w:ascii="黑体" w:hAnsi="黑体" w:eastAsia="黑体"/>
          <w:kern w:val="0"/>
        </w:rPr>
        <w:t>财政</w:t>
      </w:r>
      <w:r>
        <w:rPr>
          <w:rFonts w:hint="eastAsia" w:ascii="黑体" w:hAnsi="黑体" w:eastAsia="黑体"/>
        </w:rPr>
        <w:t>拨款收入支出决算总体情况说明</w:t>
      </w:r>
    </w:p>
    <w:p>
      <w:pPr>
        <w:spacing w:after="0" w:line="560" w:lineRule="exact"/>
        <w:ind w:firstLine="643" w:firstLineChars="200"/>
        <w:rPr>
          <w:rFonts w:ascii="楷体" w:hAnsi="楷体" w:eastAsia="楷体" w:cs="楷体"/>
          <w:b/>
          <w:bCs/>
          <w:sz w:val="32"/>
          <w:szCs w:val="32"/>
        </w:rPr>
      </w:pPr>
      <w:r>
        <w:rPr>
          <w:rFonts w:hint="eastAsia" w:ascii="楷体" w:hAnsi="楷体" w:eastAsia="楷体" w:cs="楷体"/>
          <w:b/>
          <w:bCs/>
          <w:sz w:val="32"/>
          <w:szCs w:val="32"/>
        </w:rPr>
        <w:t>（一）财政拨款收支与2016 年度决算对比情况</w:t>
      </w:r>
    </w:p>
    <w:p>
      <w:pPr>
        <w:adjustRightInd w:val="0"/>
        <w:snapToGrid w:val="0"/>
        <w:spacing w:after="0"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本部门2017年度财政拨款收支全部为一般公共预算财政拨款收支。一般公共预算财政拨款年初结转和结余0万元、本年收入993.75万元；本年支出</w:t>
      </w:r>
      <w:r>
        <w:rPr>
          <w:rFonts w:hint="eastAsia" w:ascii="仿宋_GB2312" w:hAnsi="仿宋_GB2312" w:eastAsia="仿宋_GB2312" w:cs="仿宋_GB2312"/>
          <w:bCs/>
          <w:sz w:val="32"/>
          <w:szCs w:val="32"/>
        </w:rPr>
        <w:t>989.59</w:t>
      </w:r>
      <w:r>
        <w:rPr>
          <w:rFonts w:hint="eastAsia" w:ascii="仿宋_GB2312" w:hAnsi="仿宋_GB2312" w:eastAsia="仿宋_GB2312" w:cs="仿宋_GB2312"/>
          <w:sz w:val="32"/>
          <w:szCs w:val="32"/>
        </w:rPr>
        <w:t>万元、年末结转和结余4.16万元。与2016年度决算相比，一般公共预算财政拨款本年收入减少122.85万元，减少11%，主要是财政拨款减少；本年支出减少127.01万元，减少11.37%%，主要是财政拨款减少。</w:t>
      </w:r>
    </w:p>
    <w:p>
      <w:pPr>
        <w:adjustRightInd w:val="0"/>
        <w:snapToGrid w:val="0"/>
        <w:spacing w:after="0"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其中，一般公共预算财政拨款年初结转和结余0万元、本年收入993.75万元；本年支出</w:t>
      </w:r>
      <w:r>
        <w:rPr>
          <w:rFonts w:hint="eastAsia" w:ascii="仿宋_GB2312" w:hAnsi="仿宋_GB2312" w:eastAsia="仿宋_GB2312" w:cs="仿宋_GB2312"/>
          <w:bCs/>
          <w:sz w:val="32"/>
          <w:szCs w:val="32"/>
        </w:rPr>
        <w:t>989.59</w:t>
      </w:r>
      <w:r>
        <w:rPr>
          <w:rFonts w:hint="eastAsia" w:ascii="仿宋_GB2312" w:hAnsi="仿宋_GB2312" w:eastAsia="仿宋_GB2312" w:cs="仿宋_GB2312"/>
          <w:sz w:val="32"/>
          <w:szCs w:val="32"/>
        </w:rPr>
        <w:t>万元、年末结转和结余4.16万元。与2016年度决算相比，一般公共预算财政拨款本年收入减少122.85万元，减少11%，主要是财政拨款减少；本年支出减少127.01万元，减少11.37%，主要是财政拨款减少。</w:t>
      </w:r>
    </w:p>
    <w:p>
      <w:pPr>
        <w:spacing w:after="0" w:line="560" w:lineRule="exact"/>
        <w:ind w:firstLine="643" w:firstLineChars="200"/>
        <w:rPr>
          <w:rFonts w:ascii="楷体" w:hAnsi="楷体" w:eastAsia="楷体" w:cs="楷体"/>
          <w:b/>
          <w:bCs/>
          <w:sz w:val="32"/>
          <w:szCs w:val="32"/>
        </w:rPr>
      </w:pPr>
      <w:r>
        <w:rPr>
          <w:rFonts w:hint="eastAsia" w:ascii="楷体" w:hAnsi="楷体" w:eastAsia="楷体" w:cs="楷体"/>
          <w:b/>
          <w:bCs/>
          <w:sz w:val="32"/>
          <w:szCs w:val="32"/>
        </w:rPr>
        <w:t>（二）财政拨款收支与年初预算数对比情况</w:t>
      </w:r>
    </w:p>
    <w:p>
      <w:pPr>
        <w:adjustRightInd w:val="0"/>
        <w:snapToGrid w:val="0"/>
        <w:spacing w:after="0"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部门2017年度一般公共预算财政拨款本年收入较2017年初预算增加590.68万元，增长146.55%，主要是人员经费和日常公用经费及项目支出预估过少；本年支出增加586.52万元，增长145.51%，主要是人员经费和日常公用经费及项目支出预估过少。</w:t>
      </w:r>
    </w:p>
    <w:p>
      <w:pPr>
        <w:adjustRightInd w:val="0"/>
        <w:snapToGrid w:val="0"/>
        <w:spacing w:after="0"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其中，本部门2017年度一般公共预算财政拨款本年收入较2017年初预算增加590.68万元，增长146.55%，主要是人员经费和日常公用经费及项目支出预估过少；本年支出增加586.52万元，增长145.51%，主要是人员经费和日常公用经费及项目支出预估过少。</w:t>
      </w:r>
    </w:p>
    <w:p>
      <w:pPr>
        <w:pStyle w:val="3"/>
        <w:spacing w:before="0" w:after="0" w:line="560" w:lineRule="exact"/>
        <w:ind w:firstLine="643" w:firstLineChars="200"/>
        <w:rPr>
          <w:rFonts w:ascii="黑体" w:hAnsi="黑体" w:eastAsia="黑体"/>
        </w:rPr>
      </w:pPr>
      <w:r>
        <w:rPr>
          <w:rFonts w:hint="eastAsia" w:ascii="黑体" w:hAnsi="黑体" w:eastAsia="黑体"/>
        </w:rPr>
        <w:t>五、“三公” 经费支出决算情况说明</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2017年度，我镇认真落实中央“ 八项规定” 精神和厉行节约要求，管理制度不断完善，“ 三公” 经费支出得到有效控制。本部门2017年度“三公”经费支出共计2.3万元，较年初预算减少0.7万元，降低23.33%，主要是响应上级要求，减少“三公”经费支出。；较2016年度决算减少3.4万元，降低59.65%，主要是响应上级要求，减少“三公”经费支出。</w:t>
      </w:r>
    </w:p>
    <w:p>
      <w:pPr>
        <w:rPr>
          <w:rFonts w:ascii="宋体" w:hAnsi="宋体" w:cs="宋体"/>
          <w:b/>
          <w:sz w:val="32"/>
          <w:szCs w:val="32"/>
        </w:rPr>
      </w:pPr>
      <w:r>
        <w:rPr>
          <w:rFonts w:hint="eastAsia" w:ascii="宋体" w:hAnsi="宋体" w:cs="宋体"/>
          <w:b/>
          <w:sz w:val="32"/>
          <w:szCs w:val="32"/>
        </w:rPr>
        <w:t>“ 三公” 经费支出2016年度、 2017年度对比明细表</w:t>
      </w:r>
    </w:p>
    <w:p>
      <w:pPr>
        <w:jc w:val="right"/>
        <w:rPr>
          <w:rFonts w:ascii="宋体" w:hAnsi="宋体" w:cs="宋体"/>
          <w:sz w:val="28"/>
          <w:szCs w:val="28"/>
        </w:rPr>
      </w:pPr>
      <w:r>
        <w:rPr>
          <w:rFonts w:hint="eastAsia" w:ascii="宋体" w:hAnsi="宋体" w:cs="宋体"/>
          <w:sz w:val="28"/>
          <w:szCs w:val="28"/>
        </w:rPr>
        <w:t>单位：万元</w:t>
      </w:r>
    </w:p>
    <w:tbl>
      <w:tblPr>
        <w:tblStyle w:val="10"/>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30"/>
        <w:gridCol w:w="2131"/>
        <w:gridCol w:w="2130"/>
        <w:gridCol w:w="213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vAlign w:val="center"/>
          </w:tcPr>
          <w:p>
            <w:pPr>
              <w:jc w:val="center"/>
              <w:rPr>
                <w:rFonts w:ascii="宋体" w:hAnsi="宋体" w:cs="宋体"/>
                <w:sz w:val="24"/>
              </w:rPr>
            </w:pPr>
            <w:r>
              <w:rPr>
                <w:rFonts w:hint="eastAsia" w:ascii="宋体" w:hAnsi="宋体" w:cs="宋体"/>
                <w:sz w:val="24"/>
              </w:rPr>
              <w:t>“ 三公” 经费</w:t>
            </w:r>
          </w:p>
        </w:tc>
        <w:tc>
          <w:tcPr>
            <w:tcW w:w="2131" w:type="dxa"/>
            <w:vAlign w:val="center"/>
          </w:tcPr>
          <w:p>
            <w:pPr>
              <w:jc w:val="center"/>
              <w:rPr>
                <w:rFonts w:ascii="宋体" w:hAnsi="宋体" w:cs="宋体"/>
                <w:b/>
                <w:sz w:val="24"/>
              </w:rPr>
            </w:pPr>
            <w:r>
              <w:rPr>
                <w:rFonts w:hint="eastAsia" w:ascii="宋体" w:hAnsi="宋体" w:cs="宋体"/>
                <w:sz w:val="24"/>
              </w:rPr>
              <w:t>2016年支出</w:t>
            </w:r>
          </w:p>
        </w:tc>
        <w:tc>
          <w:tcPr>
            <w:tcW w:w="2130" w:type="dxa"/>
            <w:vAlign w:val="center"/>
          </w:tcPr>
          <w:p>
            <w:pPr>
              <w:jc w:val="center"/>
              <w:rPr>
                <w:rFonts w:ascii="宋体" w:hAnsi="宋体" w:cs="宋体"/>
                <w:b/>
                <w:sz w:val="24"/>
              </w:rPr>
            </w:pPr>
            <w:r>
              <w:rPr>
                <w:rFonts w:hint="eastAsia" w:ascii="宋体" w:hAnsi="宋体" w:cs="宋体"/>
                <w:sz w:val="24"/>
              </w:rPr>
              <w:t>2017年支出</w:t>
            </w:r>
          </w:p>
        </w:tc>
        <w:tc>
          <w:tcPr>
            <w:tcW w:w="2131" w:type="dxa"/>
            <w:vAlign w:val="center"/>
          </w:tcPr>
          <w:p>
            <w:pPr>
              <w:jc w:val="center"/>
              <w:rPr>
                <w:rFonts w:ascii="宋体" w:hAnsi="宋体" w:cs="宋体"/>
                <w:sz w:val="24"/>
              </w:rPr>
            </w:pPr>
            <w:r>
              <w:rPr>
                <w:rFonts w:hint="eastAsia" w:ascii="宋体" w:hAnsi="宋体" w:cs="宋体"/>
                <w:sz w:val="24"/>
              </w:rPr>
              <w:t>2017年与2016年对比</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vAlign w:val="center"/>
          </w:tcPr>
          <w:p>
            <w:pPr>
              <w:jc w:val="center"/>
              <w:rPr>
                <w:rFonts w:ascii="宋体" w:hAnsi="宋体" w:cs="宋体"/>
                <w:sz w:val="24"/>
              </w:rPr>
            </w:pPr>
            <w:r>
              <w:rPr>
                <w:rFonts w:hint="eastAsia" w:ascii="宋体" w:hAnsi="宋体" w:cs="宋体"/>
                <w:sz w:val="24"/>
              </w:rPr>
              <w:t>因公出国（境）支出</w:t>
            </w:r>
          </w:p>
        </w:tc>
        <w:tc>
          <w:tcPr>
            <w:tcW w:w="2131" w:type="dxa"/>
            <w:vAlign w:val="center"/>
          </w:tcPr>
          <w:p>
            <w:pPr>
              <w:jc w:val="center"/>
              <w:rPr>
                <w:rFonts w:ascii="宋体" w:hAnsi="宋体" w:cs="宋体"/>
                <w:sz w:val="24"/>
              </w:rPr>
            </w:pPr>
            <w:r>
              <w:rPr>
                <w:rFonts w:hint="eastAsia" w:ascii="宋体" w:hAnsi="宋体" w:cs="宋体"/>
                <w:sz w:val="24"/>
              </w:rPr>
              <w:t>0</w:t>
            </w:r>
          </w:p>
        </w:tc>
        <w:tc>
          <w:tcPr>
            <w:tcW w:w="2130" w:type="dxa"/>
            <w:vAlign w:val="center"/>
          </w:tcPr>
          <w:p>
            <w:pPr>
              <w:jc w:val="center"/>
              <w:rPr>
                <w:rFonts w:ascii="宋体" w:hAnsi="宋体" w:cs="宋体"/>
                <w:sz w:val="24"/>
              </w:rPr>
            </w:pPr>
            <w:r>
              <w:rPr>
                <w:rFonts w:hint="eastAsia" w:ascii="宋体" w:hAnsi="宋体" w:cs="宋体"/>
                <w:sz w:val="24"/>
              </w:rPr>
              <w:t>0</w:t>
            </w:r>
          </w:p>
        </w:tc>
        <w:tc>
          <w:tcPr>
            <w:tcW w:w="2131" w:type="dxa"/>
            <w:vAlign w:val="center"/>
          </w:tcPr>
          <w:p>
            <w:pPr>
              <w:jc w:val="center"/>
              <w:rPr>
                <w:rFonts w:ascii="宋体" w:hAnsi="宋体" w:cs="宋体"/>
                <w:sz w:val="24"/>
              </w:rPr>
            </w:pPr>
            <w:r>
              <w:rPr>
                <w:rFonts w:hint="eastAsia" w:ascii="宋体" w:hAnsi="宋体" w:cs="宋体"/>
                <w:sz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vAlign w:val="center"/>
          </w:tcPr>
          <w:p>
            <w:pPr>
              <w:jc w:val="center"/>
              <w:rPr>
                <w:rFonts w:ascii="宋体" w:hAnsi="宋体" w:cs="宋体"/>
                <w:sz w:val="24"/>
              </w:rPr>
            </w:pPr>
            <w:r>
              <w:rPr>
                <w:rFonts w:hint="eastAsia" w:ascii="宋体" w:hAnsi="宋体" w:cs="宋体"/>
                <w:sz w:val="24"/>
              </w:rPr>
              <w:t>公务用车运行维护费</w:t>
            </w:r>
          </w:p>
        </w:tc>
        <w:tc>
          <w:tcPr>
            <w:tcW w:w="2131" w:type="dxa"/>
            <w:vAlign w:val="center"/>
          </w:tcPr>
          <w:p>
            <w:pPr>
              <w:jc w:val="center"/>
              <w:rPr>
                <w:rFonts w:ascii="宋体" w:hAnsi="宋体" w:cs="宋体"/>
                <w:sz w:val="24"/>
              </w:rPr>
            </w:pPr>
            <w:r>
              <w:rPr>
                <w:rFonts w:hint="eastAsia" w:ascii="宋体" w:hAnsi="宋体" w:cs="宋体"/>
                <w:sz w:val="24"/>
              </w:rPr>
              <w:t>5.7</w:t>
            </w:r>
          </w:p>
        </w:tc>
        <w:tc>
          <w:tcPr>
            <w:tcW w:w="2130" w:type="dxa"/>
            <w:vAlign w:val="center"/>
          </w:tcPr>
          <w:p>
            <w:pPr>
              <w:jc w:val="center"/>
              <w:rPr>
                <w:rFonts w:ascii="宋体" w:hAnsi="宋体" w:cs="宋体"/>
                <w:sz w:val="24"/>
              </w:rPr>
            </w:pPr>
            <w:r>
              <w:rPr>
                <w:rFonts w:hint="eastAsia" w:ascii="宋体" w:hAnsi="宋体" w:cs="宋体"/>
                <w:sz w:val="24"/>
              </w:rPr>
              <w:t>2.3</w:t>
            </w:r>
          </w:p>
        </w:tc>
        <w:tc>
          <w:tcPr>
            <w:tcW w:w="2131" w:type="dxa"/>
            <w:vAlign w:val="center"/>
          </w:tcPr>
          <w:p>
            <w:pPr>
              <w:jc w:val="center"/>
              <w:rPr>
                <w:rFonts w:ascii="宋体" w:hAnsi="宋体" w:cs="宋体"/>
                <w:sz w:val="24"/>
              </w:rPr>
            </w:pPr>
            <w:r>
              <w:rPr>
                <w:rFonts w:hint="eastAsia" w:ascii="宋体" w:hAnsi="宋体" w:cs="宋体"/>
                <w:sz w:val="24"/>
              </w:rPr>
              <w:t>-3.4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2130" w:type="dxa"/>
            <w:vAlign w:val="center"/>
          </w:tcPr>
          <w:p>
            <w:pPr>
              <w:jc w:val="center"/>
              <w:rPr>
                <w:rFonts w:ascii="宋体" w:hAnsi="宋体" w:cs="宋体"/>
                <w:sz w:val="24"/>
              </w:rPr>
            </w:pPr>
            <w:r>
              <w:rPr>
                <w:rFonts w:hint="eastAsia" w:ascii="宋体" w:hAnsi="宋体" w:cs="宋体"/>
                <w:sz w:val="24"/>
              </w:rPr>
              <w:t>公务接待费</w:t>
            </w:r>
          </w:p>
        </w:tc>
        <w:tc>
          <w:tcPr>
            <w:tcW w:w="2131" w:type="dxa"/>
            <w:vAlign w:val="center"/>
          </w:tcPr>
          <w:p>
            <w:pPr>
              <w:jc w:val="center"/>
              <w:rPr>
                <w:rFonts w:ascii="宋体" w:hAnsi="宋体" w:cs="宋体"/>
                <w:sz w:val="24"/>
              </w:rPr>
            </w:pPr>
            <w:r>
              <w:rPr>
                <w:rFonts w:hint="eastAsia" w:ascii="宋体" w:hAnsi="宋体" w:cs="宋体"/>
                <w:sz w:val="24"/>
              </w:rPr>
              <w:t>0</w:t>
            </w:r>
          </w:p>
        </w:tc>
        <w:tc>
          <w:tcPr>
            <w:tcW w:w="2130" w:type="dxa"/>
            <w:vAlign w:val="center"/>
          </w:tcPr>
          <w:p>
            <w:pPr>
              <w:jc w:val="center"/>
              <w:rPr>
                <w:rFonts w:ascii="宋体" w:hAnsi="宋体" w:cs="宋体"/>
                <w:sz w:val="24"/>
              </w:rPr>
            </w:pPr>
            <w:r>
              <w:rPr>
                <w:rFonts w:hint="eastAsia" w:ascii="宋体" w:hAnsi="宋体" w:cs="宋体"/>
                <w:sz w:val="24"/>
              </w:rPr>
              <w:t>0</w:t>
            </w:r>
          </w:p>
        </w:tc>
        <w:tc>
          <w:tcPr>
            <w:tcW w:w="2131" w:type="dxa"/>
            <w:vAlign w:val="center"/>
          </w:tcPr>
          <w:p>
            <w:pPr>
              <w:jc w:val="center"/>
              <w:rPr>
                <w:rFonts w:ascii="宋体" w:hAnsi="宋体" w:cs="宋体"/>
                <w:sz w:val="24"/>
              </w:rPr>
            </w:pPr>
            <w:r>
              <w:rPr>
                <w:rFonts w:hint="eastAsia" w:ascii="宋体" w:hAnsi="宋体" w:cs="宋体"/>
                <w:sz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vAlign w:val="center"/>
          </w:tcPr>
          <w:p>
            <w:pPr>
              <w:jc w:val="center"/>
              <w:rPr>
                <w:rFonts w:ascii="宋体" w:hAnsi="宋体" w:cs="宋体"/>
                <w:sz w:val="24"/>
              </w:rPr>
            </w:pPr>
            <w:r>
              <w:rPr>
                <w:rFonts w:hint="eastAsia" w:ascii="宋体" w:hAnsi="宋体" w:cs="宋体"/>
                <w:sz w:val="24"/>
              </w:rPr>
              <w:t>合计</w:t>
            </w:r>
          </w:p>
        </w:tc>
        <w:tc>
          <w:tcPr>
            <w:tcW w:w="2131" w:type="dxa"/>
            <w:vAlign w:val="center"/>
          </w:tcPr>
          <w:p>
            <w:pPr>
              <w:jc w:val="center"/>
              <w:rPr>
                <w:rFonts w:ascii="宋体" w:hAnsi="宋体" w:cs="宋体"/>
                <w:sz w:val="24"/>
              </w:rPr>
            </w:pPr>
            <w:r>
              <w:rPr>
                <w:rFonts w:hint="eastAsia" w:ascii="宋体" w:hAnsi="宋体" w:cs="宋体"/>
                <w:sz w:val="24"/>
              </w:rPr>
              <w:t>5.7</w:t>
            </w:r>
          </w:p>
        </w:tc>
        <w:tc>
          <w:tcPr>
            <w:tcW w:w="2130" w:type="dxa"/>
            <w:vAlign w:val="center"/>
          </w:tcPr>
          <w:p>
            <w:pPr>
              <w:jc w:val="center"/>
              <w:rPr>
                <w:rFonts w:ascii="宋体" w:hAnsi="宋体" w:cs="宋体"/>
                <w:sz w:val="24"/>
              </w:rPr>
            </w:pPr>
            <w:r>
              <w:rPr>
                <w:rFonts w:hint="eastAsia" w:ascii="宋体" w:hAnsi="宋体" w:cs="宋体"/>
                <w:sz w:val="24"/>
              </w:rPr>
              <w:t>2.3</w:t>
            </w:r>
          </w:p>
        </w:tc>
        <w:tc>
          <w:tcPr>
            <w:tcW w:w="2131" w:type="dxa"/>
            <w:vAlign w:val="center"/>
          </w:tcPr>
          <w:p>
            <w:pPr>
              <w:jc w:val="center"/>
              <w:rPr>
                <w:rFonts w:ascii="宋体" w:hAnsi="宋体" w:cs="宋体"/>
                <w:sz w:val="24"/>
              </w:rPr>
            </w:pPr>
            <w:r>
              <w:rPr>
                <w:rFonts w:hint="eastAsia" w:ascii="宋体" w:hAnsi="宋体" w:cs="宋体"/>
                <w:sz w:val="24"/>
              </w:rPr>
              <w:t>-3.4</w:t>
            </w:r>
          </w:p>
        </w:tc>
      </w:tr>
    </w:tbl>
    <w:p>
      <w:pPr>
        <w:adjustRightInd w:val="0"/>
        <w:snapToGrid w:val="0"/>
        <w:spacing w:after="0" w:line="560" w:lineRule="exact"/>
        <w:ind w:firstLine="640" w:firstLineChars="200"/>
        <w:rPr>
          <w:rFonts w:ascii="宋体" w:hAnsi="宋体" w:cs="宋体"/>
          <w:sz w:val="32"/>
          <w:szCs w:val="32"/>
        </w:rPr>
      </w:pPr>
    </w:p>
    <w:p>
      <w:pPr>
        <w:adjustRightInd w:val="0"/>
        <w:snapToGrid w:val="0"/>
        <w:spacing w:after="0" w:line="560" w:lineRule="exact"/>
        <w:ind w:firstLine="640" w:firstLineChars="200"/>
        <w:rPr>
          <w:rFonts w:ascii="宋体" w:hAnsi="宋体" w:cs="宋体"/>
          <w:sz w:val="32"/>
          <w:szCs w:val="32"/>
        </w:rPr>
      </w:pPr>
      <w:r>
        <w:rPr>
          <w:rFonts w:hint="eastAsia" w:ascii="宋体" w:hAnsi="宋体" w:cs="宋体"/>
          <w:sz w:val="32"/>
          <w:szCs w:val="32"/>
        </w:rPr>
        <w:t>具体情况如下：</w:t>
      </w:r>
    </w:p>
    <w:p>
      <w:pPr>
        <w:adjustRightInd w:val="0"/>
        <w:snapToGrid w:val="0"/>
        <w:spacing w:after="0" w:line="560" w:lineRule="exact"/>
        <w:ind w:firstLine="643" w:firstLineChars="200"/>
        <w:rPr>
          <w:rFonts w:ascii="仿宋_GB2312" w:hAnsi="仿宋_GB2312" w:eastAsia="仿宋_GB2312" w:cs="仿宋_GB2312"/>
          <w:sz w:val="32"/>
          <w:szCs w:val="32"/>
        </w:rPr>
      </w:pPr>
      <w:r>
        <w:rPr>
          <w:rFonts w:hint="eastAsia" w:ascii="楷体" w:hAnsi="楷体" w:eastAsia="楷体" w:cs="楷体"/>
          <w:b/>
          <w:bCs/>
          <w:sz w:val="32"/>
          <w:szCs w:val="32"/>
        </w:rPr>
        <w:t>（一）因公出国（境）费支出0万元</w:t>
      </w:r>
      <w:r>
        <w:rPr>
          <w:rFonts w:hint="eastAsia" w:ascii="宋体" w:hAnsi="宋体" w:cs="宋体"/>
          <w:b/>
          <w:bCs/>
          <w:sz w:val="32"/>
          <w:szCs w:val="32"/>
        </w:rPr>
        <w:t>。</w:t>
      </w:r>
      <w:r>
        <w:rPr>
          <w:rFonts w:hint="eastAsia" w:ascii="仿宋_GB2312" w:hAnsi="仿宋_GB2312" w:eastAsia="仿宋_GB2312" w:cs="仿宋_GB2312"/>
          <w:sz w:val="32"/>
          <w:szCs w:val="32"/>
        </w:rPr>
        <w:t>本部门2017年度</w:t>
      </w:r>
      <w:r>
        <w:rPr>
          <w:rFonts w:hint="eastAsia" w:ascii="仿宋_GB2312" w:hAnsi="仿宋_GB2312" w:eastAsia="仿宋_GB2312" w:cs="仿宋_GB2312"/>
          <w:color w:val="000000"/>
          <w:sz w:val="32"/>
          <w:szCs w:val="32"/>
        </w:rPr>
        <w:t>未发生“</w:t>
      </w:r>
      <w:r>
        <w:rPr>
          <w:rFonts w:hint="eastAsia" w:ascii="仿宋_GB2312" w:hAnsi="仿宋_GB2312" w:eastAsia="仿宋_GB2312" w:cs="仿宋_GB2312"/>
          <w:b/>
          <w:bCs/>
          <w:sz w:val="32"/>
          <w:szCs w:val="32"/>
        </w:rPr>
        <w:t>因公出国（境）</w:t>
      </w:r>
      <w:r>
        <w:rPr>
          <w:rFonts w:hint="eastAsia" w:ascii="仿宋_GB2312" w:hAnsi="仿宋_GB2312" w:eastAsia="仿宋_GB2312" w:cs="仿宋_GB2312"/>
          <w:color w:val="000000"/>
          <w:sz w:val="32"/>
          <w:szCs w:val="32"/>
        </w:rPr>
        <w:t>”经费支出”、“较年初预算无增减变化”、“较2016年度决算无增减变化”。</w:t>
      </w:r>
    </w:p>
    <w:p>
      <w:pPr>
        <w:ind w:firstLine="640"/>
        <w:rPr>
          <w:rFonts w:ascii="仿宋_GB2312" w:hAnsi="仿宋_GB2312" w:eastAsia="仿宋_GB2312" w:cs="仿宋_GB2312"/>
          <w:sz w:val="32"/>
          <w:szCs w:val="32"/>
        </w:rPr>
      </w:pPr>
      <w:r>
        <w:rPr>
          <w:rFonts w:hint="eastAsia" w:ascii="楷体" w:hAnsi="楷体" w:eastAsia="楷体" w:cs="楷体"/>
          <w:b/>
          <w:bCs/>
          <w:sz w:val="32"/>
          <w:szCs w:val="32"/>
        </w:rPr>
        <w:t>（二）公务用车购置及运行维护费支出2.3万元。</w:t>
      </w:r>
      <w:r>
        <w:rPr>
          <w:rFonts w:hint="eastAsia" w:ascii="仿宋_GB2312" w:hAnsi="仿宋_GB2312" w:eastAsia="仿宋_GB2312" w:cs="仿宋_GB2312"/>
          <w:sz w:val="32"/>
          <w:szCs w:val="32"/>
        </w:rPr>
        <w:t>本部门2017年度公务用车购置及运行维护费较年初预算减少0.7万元，降低23.33%，主要是响应上级要求，减少“三公”经费支出；较2016年度决算减少3.4万元，降低59.65%，主要是响应上级要求，减少“三公”经费支出，公车保有量1辆，其他用车保有量2辆。</w:t>
      </w:r>
    </w:p>
    <w:p>
      <w:pPr>
        <w:adjustRightInd w:val="0"/>
        <w:snapToGrid w:val="0"/>
        <w:spacing w:after="0" w:line="560" w:lineRule="exact"/>
        <w:ind w:firstLine="643" w:firstLineChars="200"/>
        <w:rPr>
          <w:rFonts w:ascii="仿宋_GB2312" w:hAnsi="仿宋_GB2312" w:eastAsia="仿宋_GB2312" w:cs="仿宋_GB2312"/>
          <w:sz w:val="32"/>
          <w:szCs w:val="32"/>
        </w:rPr>
      </w:pPr>
      <w:r>
        <w:rPr>
          <w:rFonts w:hint="eastAsia" w:ascii="仿宋" w:hAnsi="仿宋" w:eastAsia="仿宋" w:cs="仿宋"/>
          <w:b/>
          <w:sz w:val="32"/>
          <w:szCs w:val="32"/>
        </w:rPr>
        <w:t>公务用车购置费：</w:t>
      </w:r>
      <w:r>
        <w:rPr>
          <w:rFonts w:hint="eastAsia" w:ascii="仿宋_GB2312" w:hAnsi="仿宋_GB2312" w:eastAsia="仿宋_GB2312" w:cs="仿宋_GB2312"/>
          <w:sz w:val="32"/>
          <w:szCs w:val="32"/>
        </w:rPr>
        <w:t>本部门2017年度</w:t>
      </w:r>
      <w:r>
        <w:rPr>
          <w:rFonts w:hint="eastAsia" w:ascii="仿宋_GB2312" w:hAnsi="仿宋_GB2312" w:eastAsia="仿宋_GB2312" w:cs="仿宋_GB2312"/>
          <w:color w:val="000000"/>
          <w:sz w:val="32"/>
          <w:szCs w:val="32"/>
        </w:rPr>
        <w:t>未发生“公务用车购置”经费支出”、“较年初预算无增减变化。”、“较2016年度决算减少。”</w:t>
      </w:r>
    </w:p>
    <w:p>
      <w:pPr>
        <w:ind w:firstLine="640"/>
        <w:rPr>
          <w:rFonts w:ascii="仿宋_GB2312" w:hAnsi="仿宋_GB2312" w:eastAsia="仿宋_GB2312" w:cs="仿宋_GB2312"/>
          <w:sz w:val="32"/>
          <w:szCs w:val="32"/>
        </w:rPr>
      </w:pPr>
      <w:r>
        <w:rPr>
          <w:rFonts w:hint="eastAsia" w:ascii="仿宋" w:hAnsi="仿宋" w:eastAsia="仿宋" w:cs="仿宋"/>
          <w:b/>
          <w:sz w:val="32"/>
          <w:szCs w:val="32"/>
        </w:rPr>
        <w:t>公务用车运行维护费：</w:t>
      </w:r>
      <w:r>
        <w:rPr>
          <w:rFonts w:hint="eastAsia" w:ascii="仿宋_GB2312" w:hAnsi="仿宋_GB2312" w:eastAsia="仿宋_GB2312" w:cs="仿宋_GB2312"/>
          <w:sz w:val="32"/>
          <w:szCs w:val="32"/>
        </w:rPr>
        <w:t>本部门2017年度公务用车购置及运行维护费较年初预算减少0.7万元，降低23.33%，主要是响应上级要求，减少“三公”经费支出。；较2016年度决算减少3.4万元，降低59.65%，主要是响应上级要求，减少“三公”经费支出。</w:t>
      </w:r>
    </w:p>
    <w:p>
      <w:pPr>
        <w:numPr>
          <w:ilvl w:val="0"/>
          <w:numId w:val="3"/>
        </w:numPr>
        <w:adjustRightInd w:val="0"/>
        <w:snapToGrid w:val="0"/>
        <w:spacing w:after="0" w:line="560" w:lineRule="exact"/>
        <w:ind w:firstLine="643" w:firstLineChars="200"/>
        <w:rPr>
          <w:rFonts w:ascii="仿宋_GB2312" w:hAnsi="仿宋_GB2312" w:eastAsia="仿宋_GB2312" w:cs="仿宋_GB2312"/>
          <w:sz w:val="32"/>
          <w:szCs w:val="32"/>
        </w:rPr>
      </w:pPr>
      <w:r>
        <w:rPr>
          <w:rFonts w:hint="eastAsia" w:ascii="楷体" w:hAnsi="楷体" w:eastAsia="楷体" w:cs="楷体"/>
          <w:b/>
          <w:bCs/>
          <w:sz w:val="32"/>
          <w:szCs w:val="32"/>
        </w:rPr>
        <w:t>公务接待费支出0万元</w:t>
      </w:r>
      <w:r>
        <w:rPr>
          <w:rFonts w:hint="eastAsia" w:ascii="宋体" w:hAnsi="宋体" w:cs="宋体"/>
          <w:b/>
          <w:bCs/>
          <w:sz w:val="32"/>
          <w:szCs w:val="32"/>
        </w:rPr>
        <w:t>。</w:t>
      </w:r>
      <w:r>
        <w:rPr>
          <w:rFonts w:hint="eastAsia" w:ascii="仿宋_GB2312" w:hAnsi="仿宋_GB2312" w:eastAsia="仿宋_GB2312" w:cs="仿宋_GB2312"/>
          <w:sz w:val="32"/>
          <w:szCs w:val="32"/>
        </w:rPr>
        <w:t>本部门2017年度</w:t>
      </w:r>
      <w:r>
        <w:rPr>
          <w:rFonts w:hint="eastAsia" w:ascii="仿宋_GB2312" w:hAnsi="仿宋_GB2312" w:eastAsia="仿宋_GB2312" w:cs="仿宋_GB2312"/>
          <w:color w:val="000000"/>
          <w:sz w:val="32"/>
          <w:szCs w:val="32"/>
        </w:rPr>
        <w:t>未发生“</w:t>
      </w:r>
      <w:r>
        <w:rPr>
          <w:rFonts w:hint="eastAsia" w:ascii="仿宋_GB2312" w:hAnsi="仿宋_GB2312" w:eastAsia="仿宋_GB2312" w:cs="仿宋_GB2312"/>
          <w:b/>
          <w:bCs/>
          <w:sz w:val="32"/>
          <w:szCs w:val="32"/>
        </w:rPr>
        <w:t>公务接待</w:t>
      </w:r>
      <w:r>
        <w:rPr>
          <w:rFonts w:hint="eastAsia" w:ascii="仿宋_GB2312" w:hAnsi="仿宋_GB2312" w:eastAsia="仿宋_GB2312" w:cs="仿宋_GB2312"/>
          <w:color w:val="000000"/>
          <w:sz w:val="32"/>
          <w:szCs w:val="32"/>
        </w:rPr>
        <w:t>”经费支出”、“较年初预算无增减变化。”“较2016年度决算无增减变化。”</w:t>
      </w:r>
      <w:r>
        <w:rPr>
          <w:rFonts w:hint="eastAsia" w:ascii="仿宋_GB2312" w:hAnsi="仿宋_GB2312" w:eastAsia="仿宋_GB2312" w:cs="仿宋_GB2312"/>
          <w:sz w:val="32"/>
          <w:szCs w:val="32"/>
        </w:rPr>
        <w:t>。</w:t>
      </w:r>
    </w:p>
    <w:p>
      <w:pPr>
        <w:rPr>
          <w:rFonts w:ascii="宋体" w:hAnsi="宋体" w:cs="宋体"/>
          <w:b/>
          <w:sz w:val="32"/>
          <w:szCs w:val="32"/>
        </w:rPr>
      </w:pPr>
      <w:r>
        <w:rPr>
          <w:rFonts w:hint="eastAsia" w:ascii="宋体" w:hAnsi="宋体" w:cs="宋体"/>
          <w:b/>
          <w:sz w:val="32"/>
          <w:szCs w:val="32"/>
        </w:rPr>
        <w:t>2017年度“ 三公” 经费支出预决算对比明细表</w:t>
      </w:r>
    </w:p>
    <w:p>
      <w:pPr>
        <w:jc w:val="right"/>
        <w:rPr>
          <w:rFonts w:ascii="宋体" w:hAnsi="宋体" w:cs="宋体"/>
          <w:sz w:val="28"/>
          <w:szCs w:val="28"/>
        </w:rPr>
      </w:pPr>
      <w:r>
        <w:rPr>
          <w:rFonts w:hint="eastAsia" w:ascii="宋体" w:hAnsi="宋体" w:cs="宋体"/>
          <w:sz w:val="28"/>
          <w:szCs w:val="28"/>
        </w:rPr>
        <w:t>单位：万元</w:t>
      </w:r>
    </w:p>
    <w:tbl>
      <w:tblPr>
        <w:tblStyle w:val="10"/>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30"/>
        <w:gridCol w:w="2131"/>
        <w:gridCol w:w="2130"/>
        <w:gridCol w:w="213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vAlign w:val="center"/>
          </w:tcPr>
          <w:p>
            <w:pPr>
              <w:jc w:val="center"/>
              <w:rPr>
                <w:rFonts w:ascii="仿宋" w:hAnsi="仿宋" w:eastAsia="仿宋" w:cs="仿宋"/>
                <w:sz w:val="24"/>
              </w:rPr>
            </w:pPr>
            <w:r>
              <w:rPr>
                <w:rFonts w:hint="eastAsia" w:ascii="仿宋" w:hAnsi="仿宋" w:eastAsia="仿宋" w:cs="仿宋"/>
                <w:sz w:val="24"/>
              </w:rPr>
              <w:t>“ 三公” 经费</w:t>
            </w:r>
          </w:p>
        </w:tc>
        <w:tc>
          <w:tcPr>
            <w:tcW w:w="2131" w:type="dxa"/>
            <w:vAlign w:val="center"/>
          </w:tcPr>
          <w:p>
            <w:pPr>
              <w:jc w:val="center"/>
              <w:rPr>
                <w:rFonts w:ascii="仿宋" w:hAnsi="仿宋" w:eastAsia="仿宋" w:cs="仿宋"/>
                <w:b/>
                <w:sz w:val="24"/>
              </w:rPr>
            </w:pPr>
            <w:r>
              <w:rPr>
                <w:rFonts w:hint="eastAsia" w:ascii="仿宋" w:hAnsi="仿宋" w:eastAsia="仿宋" w:cs="仿宋"/>
                <w:sz w:val="24"/>
              </w:rPr>
              <w:t>2017年实际支出</w:t>
            </w:r>
          </w:p>
        </w:tc>
        <w:tc>
          <w:tcPr>
            <w:tcW w:w="2130" w:type="dxa"/>
            <w:vAlign w:val="center"/>
          </w:tcPr>
          <w:p>
            <w:pPr>
              <w:jc w:val="center"/>
              <w:rPr>
                <w:rFonts w:ascii="仿宋" w:hAnsi="仿宋" w:eastAsia="仿宋" w:cs="仿宋"/>
                <w:sz w:val="24"/>
              </w:rPr>
            </w:pPr>
            <w:r>
              <w:rPr>
                <w:rFonts w:hint="eastAsia" w:ascii="仿宋" w:hAnsi="仿宋" w:eastAsia="仿宋" w:cs="仿宋"/>
                <w:sz w:val="24"/>
              </w:rPr>
              <w:t>2017年预算</w:t>
            </w:r>
          </w:p>
        </w:tc>
        <w:tc>
          <w:tcPr>
            <w:tcW w:w="2131" w:type="dxa"/>
            <w:vAlign w:val="center"/>
          </w:tcPr>
          <w:p>
            <w:pPr>
              <w:jc w:val="center"/>
              <w:rPr>
                <w:rFonts w:ascii="仿宋" w:hAnsi="仿宋" w:eastAsia="仿宋" w:cs="仿宋"/>
                <w:b/>
                <w:sz w:val="24"/>
              </w:rPr>
            </w:pPr>
            <w:r>
              <w:rPr>
                <w:rFonts w:hint="eastAsia" w:ascii="仿宋" w:hAnsi="仿宋" w:eastAsia="仿宋" w:cs="仿宋"/>
                <w:sz w:val="24"/>
              </w:rPr>
              <w:t>预决算对比</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0" w:hRule="atLeast"/>
        </w:trPr>
        <w:tc>
          <w:tcPr>
            <w:tcW w:w="2130" w:type="dxa"/>
            <w:vAlign w:val="center"/>
          </w:tcPr>
          <w:p>
            <w:pPr>
              <w:jc w:val="center"/>
              <w:rPr>
                <w:rFonts w:ascii="仿宋" w:hAnsi="仿宋" w:eastAsia="仿宋" w:cs="仿宋"/>
                <w:sz w:val="24"/>
              </w:rPr>
            </w:pPr>
            <w:r>
              <w:rPr>
                <w:rFonts w:hint="eastAsia" w:ascii="仿宋" w:hAnsi="仿宋" w:eastAsia="仿宋" w:cs="仿宋"/>
                <w:sz w:val="24"/>
              </w:rPr>
              <w:t>因公出国（境）支出</w:t>
            </w:r>
          </w:p>
        </w:tc>
        <w:tc>
          <w:tcPr>
            <w:tcW w:w="2131" w:type="dxa"/>
            <w:vAlign w:val="center"/>
          </w:tcPr>
          <w:p>
            <w:pPr>
              <w:jc w:val="center"/>
              <w:rPr>
                <w:rFonts w:ascii="仿宋" w:hAnsi="仿宋" w:eastAsia="仿宋" w:cs="仿宋"/>
                <w:sz w:val="24"/>
              </w:rPr>
            </w:pPr>
            <w:r>
              <w:rPr>
                <w:rFonts w:hint="eastAsia" w:ascii="仿宋" w:hAnsi="仿宋" w:eastAsia="仿宋" w:cs="仿宋"/>
                <w:sz w:val="24"/>
              </w:rPr>
              <w:t>0</w:t>
            </w:r>
          </w:p>
        </w:tc>
        <w:tc>
          <w:tcPr>
            <w:tcW w:w="2130" w:type="dxa"/>
            <w:vAlign w:val="center"/>
          </w:tcPr>
          <w:p>
            <w:pPr>
              <w:jc w:val="center"/>
              <w:rPr>
                <w:rFonts w:ascii="仿宋" w:hAnsi="仿宋" w:eastAsia="仿宋" w:cs="仿宋"/>
                <w:sz w:val="24"/>
              </w:rPr>
            </w:pPr>
            <w:r>
              <w:rPr>
                <w:rFonts w:hint="eastAsia" w:ascii="仿宋" w:hAnsi="仿宋" w:eastAsia="仿宋" w:cs="仿宋"/>
                <w:sz w:val="24"/>
              </w:rPr>
              <w:t>0</w:t>
            </w:r>
          </w:p>
        </w:tc>
        <w:tc>
          <w:tcPr>
            <w:tcW w:w="2131" w:type="dxa"/>
            <w:vAlign w:val="center"/>
          </w:tcPr>
          <w:p>
            <w:pPr>
              <w:jc w:val="center"/>
              <w:rPr>
                <w:rFonts w:ascii="仿宋" w:hAnsi="仿宋" w:eastAsia="仿宋" w:cs="仿宋"/>
                <w:sz w:val="24"/>
              </w:rPr>
            </w:pPr>
            <w:r>
              <w:rPr>
                <w:rFonts w:hint="eastAsia" w:ascii="仿宋" w:hAnsi="仿宋" w:eastAsia="仿宋" w:cs="仿宋"/>
                <w:sz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vAlign w:val="center"/>
          </w:tcPr>
          <w:p>
            <w:pPr>
              <w:jc w:val="center"/>
              <w:rPr>
                <w:rFonts w:ascii="仿宋" w:hAnsi="仿宋" w:eastAsia="仿宋" w:cs="仿宋"/>
                <w:sz w:val="24"/>
              </w:rPr>
            </w:pPr>
            <w:r>
              <w:rPr>
                <w:rFonts w:hint="eastAsia" w:ascii="仿宋" w:hAnsi="仿宋" w:eastAsia="仿宋" w:cs="仿宋"/>
                <w:sz w:val="24"/>
              </w:rPr>
              <w:t>公务用车运行维护费</w:t>
            </w:r>
          </w:p>
        </w:tc>
        <w:tc>
          <w:tcPr>
            <w:tcW w:w="2131" w:type="dxa"/>
            <w:vAlign w:val="center"/>
          </w:tcPr>
          <w:p>
            <w:pPr>
              <w:jc w:val="center"/>
              <w:rPr>
                <w:rFonts w:ascii="仿宋" w:hAnsi="仿宋" w:eastAsia="仿宋" w:cs="仿宋"/>
                <w:sz w:val="24"/>
              </w:rPr>
            </w:pPr>
            <w:r>
              <w:rPr>
                <w:rFonts w:hint="eastAsia" w:ascii="仿宋" w:hAnsi="仿宋" w:eastAsia="仿宋" w:cs="仿宋"/>
                <w:sz w:val="24"/>
              </w:rPr>
              <w:t>2.3</w:t>
            </w:r>
          </w:p>
        </w:tc>
        <w:tc>
          <w:tcPr>
            <w:tcW w:w="2130" w:type="dxa"/>
            <w:vAlign w:val="center"/>
          </w:tcPr>
          <w:p>
            <w:pPr>
              <w:jc w:val="center"/>
              <w:rPr>
                <w:rFonts w:ascii="仿宋" w:hAnsi="仿宋" w:eastAsia="仿宋" w:cs="仿宋"/>
                <w:sz w:val="24"/>
              </w:rPr>
            </w:pPr>
            <w:r>
              <w:rPr>
                <w:rFonts w:hint="eastAsia" w:ascii="仿宋" w:hAnsi="仿宋" w:eastAsia="仿宋" w:cs="仿宋"/>
                <w:sz w:val="24"/>
              </w:rPr>
              <w:t>3</w:t>
            </w:r>
          </w:p>
        </w:tc>
        <w:tc>
          <w:tcPr>
            <w:tcW w:w="2131" w:type="dxa"/>
            <w:vAlign w:val="center"/>
          </w:tcPr>
          <w:p>
            <w:pPr>
              <w:jc w:val="center"/>
              <w:rPr>
                <w:rFonts w:ascii="仿宋" w:hAnsi="仿宋" w:eastAsia="仿宋" w:cs="仿宋"/>
                <w:sz w:val="24"/>
              </w:rPr>
            </w:pPr>
            <w:r>
              <w:rPr>
                <w:rFonts w:hint="eastAsia" w:ascii="仿宋" w:hAnsi="仿宋" w:eastAsia="仿宋" w:cs="仿宋"/>
                <w:sz w:val="24"/>
              </w:rPr>
              <w:t>-0.7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vAlign w:val="center"/>
          </w:tcPr>
          <w:p>
            <w:pPr>
              <w:jc w:val="center"/>
              <w:rPr>
                <w:rFonts w:ascii="仿宋" w:hAnsi="仿宋" w:eastAsia="仿宋" w:cs="仿宋"/>
                <w:sz w:val="24"/>
              </w:rPr>
            </w:pPr>
            <w:r>
              <w:rPr>
                <w:rFonts w:hint="eastAsia" w:ascii="仿宋" w:hAnsi="仿宋" w:eastAsia="仿宋" w:cs="仿宋"/>
                <w:sz w:val="24"/>
              </w:rPr>
              <w:t>公务接待费</w:t>
            </w:r>
          </w:p>
        </w:tc>
        <w:tc>
          <w:tcPr>
            <w:tcW w:w="2131" w:type="dxa"/>
            <w:vAlign w:val="center"/>
          </w:tcPr>
          <w:p>
            <w:pPr>
              <w:jc w:val="center"/>
              <w:rPr>
                <w:rFonts w:ascii="仿宋" w:hAnsi="仿宋" w:eastAsia="仿宋" w:cs="仿宋"/>
                <w:sz w:val="24"/>
              </w:rPr>
            </w:pPr>
            <w:r>
              <w:rPr>
                <w:rFonts w:hint="eastAsia" w:ascii="仿宋" w:hAnsi="仿宋" w:eastAsia="仿宋" w:cs="仿宋"/>
                <w:sz w:val="24"/>
              </w:rPr>
              <w:t>0</w:t>
            </w:r>
          </w:p>
        </w:tc>
        <w:tc>
          <w:tcPr>
            <w:tcW w:w="2130" w:type="dxa"/>
            <w:vAlign w:val="center"/>
          </w:tcPr>
          <w:p>
            <w:pPr>
              <w:jc w:val="center"/>
              <w:rPr>
                <w:rFonts w:ascii="仿宋" w:hAnsi="仿宋" w:eastAsia="仿宋" w:cs="仿宋"/>
                <w:sz w:val="24"/>
              </w:rPr>
            </w:pPr>
            <w:r>
              <w:rPr>
                <w:rFonts w:hint="eastAsia" w:ascii="仿宋" w:hAnsi="仿宋" w:eastAsia="仿宋" w:cs="仿宋"/>
                <w:sz w:val="24"/>
              </w:rPr>
              <w:t>0</w:t>
            </w:r>
          </w:p>
        </w:tc>
        <w:tc>
          <w:tcPr>
            <w:tcW w:w="2131" w:type="dxa"/>
            <w:vAlign w:val="center"/>
          </w:tcPr>
          <w:p>
            <w:pPr>
              <w:jc w:val="center"/>
              <w:rPr>
                <w:rFonts w:ascii="仿宋" w:hAnsi="仿宋" w:eastAsia="仿宋" w:cs="仿宋"/>
                <w:sz w:val="24"/>
              </w:rPr>
            </w:pPr>
            <w:r>
              <w:rPr>
                <w:rFonts w:hint="eastAsia" w:ascii="仿宋" w:hAnsi="仿宋" w:eastAsia="仿宋" w:cs="仿宋"/>
                <w:sz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vAlign w:val="center"/>
          </w:tcPr>
          <w:p>
            <w:pPr>
              <w:jc w:val="center"/>
              <w:rPr>
                <w:rFonts w:ascii="仿宋" w:hAnsi="仿宋" w:eastAsia="仿宋" w:cs="仿宋"/>
                <w:sz w:val="24"/>
              </w:rPr>
            </w:pPr>
            <w:r>
              <w:rPr>
                <w:rFonts w:hint="eastAsia" w:ascii="仿宋" w:hAnsi="仿宋" w:eastAsia="仿宋" w:cs="仿宋"/>
                <w:sz w:val="24"/>
              </w:rPr>
              <w:t>合计</w:t>
            </w:r>
          </w:p>
        </w:tc>
        <w:tc>
          <w:tcPr>
            <w:tcW w:w="2131" w:type="dxa"/>
            <w:vAlign w:val="center"/>
          </w:tcPr>
          <w:p>
            <w:pPr>
              <w:jc w:val="center"/>
              <w:rPr>
                <w:rFonts w:ascii="仿宋" w:hAnsi="仿宋" w:eastAsia="仿宋" w:cs="仿宋"/>
                <w:sz w:val="24"/>
              </w:rPr>
            </w:pPr>
            <w:r>
              <w:rPr>
                <w:rFonts w:hint="eastAsia" w:ascii="仿宋" w:hAnsi="仿宋" w:eastAsia="仿宋" w:cs="仿宋"/>
                <w:sz w:val="24"/>
              </w:rPr>
              <w:t>2.3</w:t>
            </w:r>
          </w:p>
        </w:tc>
        <w:tc>
          <w:tcPr>
            <w:tcW w:w="2130" w:type="dxa"/>
            <w:vAlign w:val="center"/>
          </w:tcPr>
          <w:p>
            <w:pPr>
              <w:jc w:val="center"/>
              <w:rPr>
                <w:rFonts w:ascii="仿宋" w:hAnsi="仿宋" w:eastAsia="仿宋" w:cs="仿宋"/>
                <w:sz w:val="24"/>
              </w:rPr>
            </w:pPr>
            <w:r>
              <w:rPr>
                <w:rFonts w:hint="eastAsia" w:ascii="仿宋" w:hAnsi="仿宋" w:eastAsia="仿宋" w:cs="仿宋"/>
                <w:sz w:val="24"/>
              </w:rPr>
              <w:t>3</w:t>
            </w:r>
          </w:p>
        </w:tc>
        <w:tc>
          <w:tcPr>
            <w:tcW w:w="2131" w:type="dxa"/>
            <w:vAlign w:val="center"/>
          </w:tcPr>
          <w:p>
            <w:pPr>
              <w:jc w:val="center"/>
              <w:rPr>
                <w:rFonts w:ascii="仿宋" w:hAnsi="仿宋" w:eastAsia="仿宋" w:cs="仿宋"/>
                <w:sz w:val="24"/>
              </w:rPr>
            </w:pPr>
            <w:r>
              <w:rPr>
                <w:rFonts w:hint="eastAsia" w:ascii="仿宋" w:hAnsi="仿宋" w:eastAsia="仿宋" w:cs="仿宋"/>
                <w:sz w:val="24"/>
              </w:rPr>
              <w:t>-0.7</w:t>
            </w:r>
          </w:p>
        </w:tc>
      </w:tr>
    </w:tbl>
    <w:p>
      <w:pPr>
        <w:adjustRightInd w:val="0"/>
        <w:snapToGrid w:val="0"/>
        <w:spacing w:after="0" w:line="560" w:lineRule="exact"/>
        <w:rPr>
          <w:rFonts w:ascii="宋体" w:hAnsi="宋体" w:cs="宋体"/>
          <w:sz w:val="32"/>
          <w:szCs w:val="32"/>
        </w:rPr>
      </w:pPr>
    </w:p>
    <w:p>
      <w:pPr>
        <w:pStyle w:val="3"/>
        <w:spacing w:before="0" w:after="0" w:line="560" w:lineRule="exact"/>
        <w:ind w:firstLine="643" w:firstLineChars="200"/>
        <w:rPr>
          <w:rFonts w:ascii="黑体" w:hAnsi="黑体" w:eastAsia="黑体"/>
        </w:rPr>
      </w:pPr>
      <w:r>
        <w:rPr>
          <w:rFonts w:hint="eastAsia" w:ascii="黑体" w:hAnsi="黑体" w:eastAsia="黑体"/>
        </w:rPr>
        <w:t>六、绩效预算</w:t>
      </w:r>
      <w:r>
        <w:rPr>
          <w:rFonts w:hint="eastAsia" w:ascii="黑体" w:hAnsi="黑体" w:eastAsia="黑体"/>
          <w:kern w:val="0"/>
        </w:rPr>
        <w:t>管理</w:t>
      </w:r>
      <w:r>
        <w:rPr>
          <w:rFonts w:hint="eastAsia" w:ascii="黑体" w:hAnsi="黑体" w:eastAsia="黑体"/>
        </w:rPr>
        <w:t>工作开展情况说明</w:t>
      </w:r>
    </w:p>
    <w:p>
      <w:pPr>
        <w:ind w:firstLine="720" w:firstLineChars="225"/>
        <w:rPr>
          <w:rFonts w:ascii="仿宋_GB2312" w:eastAsia="仿宋_GB2312" w:cs="DengXian-Regular"/>
          <w:sz w:val="32"/>
          <w:szCs w:val="32"/>
        </w:rPr>
      </w:pPr>
      <w:r>
        <w:rPr>
          <w:rFonts w:hint="eastAsia" w:ascii="仿宋_GB2312" w:eastAsia="仿宋_GB2312" w:cs="DengXian-Regular"/>
          <w:sz w:val="32"/>
          <w:szCs w:val="32"/>
        </w:rPr>
        <w:t>（一）绩效管理工作开展情况。根据绩效预算管理改革督察要求，本单位认真开展了预算绩效管理改革开展情况自查，对部门全面规范绩效预算编制、严格预算执行管理、推进绩效评价工作、推进预决算信息公开等方面进行了自评，考核结果为良好。</w:t>
      </w:r>
    </w:p>
    <w:p>
      <w:pPr>
        <w:ind w:firstLine="720" w:firstLineChars="225"/>
        <w:rPr>
          <w:rFonts w:ascii="仿宋_GB2312" w:eastAsia="仿宋_GB2312" w:cs="DengXian-Regular"/>
          <w:sz w:val="32"/>
          <w:szCs w:val="32"/>
        </w:rPr>
      </w:pPr>
      <w:r>
        <w:rPr>
          <w:rFonts w:hint="eastAsia" w:ascii="仿宋_GB2312" w:eastAsia="仿宋_GB2312" w:cs="DengXian-Regular"/>
          <w:sz w:val="32"/>
          <w:szCs w:val="32"/>
        </w:rPr>
        <w:t>（二）预算项目绩效评价开展情况</w:t>
      </w:r>
    </w:p>
    <w:p>
      <w:pPr>
        <w:rPr>
          <w:rFonts w:ascii="宋体" w:hAnsi="宋体" w:cs="Arial"/>
          <w:color w:val="000000"/>
          <w:kern w:val="0"/>
          <w:sz w:val="22"/>
          <w:szCs w:val="22"/>
        </w:rPr>
      </w:pPr>
      <w:r>
        <w:rPr>
          <w:rFonts w:hint="eastAsia" w:ascii="仿宋_GB2312" w:eastAsia="仿宋_GB2312" w:cs="DengXian-Regular"/>
          <w:sz w:val="32"/>
          <w:szCs w:val="32"/>
        </w:rPr>
        <w:t>根据预算绩效管理要求，本单位组织对2017年度一般公共预算项目支出开展绩效自评，涉及</w:t>
      </w:r>
      <w:r>
        <w:rPr>
          <w:rFonts w:hint="eastAsia" w:ascii="仿宋_GB2312" w:hAnsi="宋体" w:eastAsia="仿宋_GB2312" w:cs="Arial"/>
          <w:color w:val="000000"/>
          <w:kern w:val="0"/>
          <w:sz w:val="32"/>
          <w:szCs w:val="32"/>
        </w:rPr>
        <w:t>郝庄乡黄台村修路资金、郝庄乡乡中建设资金、厢体制造聚集区资金、乡村环境卫生整治资金、装备厢体制造产业聚集区</w:t>
      </w:r>
      <w:r>
        <w:rPr>
          <w:rFonts w:hint="eastAsia" w:ascii="仿宋_GB2312" w:eastAsia="仿宋_GB2312" w:cs="DengXian-Regular"/>
          <w:sz w:val="32"/>
          <w:szCs w:val="32"/>
        </w:rPr>
        <w:t>五个项目，涉及资金</w:t>
      </w:r>
      <w:r>
        <w:rPr>
          <w:rFonts w:hint="eastAsia" w:ascii="仿宋_GB2312" w:hAnsi="宋体" w:eastAsia="仿宋_GB2312" w:cs="Arial"/>
          <w:color w:val="000000"/>
          <w:kern w:val="0"/>
          <w:sz w:val="32"/>
          <w:szCs w:val="32"/>
        </w:rPr>
        <w:t>510.05</w:t>
      </w:r>
      <w:r>
        <w:rPr>
          <w:rFonts w:hint="eastAsia" w:ascii="仿宋_GB2312" w:eastAsia="仿宋_GB2312" w:cs="DengXian-Regular"/>
          <w:sz w:val="32"/>
          <w:szCs w:val="32"/>
        </w:rPr>
        <w:t>万元，自评结果为优秀的四个，自评结果为良好的一个。</w:t>
      </w:r>
    </w:p>
    <w:p>
      <w:pPr>
        <w:ind w:firstLine="720" w:firstLineChars="225"/>
        <w:rPr>
          <w:rFonts w:ascii="仿宋_GB2312" w:eastAsia="仿宋_GB2312" w:cs="DengXian-Regular"/>
          <w:sz w:val="32"/>
          <w:szCs w:val="32"/>
        </w:rPr>
      </w:pPr>
      <w:r>
        <w:rPr>
          <w:rFonts w:hint="eastAsia" w:ascii="仿宋_GB2312" w:eastAsia="仿宋_GB2312" w:cs="DengXian-Regular"/>
          <w:sz w:val="32"/>
          <w:szCs w:val="32"/>
        </w:rPr>
        <w:t>（三）预算项目绩效自评选例</w:t>
      </w:r>
    </w:p>
    <w:p>
      <w:pPr>
        <w:ind w:firstLine="720" w:firstLineChars="225"/>
        <w:rPr>
          <w:rFonts w:ascii="仿宋_GB2312" w:eastAsia="仿宋_GB2312" w:cs="DengXian-Regular"/>
          <w:sz w:val="32"/>
          <w:szCs w:val="32"/>
        </w:rPr>
      </w:pPr>
      <w:r>
        <w:rPr>
          <w:rFonts w:hint="eastAsia" w:ascii="仿宋_GB2312" w:eastAsia="仿宋_GB2312" w:cs="DengXian-Regular"/>
          <w:sz w:val="32"/>
          <w:szCs w:val="32"/>
        </w:rPr>
        <w:t>    本单位绩效自评：根据年初设定的绩效目标，</w:t>
      </w:r>
      <w:r>
        <w:rPr>
          <w:rFonts w:hint="eastAsia" w:ascii="仿宋_GB2312" w:hAnsi="宋体" w:eastAsia="仿宋_GB2312" w:cs="Arial"/>
          <w:color w:val="000000"/>
          <w:kern w:val="0"/>
          <w:sz w:val="32"/>
          <w:szCs w:val="32"/>
        </w:rPr>
        <w:t>黄台村修路</w:t>
      </w:r>
      <w:r>
        <w:rPr>
          <w:rFonts w:hint="eastAsia" w:ascii="仿宋_GB2312" w:eastAsia="仿宋_GB2312" w:cs="DengXian-Regular"/>
          <w:sz w:val="32"/>
          <w:szCs w:val="32"/>
        </w:rPr>
        <w:t>项目自评结果为优秀。项目全年预算数为30万元，完成预算的100%。本单位</w:t>
      </w:r>
      <w:r>
        <w:rPr>
          <w:rFonts w:hint="eastAsia" w:ascii="仿宋_GB2312" w:hAnsi="宋体" w:eastAsia="仿宋_GB2312" w:cs="Arial"/>
          <w:color w:val="000000"/>
          <w:kern w:val="0"/>
          <w:sz w:val="32"/>
          <w:szCs w:val="32"/>
        </w:rPr>
        <w:t>郝庄乡乡中建设</w:t>
      </w:r>
      <w:r>
        <w:rPr>
          <w:rFonts w:hint="eastAsia" w:ascii="仿宋_GB2312" w:eastAsia="仿宋_GB2312" w:cs="DengXian-Regular"/>
          <w:sz w:val="32"/>
          <w:szCs w:val="32"/>
        </w:rPr>
        <w:t>项目绩效自评：根据年初设定的绩效目标，</w:t>
      </w:r>
      <w:r>
        <w:rPr>
          <w:rFonts w:hint="eastAsia" w:ascii="仿宋_GB2312" w:hAnsi="宋体" w:eastAsia="仿宋_GB2312" w:cs="Arial"/>
          <w:color w:val="000000"/>
          <w:kern w:val="0"/>
          <w:sz w:val="32"/>
          <w:szCs w:val="32"/>
        </w:rPr>
        <w:t>郝庄乡乡中建设</w:t>
      </w:r>
      <w:r>
        <w:rPr>
          <w:rFonts w:hint="eastAsia" w:ascii="仿宋_GB2312" w:eastAsia="仿宋_GB2312" w:cs="DengXian-Regular"/>
          <w:sz w:val="32"/>
          <w:szCs w:val="32"/>
        </w:rPr>
        <w:t>项目自评结果为优秀。项目全年预算数为53万元。执行数53万元，完成预算的100%。</w:t>
      </w:r>
    </w:p>
    <w:p>
      <w:pPr>
        <w:ind w:firstLine="720" w:firstLineChars="225"/>
        <w:rPr>
          <w:rFonts w:ascii="仿宋_GB2312" w:eastAsia="仿宋_GB2312" w:cs="DengXian-Regular"/>
          <w:sz w:val="32"/>
          <w:szCs w:val="32"/>
        </w:rPr>
      </w:pPr>
    </w:p>
    <w:p>
      <w:pPr>
        <w:pStyle w:val="3"/>
        <w:spacing w:before="0" w:after="0" w:line="560" w:lineRule="exact"/>
        <w:ind w:firstLine="643" w:firstLineChars="200"/>
        <w:rPr>
          <w:rFonts w:ascii="黑体" w:hAnsi="黑体" w:eastAsia="黑体"/>
        </w:rPr>
      </w:pPr>
      <w:r>
        <w:rPr>
          <w:rFonts w:hint="eastAsia" w:ascii="黑体" w:hAnsi="黑体" w:eastAsia="黑体"/>
        </w:rPr>
        <w:t>七、其他重要事项的说明</w:t>
      </w:r>
    </w:p>
    <w:p>
      <w:pPr>
        <w:pStyle w:val="4"/>
        <w:spacing w:before="0" w:after="0" w:line="560" w:lineRule="exact"/>
        <w:ind w:firstLine="643" w:firstLineChars="200"/>
        <w:rPr>
          <w:rFonts w:ascii="楷体" w:hAnsi="楷体" w:eastAsia="楷体" w:cs="楷体"/>
        </w:rPr>
      </w:pPr>
      <w:r>
        <w:rPr>
          <w:rFonts w:hint="eastAsia" w:ascii="楷体" w:hAnsi="楷体" w:eastAsia="楷体" w:cs="楷体"/>
        </w:rPr>
        <w:t>（一）机关运行经费情况</w:t>
      </w:r>
    </w:p>
    <w:p>
      <w:pPr>
        <w:ind w:firstLine="627" w:firstLineChars="196"/>
        <w:rPr>
          <w:rFonts w:ascii="仿宋_GB2312" w:hAnsi="仿宋_GB2312" w:eastAsia="仿宋_GB2312" w:cs="仿宋_GB2312"/>
          <w:sz w:val="32"/>
          <w:szCs w:val="32"/>
        </w:rPr>
      </w:pPr>
      <w:r>
        <w:rPr>
          <w:rFonts w:hint="eastAsia" w:ascii="仿宋_GB2312" w:hAnsi="仿宋_GB2312" w:eastAsia="仿宋_GB2312" w:cs="仿宋_GB2312"/>
          <w:sz w:val="32"/>
          <w:szCs w:val="32"/>
        </w:rPr>
        <w:t>2017年机关运行经费支出133.1万元，比2016年增加29.1万元，增加27.98%。主要原因：办公业务增加。</w:t>
      </w:r>
    </w:p>
    <w:p>
      <w:pPr>
        <w:ind w:firstLine="627" w:firstLineChars="196"/>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除三公经费外，主要有办公及印刷费6.75万元，邮电费1.06万元，差旅费0.29万元，会议费0万元，福利费0万元，日常维修费0.11万元，专用材料及一般设备购置费0万元，水电费18万元，取暖费15万元，培训费0万元，劳务费30.2万元，工会经费4.2万元，其他交通费用19.37万元，咨询费0万元，其他费用31.23万元。 </w:t>
      </w:r>
    </w:p>
    <w:p>
      <w:pPr>
        <w:pStyle w:val="4"/>
        <w:spacing w:before="0" w:after="0" w:line="560" w:lineRule="exact"/>
        <w:ind w:firstLine="643" w:firstLineChars="200"/>
        <w:rPr>
          <w:rFonts w:ascii="楷体" w:hAnsi="楷体" w:eastAsia="楷体" w:cs="楷体"/>
        </w:rPr>
      </w:pPr>
      <w:r>
        <w:rPr>
          <w:rFonts w:hint="eastAsia" w:ascii="楷体" w:hAnsi="楷体" w:eastAsia="楷体" w:cs="楷体"/>
        </w:rPr>
        <w:t>（二）政府采购情况</w:t>
      </w:r>
    </w:p>
    <w:p>
      <w:pPr>
        <w:spacing w:line="58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2017年本部门政府采购支出总额671.39万元，其中：政府货物采购支出0万元，政府工程采购支出671.39万元，政府服务采购支出0万元。</w:t>
      </w:r>
    </w:p>
    <w:p>
      <w:pPr>
        <w:pStyle w:val="4"/>
        <w:spacing w:before="0" w:after="0" w:line="560" w:lineRule="exact"/>
        <w:rPr>
          <w:rFonts w:ascii="楷体" w:hAnsi="楷体" w:eastAsia="楷体" w:cs="楷体"/>
        </w:rPr>
      </w:pPr>
      <w:r>
        <w:rPr>
          <w:rFonts w:hint="eastAsia" w:ascii="宋体" w:hAnsi="宋体" w:cs="宋体"/>
        </w:rPr>
        <w:t xml:space="preserve">   </w:t>
      </w:r>
      <w:r>
        <w:rPr>
          <w:rFonts w:hint="eastAsia" w:ascii="楷体" w:hAnsi="楷体" w:eastAsia="楷体" w:cs="楷体"/>
        </w:rPr>
        <w:t>（三）国有资产占用情况</w:t>
      </w:r>
    </w:p>
    <w:p>
      <w:pPr>
        <w:spacing w:line="580" w:lineRule="exact"/>
        <w:ind w:firstLine="660"/>
        <w:rPr>
          <w:rFonts w:ascii="仿宋_GB2312" w:hAnsi="仿宋_GB2312" w:eastAsia="仿宋_GB2312" w:cs="仿宋_GB2312"/>
          <w:sz w:val="32"/>
          <w:szCs w:val="32"/>
        </w:rPr>
      </w:pPr>
      <w:r>
        <w:rPr>
          <w:rFonts w:hint="eastAsia" w:ascii="仿宋_GB2312" w:hAnsi="仿宋_GB2312" w:eastAsia="仿宋_GB2312" w:cs="仿宋_GB2312"/>
          <w:sz w:val="32"/>
          <w:szCs w:val="32"/>
        </w:rPr>
        <w:t>截至2017年12月31日，本部门共有车辆3辆，其中：一般公务用车1辆；一般执法执勤用车0辆；特种专业技术用车0辆；其他用车2辆。单位价值50万元以上通用设备0台（套），单价100万元以上专用设备0台（套）。</w:t>
      </w:r>
    </w:p>
    <w:p>
      <w:pPr>
        <w:pStyle w:val="4"/>
        <w:spacing w:before="0" w:after="0" w:line="560" w:lineRule="exact"/>
        <w:ind w:firstLine="643" w:firstLineChars="200"/>
        <w:rPr>
          <w:rFonts w:ascii="宋体" w:hAnsi="宋体" w:cs="宋体"/>
        </w:rPr>
      </w:pPr>
      <w:r>
        <w:rPr>
          <w:rFonts w:hint="eastAsia" w:ascii="宋体" w:hAnsi="宋体" w:cs="宋体"/>
        </w:rPr>
        <w:t>（四）其他需要说明的情况</w:t>
      </w:r>
    </w:p>
    <w:p>
      <w:pPr>
        <w:adjustRightInd w:val="0"/>
        <w:snapToGrid w:val="0"/>
        <w:spacing w:after="0"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1、本部门2017年度国有资本经营预算财政拨款收入支出无收支及结转结余情况，故国有资本经营预算财政拨款收入支出决算表以空表列示。</w:t>
      </w:r>
    </w:p>
    <w:p>
      <w:pPr>
        <w:adjustRightInd w:val="0"/>
        <w:snapToGrid w:val="0"/>
        <w:spacing w:after="0"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2、由于决算公开表格中金额数值应当保留两位小数，公开数据为四舍五入计算结果，个别数据合计项与分项之和存在小数点后差额，特此说明。</w:t>
      </w:r>
    </w:p>
    <w:p>
      <w:pPr>
        <w:spacing w:before="312" w:beforeLines="100" w:after="312" w:afterLines="100" w:line="360" w:lineRule="auto"/>
        <w:jc w:val="center"/>
        <w:rPr>
          <w:rFonts w:ascii="宋体" w:hAnsi="宋体" w:cs="宋体"/>
          <w:b/>
          <w:sz w:val="44"/>
          <w:szCs w:val="44"/>
        </w:rPr>
      </w:pPr>
      <w:r>
        <w:rPr>
          <w:rFonts w:hint="eastAsia" w:ascii="宋体" w:hAnsi="宋体" w:cs="宋体"/>
          <w:b/>
          <w:sz w:val="44"/>
          <w:szCs w:val="44"/>
        </w:rPr>
        <w:t>第四部分 名词解释</w:t>
      </w:r>
    </w:p>
    <w:p>
      <w:pPr>
        <w:rPr>
          <w:rFonts w:ascii="仿宋_GB2312" w:hAnsi="仿宋_GB2312" w:eastAsia="仿宋_GB2312" w:cs="仿宋_GB2312"/>
          <w:sz w:val="32"/>
          <w:szCs w:val="32"/>
        </w:rPr>
      </w:pPr>
      <w:r>
        <w:rPr>
          <w:rFonts w:hint="eastAsia" w:ascii="仿宋_GB2312" w:hAnsi="仿宋_GB2312" w:eastAsia="仿宋_GB2312" w:cs="仿宋_GB2312"/>
          <w:bCs/>
          <w:sz w:val="32"/>
          <w:szCs w:val="32"/>
        </w:rPr>
        <w:t>一、 财政拨款收入:</w:t>
      </w:r>
      <w:r>
        <w:rPr>
          <w:rFonts w:hint="eastAsia" w:ascii="仿宋_GB2312" w:hAnsi="仿宋_GB2312" w:eastAsia="仿宋_GB2312" w:cs="仿宋_GB2312"/>
          <w:sz w:val="32"/>
          <w:szCs w:val="32"/>
        </w:rPr>
        <w:t>本年度从本级财政部门取得的财政拨款，包括一般公共预算财政拨款和政府性基金预算财政拨款。</w:t>
      </w:r>
    </w:p>
    <w:p>
      <w:pPr>
        <w:rPr>
          <w:rFonts w:ascii="仿宋_GB2312" w:hAnsi="仿宋_GB2312" w:eastAsia="仿宋_GB2312" w:cs="仿宋_GB2312"/>
          <w:sz w:val="32"/>
          <w:szCs w:val="32"/>
        </w:rPr>
      </w:pPr>
      <w:r>
        <w:rPr>
          <w:rFonts w:hint="eastAsia" w:ascii="仿宋_GB2312" w:hAnsi="仿宋_GB2312" w:eastAsia="仿宋_GB2312" w:cs="仿宋_GB2312"/>
          <w:bCs/>
          <w:sz w:val="32"/>
          <w:szCs w:val="32"/>
        </w:rPr>
        <w:t>二、 事业收入:</w:t>
      </w:r>
      <w:r>
        <w:rPr>
          <w:rFonts w:hint="eastAsia" w:ascii="仿宋_GB2312" w:hAnsi="仿宋_GB2312" w:eastAsia="仿宋_GB2312" w:cs="仿宋_GB2312"/>
          <w:sz w:val="32"/>
          <w:szCs w:val="32"/>
        </w:rPr>
        <w:t>指事业单位开展专业业务活动及辅助活动所取得的收入。</w:t>
      </w:r>
    </w:p>
    <w:p>
      <w:pPr>
        <w:rPr>
          <w:rFonts w:ascii="仿宋_GB2312" w:hAnsi="仿宋_GB2312" w:eastAsia="仿宋_GB2312" w:cs="仿宋_GB2312"/>
          <w:sz w:val="32"/>
          <w:szCs w:val="32"/>
        </w:rPr>
      </w:pPr>
      <w:r>
        <w:rPr>
          <w:rFonts w:hint="eastAsia" w:ascii="仿宋_GB2312" w:hAnsi="仿宋_GB2312" w:eastAsia="仿宋_GB2312" w:cs="仿宋_GB2312"/>
          <w:bCs/>
          <w:sz w:val="32"/>
          <w:szCs w:val="32"/>
        </w:rPr>
        <w:t>三、 其他收入:</w:t>
      </w:r>
      <w:r>
        <w:rPr>
          <w:rFonts w:hint="eastAsia" w:ascii="仿宋_GB2312" w:hAnsi="仿宋_GB2312" w:eastAsia="仿宋_GB2312" w:cs="仿宋_GB2312"/>
          <w:sz w:val="32"/>
          <w:szCs w:val="32"/>
        </w:rPr>
        <w:t>指除上述“ 财政拨款收入” 、 “ 事业收入” 、 “ 经营收入” 等以外的收入。</w:t>
      </w:r>
    </w:p>
    <w:p>
      <w:pPr>
        <w:rPr>
          <w:rFonts w:ascii="仿宋_GB2312" w:hAnsi="仿宋_GB2312" w:eastAsia="仿宋_GB2312" w:cs="仿宋_GB2312"/>
          <w:sz w:val="32"/>
          <w:szCs w:val="32"/>
        </w:rPr>
      </w:pPr>
      <w:r>
        <w:rPr>
          <w:rFonts w:hint="eastAsia" w:ascii="仿宋_GB2312" w:hAnsi="仿宋_GB2312" w:eastAsia="仿宋_GB2312" w:cs="仿宋_GB2312"/>
          <w:bCs/>
          <w:sz w:val="32"/>
          <w:szCs w:val="32"/>
        </w:rPr>
        <w:t>四、 用事业基金弥补收支差额:</w:t>
      </w:r>
      <w:r>
        <w:rPr>
          <w:rFonts w:hint="eastAsia" w:ascii="仿宋_GB2312" w:hAnsi="仿宋_GB2312" w:eastAsia="仿宋_GB2312" w:cs="仿宋_GB2312"/>
          <w:sz w:val="32"/>
          <w:szCs w:val="32"/>
        </w:rPr>
        <w:t>指事业单位在用当年的“ 财政拨款收入” 、 “ 财政拨款结转和结余资金” 、 “ 事业收入” 、 “ 经营收入” 、 “ 其他收入” 不足以安排当年支出的情况下，使用以前年度积累的事业基金（事业单位当年收支相抵后按国家规定提取、用于弥补以后年度收支差额的基金）弥补本年度收支缺口的资金。</w:t>
      </w:r>
    </w:p>
    <w:p>
      <w:pPr>
        <w:rPr>
          <w:rFonts w:ascii="仿宋_GB2312" w:hAnsi="仿宋_GB2312" w:eastAsia="仿宋_GB2312" w:cs="仿宋_GB2312"/>
          <w:sz w:val="32"/>
          <w:szCs w:val="32"/>
        </w:rPr>
      </w:pPr>
      <w:r>
        <w:rPr>
          <w:rFonts w:hint="eastAsia" w:ascii="仿宋_GB2312" w:hAnsi="仿宋_GB2312" w:eastAsia="仿宋_GB2312" w:cs="仿宋_GB2312"/>
          <w:bCs/>
          <w:sz w:val="32"/>
          <w:szCs w:val="32"/>
        </w:rPr>
        <w:t>五、 年初结转和结余:</w:t>
      </w:r>
      <w:r>
        <w:rPr>
          <w:rFonts w:hint="eastAsia" w:ascii="仿宋_GB2312" w:hAnsi="仿宋_GB2312" w:eastAsia="仿宋_GB2312" w:cs="仿宋_GB2312"/>
          <w:sz w:val="32"/>
          <w:szCs w:val="32"/>
        </w:rPr>
        <w:t>指以前年度尚未完成、结转到本年仍按原规定用途继续使用的资金，或项目已完成等产生的结余资金。</w:t>
      </w:r>
    </w:p>
    <w:p>
      <w:pPr>
        <w:rPr>
          <w:rFonts w:ascii="仿宋_GB2312" w:hAnsi="仿宋_GB2312" w:eastAsia="仿宋_GB2312" w:cs="仿宋_GB2312"/>
          <w:sz w:val="32"/>
          <w:szCs w:val="32"/>
        </w:rPr>
      </w:pPr>
      <w:r>
        <w:rPr>
          <w:rFonts w:hint="eastAsia" w:ascii="仿宋_GB2312" w:hAnsi="仿宋_GB2312" w:eastAsia="仿宋_GB2312" w:cs="仿宋_GB2312"/>
          <w:bCs/>
          <w:sz w:val="32"/>
          <w:szCs w:val="32"/>
        </w:rPr>
        <w:t>六、 结余分配:</w:t>
      </w:r>
      <w:r>
        <w:rPr>
          <w:rFonts w:hint="eastAsia" w:ascii="仿宋_GB2312" w:hAnsi="仿宋_GB2312" w:eastAsia="仿宋_GB2312" w:cs="仿宋_GB2312"/>
          <w:sz w:val="32"/>
          <w:szCs w:val="32"/>
        </w:rPr>
        <w:t>指事业单位按照事业单位会计制度的规定从非财政补助结余中分配的事业基金和职工福利基金等。</w:t>
      </w:r>
    </w:p>
    <w:p>
      <w:pPr>
        <w:rPr>
          <w:rFonts w:ascii="仿宋_GB2312" w:hAnsi="仿宋_GB2312" w:eastAsia="仿宋_GB2312" w:cs="仿宋_GB2312"/>
          <w:sz w:val="32"/>
          <w:szCs w:val="32"/>
        </w:rPr>
      </w:pPr>
      <w:r>
        <w:rPr>
          <w:rFonts w:hint="eastAsia" w:ascii="仿宋_GB2312" w:hAnsi="仿宋_GB2312" w:eastAsia="仿宋_GB2312" w:cs="仿宋_GB2312"/>
          <w:bCs/>
          <w:sz w:val="32"/>
          <w:szCs w:val="32"/>
        </w:rPr>
        <w:t>七、 年末结转和结余:</w:t>
      </w:r>
      <w:r>
        <w:rPr>
          <w:rFonts w:hint="eastAsia" w:ascii="仿宋_GB2312" w:hAnsi="仿宋_GB2312" w:eastAsia="仿宋_GB2312" w:cs="仿宋_GB2312"/>
          <w:sz w:val="32"/>
          <w:szCs w:val="32"/>
        </w:rPr>
        <w:t>指单位按有关规定结转到下年或以后年度继续使用的资金，或项目已完成等产生的结余资金。</w:t>
      </w:r>
    </w:p>
    <w:p>
      <w:pPr>
        <w:rPr>
          <w:rFonts w:ascii="仿宋_GB2312" w:hAnsi="仿宋_GB2312" w:eastAsia="仿宋_GB2312" w:cs="仿宋_GB2312"/>
          <w:sz w:val="32"/>
          <w:szCs w:val="32"/>
        </w:rPr>
      </w:pPr>
      <w:r>
        <w:rPr>
          <w:rFonts w:hint="eastAsia" w:ascii="仿宋_GB2312" w:hAnsi="仿宋_GB2312" w:eastAsia="仿宋_GB2312" w:cs="仿宋_GB2312"/>
          <w:bCs/>
          <w:sz w:val="32"/>
          <w:szCs w:val="32"/>
        </w:rPr>
        <w:t>八、 基本支出:</w:t>
      </w:r>
      <w:r>
        <w:rPr>
          <w:rFonts w:hint="eastAsia" w:ascii="仿宋_GB2312" w:hAnsi="仿宋_GB2312" w:eastAsia="仿宋_GB2312" w:cs="仿宋_GB2312"/>
          <w:sz w:val="32"/>
          <w:szCs w:val="32"/>
        </w:rPr>
        <w:t>指单位为保障机构正常运转、完成日常工作任务而发生的各项支出。</w:t>
      </w:r>
    </w:p>
    <w:p>
      <w:pPr>
        <w:rPr>
          <w:rFonts w:ascii="仿宋_GB2312" w:hAnsi="仿宋_GB2312" w:eastAsia="仿宋_GB2312" w:cs="仿宋_GB2312"/>
          <w:sz w:val="32"/>
          <w:szCs w:val="32"/>
        </w:rPr>
      </w:pPr>
      <w:r>
        <w:rPr>
          <w:rFonts w:hint="eastAsia" w:ascii="仿宋_GB2312" w:hAnsi="仿宋_GB2312" w:eastAsia="仿宋_GB2312" w:cs="仿宋_GB2312"/>
          <w:bCs/>
          <w:sz w:val="32"/>
          <w:szCs w:val="32"/>
        </w:rPr>
        <w:t>九、 项目支出:</w:t>
      </w:r>
      <w:r>
        <w:rPr>
          <w:rFonts w:hint="eastAsia" w:ascii="仿宋_GB2312" w:hAnsi="仿宋_GB2312" w:eastAsia="仿宋_GB2312" w:cs="仿宋_GB2312"/>
          <w:sz w:val="32"/>
          <w:szCs w:val="32"/>
        </w:rPr>
        <w:t>指单位为完成特定的行政工作任务或事业发展目标，在基本支出之外发生的各项支出。</w:t>
      </w:r>
    </w:p>
    <w:p>
      <w:pPr>
        <w:rPr>
          <w:rFonts w:ascii="仿宋_GB2312" w:hAnsi="仿宋_GB2312" w:eastAsia="仿宋_GB2312" w:cs="仿宋_GB2312"/>
          <w:sz w:val="32"/>
          <w:szCs w:val="32"/>
        </w:rPr>
      </w:pPr>
      <w:r>
        <w:rPr>
          <w:rFonts w:hint="eastAsia" w:ascii="仿宋_GB2312" w:hAnsi="仿宋_GB2312" w:eastAsia="仿宋_GB2312" w:cs="仿宋_GB2312"/>
          <w:bCs/>
          <w:sz w:val="32"/>
          <w:szCs w:val="32"/>
        </w:rPr>
        <w:t>十、 基本建设支出:</w:t>
      </w:r>
      <w:r>
        <w:rPr>
          <w:rFonts w:hint="eastAsia" w:ascii="仿宋_GB2312" w:hAnsi="仿宋_GB2312" w:eastAsia="仿宋_GB2312" w:cs="仿宋_GB2312"/>
          <w:sz w:val="32"/>
          <w:szCs w:val="32"/>
        </w:rPr>
        <w:t>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rPr>
          <w:rFonts w:ascii="仿宋_GB2312" w:hAnsi="仿宋_GB2312" w:eastAsia="仿宋_GB2312" w:cs="仿宋_GB2312"/>
          <w:sz w:val="32"/>
          <w:szCs w:val="32"/>
        </w:rPr>
      </w:pPr>
      <w:r>
        <w:rPr>
          <w:rFonts w:hint="eastAsia" w:ascii="仿宋_GB2312" w:hAnsi="仿宋_GB2312" w:eastAsia="仿宋_GB2312" w:cs="仿宋_GB2312"/>
          <w:bCs/>
          <w:sz w:val="32"/>
          <w:szCs w:val="32"/>
        </w:rPr>
        <w:t>十一、 其他资本性支出:</w:t>
      </w:r>
      <w:r>
        <w:rPr>
          <w:rFonts w:hint="eastAsia" w:ascii="仿宋_GB2312" w:hAnsi="仿宋_GB2312" w:eastAsia="仿宋_GB2312" w:cs="仿宋_GB2312"/>
          <w:sz w:val="32"/>
          <w:szCs w:val="32"/>
        </w:rPr>
        <w:t>由各级非发展与改革部门集中安排的用于购置固定资产、战备性和应急性储备、土地和无形资产，以及购建基础设施、大型修缮和财政支持企业更新改造所发生的支出。</w:t>
      </w:r>
    </w:p>
    <w:p>
      <w:pPr>
        <w:rPr>
          <w:rFonts w:ascii="仿宋_GB2312" w:hAnsi="仿宋_GB2312" w:eastAsia="仿宋_GB2312" w:cs="仿宋_GB2312"/>
          <w:sz w:val="32"/>
          <w:szCs w:val="32"/>
        </w:rPr>
      </w:pPr>
      <w:r>
        <w:rPr>
          <w:rFonts w:hint="eastAsia" w:ascii="仿宋_GB2312" w:hAnsi="仿宋_GB2312" w:eastAsia="仿宋_GB2312" w:cs="仿宋_GB2312"/>
          <w:bCs/>
          <w:sz w:val="32"/>
          <w:szCs w:val="32"/>
        </w:rPr>
        <w:t>十二、 “ 三公” 经费:</w:t>
      </w:r>
      <w:r>
        <w:rPr>
          <w:rFonts w:hint="eastAsia" w:ascii="仿宋_GB2312" w:hAnsi="仿宋_GB2312" w:eastAsia="仿宋_GB2312" w:cs="仿宋_GB2312"/>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pPr>
        <w:rPr>
          <w:rFonts w:ascii="仿宋_GB2312" w:hAnsi="仿宋_GB2312" w:eastAsia="仿宋_GB2312" w:cs="仿宋_GB2312"/>
          <w:sz w:val="32"/>
          <w:szCs w:val="32"/>
        </w:rPr>
      </w:pPr>
      <w:r>
        <w:rPr>
          <w:rFonts w:hint="eastAsia" w:ascii="仿宋_GB2312" w:hAnsi="仿宋_GB2312" w:eastAsia="仿宋_GB2312" w:cs="仿宋_GB2312"/>
          <w:bCs/>
          <w:sz w:val="32"/>
          <w:szCs w:val="32"/>
        </w:rPr>
        <w:t>十三、 其他交通费用:</w:t>
      </w:r>
      <w:r>
        <w:rPr>
          <w:rFonts w:hint="eastAsia" w:ascii="仿宋_GB2312" w:hAnsi="仿宋_GB2312" w:eastAsia="仿宋_GB2312" w:cs="仿宋_GB2312"/>
          <w:sz w:val="32"/>
          <w:szCs w:val="32"/>
        </w:rPr>
        <w:t>指单位除公务用车运行维护费以外的其他交通费用。如飞机、船舶等的燃料费、维修费、过桥过路费、保险费、出租车费用、公务交通补贴等。</w:t>
      </w:r>
    </w:p>
    <w:p>
      <w:pPr>
        <w:rPr>
          <w:rFonts w:ascii="仿宋_GB2312" w:hAnsi="仿宋_GB2312" w:eastAsia="仿宋_GB2312" w:cs="仿宋_GB2312"/>
          <w:sz w:val="32"/>
          <w:szCs w:val="32"/>
        </w:rPr>
      </w:pPr>
      <w:r>
        <w:rPr>
          <w:rFonts w:hint="eastAsia" w:ascii="仿宋_GB2312" w:hAnsi="仿宋_GB2312" w:eastAsia="仿宋_GB2312" w:cs="仿宋_GB2312"/>
          <w:bCs/>
          <w:sz w:val="32"/>
          <w:szCs w:val="32"/>
        </w:rPr>
        <w:t>十四、 公务用车购置:</w:t>
      </w:r>
      <w:r>
        <w:rPr>
          <w:rFonts w:hint="eastAsia" w:ascii="仿宋_GB2312" w:hAnsi="仿宋_GB2312" w:eastAsia="仿宋_GB2312" w:cs="仿宋_GB2312"/>
          <w:sz w:val="32"/>
          <w:szCs w:val="32"/>
        </w:rPr>
        <w:t>指单位公务用车车辆购置支出（含车辆购置税）。</w:t>
      </w:r>
    </w:p>
    <w:p>
      <w:pPr>
        <w:rPr>
          <w:rFonts w:ascii="仿宋_GB2312" w:hAnsi="仿宋_GB2312" w:eastAsia="仿宋_GB2312" w:cs="仿宋_GB2312"/>
          <w:sz w:val="32"/>
          <w:szCs w:val="32"/>
        </w:rPr>
      </w:pPr>
      <w:r>
        <w:rPr>
          <w:rFonts w:hint="eastAsia" w:ascii="仿宋_GB2312" w:hAnsi="仿宋_GB2312" w:eastAsia="仿宋_GB2312" w:cs="仿宋_GB2312"/>
          <w:bCs/>
          <w:sz w:val="32"/>
          <w:szCs w:val="32"/>
        </w:rPr>
        <w:t>十五、 其他交通工具购置:</w:t>
      </w:r>
      <w:r>
        <w:rPr>
          <w:rFonts w:hint="eastAsia" w:ascii="仿宋_GB2312" w:hAnsi="仿宋_GB2312" w:eastAsia="仿宋_GB2312" w:cs="仿宋_GB2312"/>
          <w:sz w:val="32"/>
          <w:szCs w:val="32"/>
        </w:rPr>
        <w:t>单位除公务用车外的其他各类交通工具（ 如船舶、 飞机）购置支出（含车辆购置税）。</w:t>
      </w:r>
    </w:p>
    <w:p>
      <w:pPr>
        <w:rPr>
          <w:rFonts w:ascii="仿宋_GB2312" w:hAnsi="仿宋_GB2312" w:eastAsia="仿宋_GB2312" w:cs="仿宋_GB2312"/>
          <w:sz w:val="32"/>
          <w:szCs w:val="32"/>
        </w:rPr>
      </w:pPr>
      <w:r>
        <w:rPr>
          <w:rFonts w:hint="eastAsia" w:ascii="仿宋_GB2312" w:hAnsi="仿宋_GB2312" w:eastAsia="仿宋_GB2312" w:cs="仿宋_GB2312"/>
          <w:bCs/>
          <w:sz w:val="32"/>
          <w:szCs w:val="32"/>
        </w:rPr>
        <w:t>十六、 机关运行经费:</w:t>
      </w:r>
      <w:r>
        <w:rPr>
          <w:rFonts w:hint="eastAsia" w:ascii="仿宋_GB2312" w:hAnsi="仿宋_GB2312" w:eastAsia="仿宋_GB2312" w:cs="仿宋_GB2312"/>
          <w:sz w:val="32"/>
          <w:szCs w:val="32"/>
        </w:rPr>
        <w:t>指为保障行政单位（ 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after="0" w:line="560" w:lineRule="exact"/>
        <w:rPr>
          <w:rFonts w:ascii="仿宋_GB2312" w:hAnsi="仿宋_GB2312" w:eastAsia="仿宋_GB2312" w:cs="仿宋_GB2312"/>
          <w:color w:val="000000"/>
          <w:kern w:val="0"/>
          <w:sz w:val="32"/>
          <w:szCs w:val="32"/>
        </w:rPr>
      </w:pPr>
    </w:p>
    <w:sectPr>
      <w:pgSz w:w="11906" w:h="16838"/>
      <w:pgMar w:top="2098" w:right="1474" w:bottom="1985" w:left="1588" w:header="851" w:footer="992" w:gutter="0"/>
      <w:cols w:space="720"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Cambria">
    <w:altName w:val="FreeSerif"/>
    <w:panose1 w:val="02040503050406030204"/>
    <w:charset w:val="00"/>
    <w:family w:val="roman"/>
    <w:pitch w:val="default"/>
    <w:sig w:usb0="00000000" w:usb1="00000000" w:usb2="02000000" w:usb3="00000000" w:csb0="0000019F" w:csb1="00000000"/>
  </w:font>
  <w:font w:name="FreeSerif">
    <w:panose1 w:val="02020603050405020304"/>
    <w:charset w:val="00"/>
    <w:family w:val="auto"/>
    <w:pitch w:val="default"/>
    <w:sig w:usb0="E59FAFFF" w:usb1="C200FDFF" w:usb2="43501B29" w:usb3="04000043" w:csb0="600101FF" w:csb1="FFFF0000"/>
  </w:font>
  <w:font w:name="仿宋_GB2312">
    <w:altName w:val="方正仿宋_GBK"/>
    <w:panose1 w:val="00000000000000000000"/>
    <w:charset w:val="86"/>
    <w:family w:val="auto"/>
    <w:pitch w:val="default"/>
    <w:sig w:usb0="00000000" w:usb1="00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86"/>
    <w:family w:val="modern"/>
    <w:pitch w:val="default"/>
    <w:sig w:usb0="00000000" w:usb1="00000000" w:usb2="00000016" w:usb3="00000000" w:csb0="00040001" w:csb1="00000000"/>
  </w:font>
  <w:font w:name="楷体">
    <w:altName w:val="方正楷体_GBK"/>
    <w:panose1 w:val="02010609060101010101"/>
    <w:charset w:val="86"/>
    <w:family w:val="modern"/>
    <w:pitch w:val="default"/>
    <w:sig w:usb0="00000000" w:usb1="00000000" w:usb2="00000016" w:usb3="00000000" w:csb0="00040001" w:csb1="00000000"/>
  </w:font>
  <w:font w:name="方正楷体_GBK">
    <w:panose1 w:val="02000000000000000000"/>
    <w:charset w:val="86"/>
    <w:family w:val="auto"/>
    <w:pitch w:val="default"/>
    <w:sig w:usb0="00000001" w:usb1="08000000" w:usb2="00000000" w:usb3="00000000" w:csb0="00040000" w:csb1="00000000"/>
  </w:font>
  <w:font w:name="DengXian-Regular">
    <w:altName w:val="华文中宋"/>
    <w:panose1 w:val="00000000000000000000"/>
    <w:charset w:val="86"/>
    <w:family w:val="auto"/>
    <w:pitch w:val="default"/>
    <w:sig w:usb0="00000000" w:usb1="00000000" w:usb2="00000010" w:usb3="00000000" w:csb0="00040001" w:csb1="00000000"/>
  </w:font>
  <w:font w:name="华文中宋">
    <w:panose1 w:val="02010600040101010101"/>
    <w:charset w:val="86"/>
    <w:family w:val="auto"/>
    <w:pitch w:val="default"/>
    <w:sig w:usb0="00000287" w:usb1="080F0000" w:usb2="00000000" w:usb3="00000000" w:csb0="0004009F" w:csb1="DFD70000"/>
  </w:font>
  <w:font w:name="Arial">
    <w:altName w:val="DejaVu Sans"/>
    <w:panose1 w:val="020B0604020202020204"/>
    <w:charset w:val="00"/>
    <w:family w:val="swiss"/>
    <w:pitch w:val="default"/>
    <w:sig w:usb0="00000000" w:usb1="00000000"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480" w:lineRule="auto"/>
      </w:pPr>
      <w:r>
        <w:separator/>
      </w:r>
    </w:p>
  </w:footnote>
  <w:footnote w:type="continuationSeparator" w:id="1">
    <w:p>
      <w:pPr>
        <w:spacing w:before="0" w:after="0" w:line="48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6"/>
    <w:multiLevelType w:val="singleLevel"/>
    <w:tmpl w:val="00000006"/>
    <w:lvl w:ilvl="0" w:tentative="0">
      <w:start w:val="1"/>
      <w:numFmt w:val="chineseCounting"/>
      <w:suff w:val="nothing"/>
      <w:lvlText w:val="%1、"/>
      <w:lvlJc w:val="left"/>
    </w:lvl>
  </w:abstractNum>
  <w:abstractNum w:abstractNumId="1">
    <w:nsid w:val="00000008"/>
    <w:multiLevelType w:val="multilevel"/>
    <w:tmpl w:val="00000008"/>
    <w:lvl w:ilvl="0" w:tentative="0">
      <w:start w:val="1"/>
      <w:numFmt w:val="decimal"/>
      <w:lvlText w:val="%1."/>
      <w:lvlJc w:val="left"/>
      <w:pPr>
        <w:tabs>
          <w:tab w:val="left" w:pos="1047"/>
        </w:tabs>
        <w:ind w:left="1047" w:hanging="420"/>
      </w:pPr>
      <w:rPr>
        <w:rFonts w:hint="default"/>
        <w:u w:val="none"/>
      </w:rPr>
    </w:lvl>
    <w:lvl w:ilvl="1" w:tentative="0">
      <w:start w:val="1"/>
      <w:numFmt w:val="lowerLetter"/>
      <w:lvlText w:val="%2)"/>
      <w:lvlJc w:val="left"/>
      <w:pPr>
        <w:tabs>
          <w:tab w:val="left" w:pos="1467"/>
        </w:tabs>
        <w:ind w:left="1467" w:hanging="420"/>
      </w:pPr>
      <w:rPr>
        <w:rFonts w:hint="default"/>
        <w:u w:val="none"/>
      </w:rPr>
    </w:lvl>
    <w:lvl w:ilvl="2" w:tentative="0">
      <w:start w:val="1"/>
      <w:numFmt w:val="lowerRoman"/>
      <w:lvlText w:val="%3."/>
      <w:lvlJc w:val="right"/>
      <w:pPr>
        <w:tabs>
          <w:tab w:val="left" w:pos="1887"/>
        </w:tabs>
        <w:ind w:left="1887" w:hanging="420"/>
      </w:pPr>
      <w:rPr>
        <w:rFonts w:hint="default"/>
        <w:u w:val="none"/>
      </w:rPr>
    </w:lvl>
    <w:lvl w:ilvl="3" w:tentative="0">
      <w:start w:val="1"/>
      <w:numFmt w:val="decimal"/>
      <w:lvlText w:val="%4."/>
      <w:lvlJc w:val="left"/>
      <w:pPr>
        <w:tabs>
          <w:tab w:val="left" w:pos="2307"/>
        </w:tabs>
        <w:ind w:left="2307" w:hanging="420"/>
      </w:pPr>
      <w:rPr>
        <w:rFonts w:hint="default"/>
        <w:u w:val="none"/>
      </w:rPr>
    </w:lvl>
    <w:lvl w:ilvl="4" w:tentative="0">
      <w:start w:val="1"/>
      <w:numFmt w:val="lowerLetter"/>
      <w:lvlText w:val="%5)"/>
      <w:lvlJc w:val="left"/>
      <w:pPr>
        <w:tabs>
          <w:tab w:val="left" w:pos="2727"/>
        </w:tabs>
        <w:ind w:left="2727" w:hanging="420"/>
      </w:pPr>
      <w:rPr>
        <w:rFonts w:hint="default"/>
        <w:u w:val="none"/>
      </w:rPr>
    </w:lvl>
    <w:lvl w:ilvl="5" w:tentative="0">
      <w:start w:val="1"/>
      <w:numFmt w:val="lowerRoman"/>
      <w:lvlText w:val="%6."/>
      <w:lvlJc w:val="right"/>
      <w:pPr>
        <w:tabs>
          <w:tab w:val="left" w:pos="3147"/>
        </w:tabs>
        <w:ind w:left="3147" w:hanging="420"/>
      </w:pPr>
      <w:rPr>
        <w:rFonts w:hint="default"/>
        <w:u w:val="none"/>
      </w:rPr>
    </w:lvl>
    <w:lvl w:ilvl="6" w:tentative="0">
      <w:start w:val="1"/>
      <w:numFmt w:val="decimal"/>
      <w:lvlText w:val="%7."/>
      <w:lvlJc w:val="left"/>
      <w:pPr>
        <w:tabs>
          <w:tab w:val="left" w:pos="3567"/>
        </w:tabs>
        <w:ind w:left="3567" w:hanging="420"/>
      </w:pPr>
      <w:rPr>
        <w:rFonts w:hint="default"/>
        <w:u w:val="none"/>
      </w:rPr>
    </w:lvl>
    <w:lvl w:ilvl="7" w:tentative="0">
      <w:start w:val="1"/>
      <w:numFmt w:val="lowerLetter"/>
      <w:lvlText w:val="%8)"/>
      <w:lvlJc w:val="left"/>
      <w:pPr>
        <w:tabs>
          <w:tab w:val="left" w:pos="3987"/>
        </w:tabs>
        <w:ind w:left="3987" w:hanging="420"/>
      </w:pPr>
      <w:rPr>
        <w:rFonts w:hint="default"/>
        <w:u w:val="none"/>
      </w:rPr>
    </w:lvl>
    <w:lvl w:ilvl="8" w:tentative="0">
      <w:start w:val="1"/>
      <w:numFmt w:val="lowerRoman"/>
      <w:lvlText w:val="%9."/>
      <w:lvlJc w:val="right"/>
      <w:pPr>
        <w:tabs>
          <w:tab w:val="left" w:pos="4407"/>
        </w:tabs>
        <w:ind w:left="4407" w:hanging="420"/>
      </w:pPr>
      <w:rPr>
        <w:rFonts w:hint="default"/>
        <w:u w:val="none"/>
      </w:rPr>
    </w:lvl>
  </w:abstractNum>
  <w:abstractNum w:abstractNumId="2">
    <w:nsid w:val="0000000A"/>
    <w:multiLevelType w:val="singleLevel"/>
    <w:tmpl w:val="0000000A"/>
    <w:lvl w:ilvl="0" w:tentative="0">
      <w:start w:val="3"/>
      <w:numFmt w:val="chineseCounting"/>
      <w:suff w:val="nothing"/>
      <w:lvlText w:val="（%1）"/>
      <w:lvlJc w:val="left"/>
      <w:rPr>
        <w:rFonts w:hint="eastAsia"/>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9325D"/>
    <w:rsid w:val="000F363A"/>
    <w:rsid w:val="008F685E"/>
    <w:rsid w:val="00B9325D"/>
    <w:rsid w:val="2B222C47"/>
    <w:rsid w:val="4CF20D4D"/>
    <w:rsid w:val="DFF3823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12"/>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13"/>
    <w:qFormat/>
    <w:uiPriority w:val="0"/>
    <w:pPr>
      <w:keepNext/>
      <w:keepLines/>
      <w:spacing w:before="260" w:after="260" w:line="416" w:lineRule="auto"/>
      <w:outlineLvl w:val="1"/>
    </w:pPr>
    <w:rPr>
      <w:rFonts w:ascii="Calibri" w:hAnsi="Calibri" w:cs="黑体"/>
      <w:b/>
      <w:bCs/>
      <w:sz w:val="32"/>
      <w:szCs w:val="32"/>
    </w:rPr>
  </w:style>
  <w:style w:type="paragraph" w:styleId="4">
    <w:name w:val="heading 3"/>
    <w:basedOn w:val="1"/>
    <w:next w:val="1"/>
    <w:link w:val="14"/>
    <w:qFormat/>
    <w:uiPriority w:val="0"/>
    <w:pPr>
      <w:keepNext/>
      <w:keepLines/>
      <w:spacing w:before="260" w:after="260" w:line="416" w:lineRule="auto"/>
      <w:outlineLvl w:val="2"/>
    </w:pPr>
    <w:rPr>
      <w:b/>
      <w:bCs/>
      <w:sz w:val="32"/>
      <w:szCs w:val="32"/>
    </w:rPr>
  </w:style>
  <w:style w:type="paragraph" w:styleId="5">
    <w:name w:val="heading 4"/>
    <w:basedOn w:val="1"/>
    <w:next w:val="1"/>
    <w:link w:val="15"/>
    <w:qFormat/>
    <w:uiPriority w:val="0"/>
    <w:pPr>
      <w:keepNext/>
      <w:keepLines/>
      <w:spacing w:before="280" w:after="290" w:line="376" w:lineRule="auto"/>
      <w:outlineLvl w:val="3"/>
    </w:pPr>
    <w:rPr>
      <w:rFonts w:ascii="Calibri" w:hAnsi="Calibri" w:cs="黑体"/>
      <w:b/>
      <w:bCs/>
      <w:sz w:val="28"/>
      <w:szCs w:val="28"/>
    </w:rPr>
  </w:style>
  <w:style w:type="character" w:default="1" w:styleId="11">
    <w:name w:val="Default Paragraph Font"/>
    <w:semiHidden/>
    <w:unhideWhenUsed/>
    <w:qFormat/>
    <w:uiPriority w:val="1"/>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6">
    <w:name w:val="footer"/>
    <w:basedOn w:val="1"/>
    <w:link w:val="16"/>
    <w:qFormat/>
    <w:uiPriority w:val="0"/>
    <w:pPr>
      <w:tabs>
        <w:tab w:val="center" w:pos="4153"/>
        <w:tab w:val="right" w:pos="8306"/>
      </w:tabs>
      <w:snapToGrid w:val="0"/>
      <w:jc w:val="left"/>
    </w:pPr>
    <w:rPr>
      <w:sz w:val="18"/>
      <w:szCs w:val="18"/>
    </w:rPr>
  </w:style>
  <w:style w:type="paragraph" w:styleId="7">
    <w:name w:val="header"/>
    <w:basedOn w:val="1"/>
    <w:link w:val="17"/>
    <w:qFormat/>
    <w:uiPriority w:val="0"/>
    <w:pPr>
      <w:pBdr>
        <w:bottom w:val="single" w:color="auto" w:sz="6" w:space="1"/>
      </w:pBdr>
      <w:tabs>
        <w:tab w:val="center" w:pos="4153"/>
        <w:tab w:val="right" w:pos="8306"/>
      </w:tabs>
      <w:snapToGrid w:val="0"/>
      <w:jc w:val="center"/>
    </w:pPr>
    <w:rPr>
      <w:sz w:val="18"/>
      <w:szCs w:val="18"/>
    </w:rPr>
  </w:style>
  <w:style w:type="paragraph" w:styleId="8">
    <w:name w:val="Subtitle"/>
    <w:basedOn w:val="1"/>
    <w:next w:val="1"/>
    <w:link w:val="18"/>
    <w:qFormat/>
    <w:uiPriority w:val="0"/>
    <w:pPr>
      <w:widowControl/>
      <w:spacing w:after="200" w:line="276" w:lineRule="auto"/>
      <w:jc w:val="left"/>
    </w:pPr>
    <w:rPr>
      <w:rFonts w:ascii="Calibri" w:hAnsi="Calibri" w:cs="黑体"/>
      <w:i/>
      <w:iCs/>
      <w:color w:val="F0A22E"/>
      <w:spacing w:val="15"/>
      <w:kern w:val="0"/>
      <w:sz w:val="24"/>
    </w:rPr>
  </w:style>
  <w:style w:type="paragraph" w:styleId="9">
    <w:name w:val="Title"/>
    <w:basedOn w:val="1"/>
    <w:next w:val="1"/>
    <w:link w:val="19"/>
    <w:qFormat/>
    <w:uiPriority w:val="0"/>
    <w:pPr>
      <w:widowControl/>
      <w:pBdr>
        <w:bottom w:val="single" w:color="F0A22E" w:sz="8" w:space="4"/>
      </w:pBdr>
      <w:spacing w:after="300"/>
      <w:contextualSpacing/>
      <w:jc w:val="left"/>
    </w:pPr>
    <w:rPr>
      <w:rFonts w:ascii="Calibri" w:hAnsi="Calibri" w:cs="黑体"/>
      <w:color w:val="392B23"/>
      <w:spacing w:val="5"/>
      <w:kern w:val="28"/>
      <w:sz w:val="52"/>
      <w:szCs w:val="52"/>
    </w:rPr>
  </w:style>
  <w:style w:type="character" w:customStyle="1" w:styleId="12">
    <w:name w:val="标题 1 字符"/>
    <w:link w:val="2"/>
    <w:semiHidden/>
    <w:qFormat/>
    <w:uiPriority w:val="0"/>
    <w:rPr>
      <w:rFonts w:ascii="Times New Roman" w:hAnsi="Times New Roman" w:eastAsia="宋体" w:cs="Times New Roman"/>
      <w:b/>
      <w:bCs/>
      <w:kern w:val="44"/>
      <w:sz w:val="44"/>
      <w:szCs w:val="44"/>
    </w:rPr>
  </w:style>
  <w:style w:type="character" w:customStyle="1" w:styleId="13">
    <w:name w:val="标题 2 字符"/>
    <w:link w:val="3"/>
    <w:semiHidden/>
    <w:qFormat/>
    <w:uiPriority w:val="0"/>
    <w:rPr>
      <w:rFonts w:ascii="Calibri" w:hAnsi="Calibri" w:eastAsia="宋体" w:cs="黑体"/>
      <w:b/>
      <w:bCs/>
      <w:sz w:val="32"/>
      <w:szCs w:val="32"/>
    </w:rPr>
  </w:style>
  <w:style w:type="character" w:customStyle="1" w:styleId="14">
    <w:name w:val="标题 3 字符"/>
    <w:link w:val="4"/>
    <w:semiHidden/>
    <w:qFormat/>
    <w:uiPriority w:val="0"/>
    <w:rPr>
      <w:rFonts w:ascii="Times New Roman" w:hAnsi="Times New Roman" w:eastAsia="宋体" w:cs="Times New Roman"/>
      <w:b/>
      <w:bCs/>
      <w:sz w:val="32"/>
      <w:szCs w:val="32"/>
    </w:rPr>
  </w:style>
  <w:style w:type="character" w:customStyle="1" w:styleId="15">
    <w:name w:val="标题 4 字符"/>
    <w:link w:val="5"/>
    <w:semiHidden/>
    <w:qFormat/>
    <w:uiPriority w:val="0"/>
    <w:rPr>
      <w:rFonts w:ascii="Calibri" w:hAnsi="Calibri" w:eastAsia="宋体" w:cs="黑体"/>
      <w:b/>
      <w:bCs/>
      <w:sz w:val="28"/>
      <w:szCs w:val="28"/>
    </w:rPr>
  </w:style>
  <w:style w:type="character" w:customStyle="1" w:styleId="16">
    <w:name w:val="页脚 字符"/>
    <w:link w:val="6"/>
    <w:semiHidden/>
    <w:qFormat/>
    <w:uiPriority w:val="0"/>
    <w:rPr>
      <w:sz w:val="18"/>
      <w:szCs w:val="18"/>
    </w:rPr>
  </w:style>
  <w:style w:type="character" w:customStyle="1" w:styleId="17">
    <w:name w:val="页眉 字符"/>
    <w:link w:val="7"/>
    <w:semiHidden/>
    <w:qFormat/>
    <w:uiPriority w:val="0"/>
    <w:rPr>
      <w:sz w:val="18"/>
      <w:szCs w:val="18"/>
    </w:rPr>
  </w:style>
  <w:style w:type="character" w:customStyle="1" w:styleId="18">
    <w:name w:val="副标题 字符"/>
    <w:link w:val="8"/>
    <w:semiHidden/>
    <w:qFormat/>
    <w:uiPriority w:val="0"/>
    <w:rPr>
      <w:rFonts w:ascii="Calibri" w:hAnsi="Calibri" w:eastAsia="宋体" w:cs="黑体"/>
      <w:i/>
      <w:iCs/>
      <w:color w:val="F0A22E"/>
      <w:spacing w:val="15"/>
      <w:kern w:val="0"/>
      <w:sz w:val="24"/>
      <w:szCs w:val="24"/>
    </w:rPr>
  </w:style>
  <w:style w:type="character" w:customStyle="1" w:styleId="19">
    <w:name w:val="标题 字符"/>
    <w:link w:val="9"/>
    <w:semiHidden/>
    <w:qFormat/>
    <w:uiPriority w:val="0"/>
    <w:rPr>
      <w:rFonts w:ascii="Calibri" w:hAnsi="Calibri" w:eastAsia="宋体" w:cs="黑体"/>
      <w:color w:val="392B23"/>
      <w:spacing w:val="5"/>
      <w:kern w:val="28"/>
      <w:sz w:val="52"/>
      <w:szCs w:val="52"/>
    </w:rPr>
  </w:style>
  <w:style w:type="paragraph" w:customStyle="1" w:styleId="20">
    <w:name w:val="批注框文本 Char Char"/>
    <w:basedOn w:val="1"/>
    <w:link w:val="23"/>
    <w:qFormat/>
    <w:uiPriority w:val="0"/>
    <w:rPr>
      <w:sz w:val="18"/>
      <w:szCs w:val="18"/>
    </w:rPr>
  </w:style>
  <w:style w:type="paragraph" w:customStyle="1" w:styleId="21">
    <w:name w:val="无间隔1"/>
    <w:link w:val="24"/>
    <w:qFormat/>
    <w:uiPriority w:val="0"/>
    <w:pPr>
      <w:spacing w:after="160" w:line="480" w:lineRule="auto"/>
    </w:pPr>
    <w:rPr>
      <w:rFonts w:ascii="Times New Roman" w:hAnsi="Times New Roman" w:eastAsia="宋体" w:cs="Times New Roman"/>
      <w:sz w:val="22"/>
      <w:lang w:val="en-US" w:eastAsia="zh-CN" w:bidi="ar-SA"/>
    </w:rPr>
  </w:style>
  <w:style w:type="paragraph" w:customStyle="1" w:styleId="22">
    <w:name w:val="列表段落1"/>
    <w:basedOn w:val="1"/>
    <w:qFormat/>
    <w:uiPriority w:val="0"/>
    <w:pPr>
      <w:ind w:firstLine="420" w:firstLineChars="200"/>
    </w:pPr>
  </w:style>
  <w:style w:type="character" w:customStyle="1" w:styleId="23">
    <w:name w:val="批注框文本 Char Char Char Char"/>
    <w:link w:val="20"/>
    <w:semiHidden/>
    <w:qFormat/>
    <w:uiPriority w:val="0"/>
    <w:rPr>
      <w:rFonts w:ascii="Times New Roman" w:hAnsi="Times New Roman" w:eastAsia="宋体" w:cs="Times New Roman"/>
      <w:sz w:val="18"/>
      <w:szCs w:val="18"/>
    </w:rPr>
  </w:style>
  <w:style w:type="character" w:customStyle="1" w:styleId="24">
    <w:name w:val="无间隔 Char"/>
    <w:link w:val="21"/>
    <w:semiHidden/>
    <w:qFormat/>
    <w:uiPriority w:val="0"/>
    <w:rPr>
      <w:kern w:val="0"/>
      <w:sz w:val="22"/>
    </w:rPr>
  </w:style>
  <w:style w:type="character" w:customStyle="1" w:styleId="25">
    <w:name w:val="Style1"/>
    <w:qFormat/>
    <w:uiPriority w:val="0"/>
    <w:rPr>
      <w:rFonts w:ascii="Cambria" w:hAnsi="黑体" w:eastAsia="黑体" w:cs="黑体"/>
      <w:sz w:val="22"/>
      <w:szCs w:val="22"/>
      <w:lang w:eastAsia="zh-CN"/>
    </w:rPr>
  </w:style>
  <w:style w:type="character" w:customStyle="1" w:styleId="26">
    <w:name w:val="Style2"/>
    <w:qFormat/>
    <w:uiPriority w:val="0"/>
    <w:rPr>
      <w:rFonts w:ascii="Cambria" w:hAnsi="黑体" w:eastAsia="黑体" w:cs="黑体"/>
      <w:sz w:val="22"/>
      <w:szCs w:val="22"/>
      <w:lang w:eastAsia="zh-CN"/>
    </w:rPr>
  </w:style>
  <w:style w:type="character" w:customStyle="1" w:styleId="27">
    <w:name w:val="Style3"/>
    <w:qFormat/>
    <w:uiPriority w:val="0"/>
    <w:rPr>
      <w:rFonts w:ascii="Cambria" w:hAnsi="黑体" w:eastAsia="黑体" w:cs="黑体"/>
      <w:szCs w:val="22"/>
      <w:lang w:eastAsia="zh-CN"/>
    </w:rPr>
  </w:style>
  <w:style w:type="character" w:customStyle="1" w:styleId="28">
    <w:name w:val="Style4"/>
    <w:qFormat/>
    <w:uiPriority w:val="0"/>
    <w:rPr>
      <w:rFonts w:ascii="Cambria" w:hAnsi="黑体" w:eastAsia="黑体" w:cs="黑体"/>
      <w:szCs w:val="22"/>
      <w:lang w:eastAsia="zh-CN"/>
    </w:rPr>
  </w:style>
  <w:style w:type="character" w:customStyle="1" w:styleId="29">
    <w:name w:val="Style5"/>
    <w:qFormat/>
    <w:uiPriority w:val="0"/>
    <w:rPr>
      <w:rFonts w:ascii="Cambria" w:hAnsi="黑体" w:eastAsia="黑体" w:cs="黑体"/>
      <w:sz w:val="22"/>
      <w:szCs w:val="22"/>
      <w:lang w:eastAsia="zh-CN"/>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image" Target="media/image2.png"/><Relationship Id="rId6" Type="http://schemas.openxmlformats.org/officeDocument/2006/relationships/image" Target="media/image1.png"/><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19</Pages>
  <Words>936</Words>
  <Characters>5337</Characters>
  <Lines>44</Lines>
  <Paragraphs>12</Paragraphs>
  <TotalTime>17</TotalTime>
  <ScaleCrop>false</ScaleCrop>
  <LinksUpToDate>false</LinksUpToDate>
  <CharactersWithSpaces>6261</CharactersWithSpaces>
  <Application>WPS Office_11.8.2.12012_F1E327BC-269C-435d-A152-05C5408002CA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2018-08-31T00:38:00Z</dcterms:created>
  <dc:creator>User</dc:creator>
  <cp:lastModifiedBy>caizhengju</cp:lastModifiedBy>
  <dcterms:modified xsi:type="dcterms:W3CDTF">2024-01-02T16:32:01Z</dcterms:modified>
  <dc:subject>石家庄市xxx部门</dc:subject>
  <dc:title>Administrator</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2052-11.8.2.12012</vt:lpwstr>
  </property>
  <property fmtid="{D5CDD505-2E9C-101B-9397-08002B2CF9AE}" pid="3" name="ICV">
    <vt:lpwstr>5ADC9E27AC249C6601CA936571984DA9</vt:lpwstr>
  </property>
</Properties>
</file>