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ocument.xml" ContentType="application/vnd.openxmlformats-officedocument.wordprocessingml.document.main+xml"/>
  <Override PartName="/word/drawings/drawing1.xml" ContentType="application/vnd.openxmlformats-officedocument.drawingml.chartshapes+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8480"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无极县郝庄乡人民政府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8480;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无极县郝庄乡人民政府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郝庄乡</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一、 财政拨款收入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二、 事业收入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三、 其他收入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四、 用事业基金弥补收支差额</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五、 年初结转和结余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六、 结余分配</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七、 年末结转和结余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八、 基本支出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九、 项目支出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 基本建设支出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十一、 其他资本性支出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十二、 “ 三公” 经费</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十三、 其他交通费用</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十四、 公务用车购置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十五、 其他交通工具购置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十六、 机关运行经费</w:t>
      </w:r>
    </w:p>
    <w:p>
      <w:pPr>
        <w:spacing w:line="580" w:lineRule="exact"/>
        <w:ind w:firstLine="964" w:firstLineChars="300"/>
        <w:jc w:val="left"/>
        <w:rPr>
          <w:rFonts w:ascii="宋体" w:hAnsi="宋体" w:cs="宋体"/>
          <w:b/>
          <w:bCs/>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257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2576;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numPr>
          <w:ilvl w:val="0"/>
          <w:numId w:val="1"/>
        </w:numPr>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部门职责</w:t>
      </w:r>
    </w:p>
    <w:p>
      <w:pPr>
        <w:snapToGrid w:val="0"/>
        <w:spacing w:line="560" w:lineRule="exact"/>
        <w:jc w:val="left"/>
        <w:rPr>
          <w:rFonts w:ascii="仿宋_GB2312" w:hAnsi="仿宋" w:eastAsia="仿宋_GB2312"/>
          <w:sz w:val="32"/>
        </w:rPr>
      </w:pPr>
      <w:r>
        <w:rPr>
          <w:rFonts w:hint="eastAsia" w:ascii="仿宋_GB2312" w:hAnsi="仿宋" w:eastAsia="仿宋_GB2312"/>
          <w:sz w:val="32"/>
        </w:rPr>
        <w:t xml:space="preserve">    宣传、贯彻、执行党的路线方针政策和国家的法律、法规,执行本级人民代表大会的决议和上级国家行政机关的决定和命令,其主要职能为:</w:t>
      </w:r>
    </w:p>
    <w:p>
      <w:pPr>
        <w:numPr>
          <w:ilvl w:val="0"/>
          <w:numId w:val="2"/>
        </w:numPr>
        <w:snapToGrid w:val="0"/>
        <w:spacing w:line="560" w:lineRule="exact"/>
        <w:jc w:val="left"/>
        <w:rPr>
          <w:rFonts w:ascii="仿宋_GB2312" w:hAnsi="仿宋" w:eastAsia="仿宋_GB2312"/>
          <w:sz w:val="32"/>
        </w:rPr>
      </w:pPr>
      <w:r>
        <w:rPr>
          <w:rFonts w:hint="eastAsia" w:ascii="仿宋_GB2312" w:hAnsi="仿宋" w:eastAsia="仿宋_GB2312"/>
          <w:sz w:val="32"/>
        </w:rPr>
        <w:t>促进经济发展</w:t>
      </w:r>
    </w:p>
    <w:p>
      <w:pPr>
        <w:snapToGrid w:val="0"/>
        <w:spacing w:line="560" w:lineRule="exact"/>
        <w:ind w:firstLine="640" w:firstLineChars="200"/>
        <w:jc w:val="left"/>
        <w:rPr>
          <w:rFonts w:ascii="仿宋_GB2312" w:hAnsi="仿宋" w:eastAsia="仿宋_GB2312"/>
          <w:sz w:val="32"/>
        </w:rPr>
      </w:pPr>
      <w:r>
        <w:rPr>
          <w:rFonts w:hint="eastAsia" w:ascii="仿宋_GB2312" w:hAnsi="仿宋" w:eastAsia="仿宋_GB2312"/>
          <w:sz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2.加强社会管理</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3.提供公共服务</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4.维护农村稳定</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主要包括:（1）做好社会治安综合</w:t>
      </w:r>
      <w:r>
        <w:rPr>
          <w:rFonts w:hint="eastAsia" w:ascii="仿宋_GB2312" w:hAnsi="仿宋" w:eastAsia="仿宋_GB2312"/>
          <w:sz w:val="32"/>
          <w:lang w:eastAsia="zh-CN"/>
        </w:rPr>
        <w:t>治理</w:t>
      </w:r>
      <w:r>
        <w:rPr>
          <w:rFonts w:hint="eastAsia" w:ascii="仿宋_GB2312" w:hAnsi="仿宋" w:eastAsia="仿宋_GB2312"/>
          <w:sz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无极县郝庄乡人民政府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9504;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961.9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935.1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22.89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961.9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966.06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966.06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966.06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760" w:type="dxa"/>
        <w:jc w:val="center"/>
        <w:tblLayout w:type="fixed"/>
        <w:tblCellMar>
          <w:top w:w="0" w:type="dxa"/>
          <w:left w:w="0" w:type="dxa"/>
          <w:bottom w:w="0" w:type="dxa"/>
          <w:right w:w="0" w:type="dxa"/>
        </w:tblCellMar>
      </w:tblPr>
      <w:tblGrid>
        <w:gridCol w:w="335"/>
        <w:gridCol w:w="179"/>
        <w:gridCol w:w="520"/>
        <w:gridCol w:w="1851"/>
        <w:gridCol w:w="260"/>
        <w:gridCol w:w="650"/>
        <w:gridCol w:w="50"/>
        <w:gridCol w:w="115"/>
        <w:gridCol w:w="145"/>
        <w:gridCol w:w="541"/>
        <w:gridCol w:w="130"/>
        <w:gridCol w:w="144"/>
        <w:gridCol w:w="500"/>
        <w:gridCol w:w="171"/>
        <w:gridCol w:w="145"/>
        <w:gridCol w:w="338"/>
        <w:gridCol w:w="332"/>
        <w:gridCol w:w="145"/>
        <w:gridCol w:w="90"/>
        <w:gridCol w:w="708"/>
        <w:gridCol w:w="17"/>
        <w:gridCol w:w="834"/>
        <w:gridCol w:w="600"/>
        <w:gridCol w:w="960"/>
      </w:tblGrid>
      <w:tr>
        <w:tblPrEx>
          <w:tblCellMar>
            <w:top w:w="0" w:type="dxa"/>
            <w:left w:w="0" w:type="dxa"/>
            <w:bottom w:w="0" w:type="dxa"/>
            <w:right w:w="0" w:type="dxa"/>
          </w:tblCellMar>
        </w:tblPrEx>
        <w:trPr>
          <w:gridAfter w:val="1"/>
          <w:wAfter w:w="960" w:type="dxa"/>
          <w:trHeight w:val="770" w:hRule="atLeast"/>
          <w:jc w:val="center"/>
        </w:trPr>
        <w:tc>
          <w:tcPr>
            <w:tcW w:w="8800" w:type="dxa"/>
            <w:gridSpan w:val="23"/>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61"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960" w:type="dxa"/>
          <w:trHeight w:val="362" w:hRule="atLeast"/>
          <w:jc w:val="center"/>
        </w:trPr>
        <w:tc>
          <w:tcPr>
            <w:tcW w:w="288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960" w:type="dxa"/>
          <w:trHeight w:val="325" w:hRule="atLeast"/>
          <w:jc w:val="center"/>
        </w:trPr>
        <w:tc>
          <w:tcPr>
            <w:tcW w:w="3795" w:type="dxa"/>
            <w:gridSpan w:val="6"/>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1"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774"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654"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708"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5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600"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960" w:type="dxa"/>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761" w:type="dxa"/>
            <w:gridSpan w:val="3"/>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51"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774"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54"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8"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00"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960" w:type="dxa"/>
          <w:trHeight w:val="391" w:hRule="atLeast"/>
          <w:jc w:val="center"/>
        </w:trPr>
        <w:tc>
          <w:tcPr>
            <w:tcW w:w="379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5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7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65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1"/>
          <w:wAfter w:w="960" w:type="dxa"/>
          <w:trHeight w:val="90" w:hRule="atLeast"/>
          <w:jc w:val="center"/>
        </w:trPr>
        <w:tc>
          <w:tcPr>
            <w:tcW w:w="379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1"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961.9</w:t>
            </w:r>
          </w:p>
        </w:tc>
        <w:tc>
          <w:tcPr>
            <w:tcW w:w="77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961.9</w:t>
            </w:r>
          </w:p>
        </w:tc>
        <w:tc>
          <w:tcPr>
            <w:tcW w:w="65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0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8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0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930.85</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7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征地和拆迁补偿支出</w:t>
            </w:r>
          </w:p>
        </w:tc>
        <w:tc>
          <w:tcPr>
            <w:tcW w:w="8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6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60" w:type="dxa"/>
          <w:trHeight w:val="481" w:hRule="atLeast"/>
          <w:jc w:val="center"/>
        </w:trPr>
        <w:tc>
          <w:tcPr>
            <w:tcW w:w="8800" w:type="dxa"/>
            <w:gridSpan w:val="2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570"/>
        <w:gridCol w:w="233"/>
        <w:gridCol w:w="1117"/>
        <w:gridCol w:w="647"/>
        <w:gridCol w:w="838"/>
        <w:gridCol w:w="280"/>
        <w:gridCol w:w="713"/>
        <w:gridCol w:w="407"/>
        <w:gridCol w:w="585"/>
        <w:gridCol w:w="533"/>
        <w:gridCol w:w="459"/>
        <w:gridCol w:w="661"/>
        <w:gridCol w:w="48"/>
        <w:gridCol w:w="567"/>
        <w:gridCol w:w="763"/>
      </w:tblGrid>
      <w:tr>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196" w:hRule="atLeast"/>
        </w:trPr>
        <w:tc>
          <w:tcPr>
            <w:tcW w:w="3984"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9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0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5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763"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579" w:hRule="atLeast"/>
        </w:trPr>
        <w:tc>
          <w:tcPr>
            <w:tcW w:w="114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9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0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63"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32" w:hRule="atLeast"/>
        </w:trPr>
        <w:tc>
          <w:tcPr>
            <w:tcW w:w="3984"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281" w:hRule="atLeast"/>
        </w:trPr>
        <w:tc>
          <w:tcPr>
            <w:tcW w:w="3984"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966.06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506.31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459.75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71"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74"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0"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05"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11"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5"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41"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61"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51"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13"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76"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83" w:hRule="atLeast"/>
        </w:trPr>
        <w:tc>
          <w:tcPr>
            <w:tcW w:w="11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83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957.61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935.01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935.01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22.89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22.89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961.9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966.06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961.77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4.29</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966.06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966.06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961.77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4.29</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961.77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506.31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455.46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935.01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451.59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22.89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322.41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159.19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153.17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85.46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60.87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17.16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21.88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11.11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24.71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16.04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23.77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1.5.965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21.59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347.12</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159.19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10096" w:type="dxa"/>
        <w:tblInd w:w="0" w:type="dxa"/>
        <w:tblLayout w:type="fixed"/>
        <w:tblCellMar>
          <w:top w:w="0" w:type="dxa"/>
          <w:left w:w="0" w:type="dxa"/>
          <w:bottom w:w="0" w:type="dxa"/>
          <w:right w:w="0" w:type="dxa"/>
        </w:tblCellMar>
      </w:tblPr>
      <w:tblGrid>
        <w:gridCol w:w="296"/>
        <w:gridCol w:w="191"/>
        <w:gridCol w:w="479"/>
        <w:gridCol w:w="669"/>
        <w:gridCol w:w="1542"/>
        <w:gridCol w:w="807"/>
        <w:gridCol w:w="1560"/>
        <w:gridCol w:w="708"/>
        <w:gridCol w:w="192"/>
        <w:gridCol w:w="517"/>
        <w:gridCol w:w="567"/>
        <w:gridCol w:w="108"/>
        <w:gridCol w:w="459"/>
        <w:gridCol w:w="733"/>
        <w:gridCol w:w="32"/>
        <w:gridCol w:w="1236"/>
      </w:tblGrid>
      <w:tr>
        <w:tblPrEx>
          <w:tblCellMar>
            <w:top w:w="0" w:type="dxa"/>
            <w:left w:w="0" w:type="dxa"/>
            <w:bottom w:w="0" w:type="dxa"/>
            <w:right w:w="0" w:type="dxa"/>
          </w:tblCellMar>
        </w:tblPrEx>
        <w:trPr>
          <w:gridAfter w:val="1"/>
          <w:wAfter w:w="1236" w:type="dxa"/>
          <w:trHeight w:val="707" w:hRule="atLeast"/>
        </w:trPr>
        <w:tc>
          <w:tcPr>
            <w:tcW w:w="8860" w:type="dxa"/>
            <w:gridSpan w:val="1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075"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3075"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236" w:type="dxa"/>
          <w:trHeight w:val="324" w:hRule="atLeast"/>
        </w:trPr>
        <w:tc>
          <w:tcPr>
            <w:tcW w:w="398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5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70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1843"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76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gridAfter w:val="1"/>
          <w:wAfter w:w="1236" w:type="dxa"/>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018"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5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56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018"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5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018"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5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6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398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1236" w:type="dxa"/>
          <w:trHeight w:val="324" w:hRule="atLeast"/>
        </w:trPr>
        <w:tc>
          <w:tcPr>
            <w:tcW w:w="398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 xml:space="preserve">  征地和拆迁补偿支出</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4.29</w:t>
            </w: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01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236" w:type="dxa"/>
          <w:trHeight w:val="324" w:hRule="atLeast"/>
        </w:trPr>
        <w:tc>
          <w:tcPr>
            <w:tcW w:w="8860" w:type="dxa"/>
            <w:gridSpan w:val="1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本部门本年度国有资产经营预算无支出，按要求空表列示。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483.63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483.27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0528;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本部门2018年度收支总计（含结转和结余）</w:t>
      </w:r>
      <w:r>
        <w:rPr>
          <w:rFonts w:hint="eastAsia" w:ascii="宋体" w:hAnsi="宋体" w:cs="宋体"/>
          <w:sz w:val="32"/>
          <w:szCs w:val="32"/>
        </w:rPr>
        <w:t>966.06</w:t>
      </w:r>
      <w:r>
        <w:rPr>
          <w:rFonts w:hint="eastAsia" w:ascii="仿宋_GB2312" w:eastAsia="仿宋_GB2312" w:cs="DengXian-Regular"/>
          <w:sz w:val="32"/>
          <w:szCs w:val="32"/>
        </w:rPr>
        <w:t>万元。与2017年度决算相比，收支各减少27.6</w:t>
      </w:r>
      <w:r>
        <w:rPr>
          <w:rFonts w:hint="eastAsia" w:ascii="宋体" w:hAnsi="宋体" w:cs="宋体"/>
          <w:sz w:val="32"/>
          <w:szCs w:val="32"/>
        </w:rPr>
        <w:t>9</w:t>
      </w:r>
      <w:r>
        <w:rPr>
          <w:rFonts w:hint="eastAsia" w:ascii="仿宋_GB2312" w:eastAsia="仿宋_GB2312" w:cs="DengXian-Regular"/>
          <w:sz w:val="32"/>
          <w:szCs w:val="32"/>
        </w:rPr>
        <w:t>万元，下降2.7</w:t>
      </w:r>
      <w:r>
        <w:rPr>
          <w:rFonts w:hint="eastAsia" w:ascii="宋体" w:hAnsi="宋体" w:cs="宋体"/>
          <w:sz w:val="32"/>
          <w:szCs w:val="32"/>
        </w:rPr>
        <w:t>9</w:t>
      </w:r>
      <w:r>
        <w:rPr>
          <w:rFonts w:hint="eastAsia" w:ascii="仿宋_GB2312" w:eastAsia="仿宋_GB2312" w:cs="DengXian-Regular"/>
          <w:sz w:val="32"/>
          <w:szCs w:val="32"/>
        </w:rPr>
        <w:t>%，主要原因</w:t>
      </w:r>
      <w:r>
        <w:rPr>
          <w:rFonts w:hint="eastAsia" w:ascii="仿宋_GB2312" w:hAnsi="仿宋_GB2312" w:eastAsia="仿宋_GB2312" w:cs="仿宋_GB2312"/>
          <w:sz w:val="32"/>
          <w:szCs w:val="32"/>
        </w:rPr>
        <w:t>财政拨款减少。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宋体" w:hAnsi="宋体" w:cs="宋体"/>
          <w:sz w:val="32"/>
          <w:szCs w:val="32"/>
        </w:rPr>
        <w:t>961.9</w:t>
      </w:r>
      <w:r>
        <w:rPr>
          <w:rFonts w:hint="eastAsia" w:ascii="仿宋_GB2312" w:eastAsia="仿宋_GB2312" w:cs="DengXian-Regular"/>
          <w:sz w:val="32"/>
          <w:szCs w:val="32"/>
        </w:rPr>
        <w:t>万元，其中：财政拨款收入</w:t>
      </w:r>
      <w:r>
        <w:rPr>
          <w:rFonts w:hint="eastAsia" w:ascii="宋体" w:hAnsi="宋体" w:cs="宋体"/>
          <w:sz w:val="32"/>
          <w:szCs w:val="32"/>
        </w:rPr>
        <w:t>961.9</w:t>
      </w:r>
      <w:r>
        <w:rPr>
          <w:rFonts w:hint="eastAsia" w:ascii="仿宋_GB2312" w:eastAsia="仿宋_GB2312" w:cs="DengXian-Regular"/>
          <w:sz w:val="32"/>
          <w:szCs w:val="32"/>
        </w:rPr>
        <w:t>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inline distT="0" distB="0" distL="0" distR="0">
            <wp:extent cx="4498975" cy="2658110"/>
            <wp:effectExtent l="0" t="0" r="0" b="889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498975" cy="2658110"/>
                    </a:xfrm>
                    <a:prstGeom prst="rect">
                      <a:avLst/>
                    </a:prstGeom>
                    <a:noFill/>
                  </pic:spPr>
                </pic:pic>
              </a:graphicData>
            </a:graphic>
          </wp:inline>
        </w:drawing>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5408" behindDoc="0" locked="0" layoutInCell="1" allowOverlap="1">
            <wp:simplePos x="0" y="0"/>
            <wp:positionH relativeFrom="column">
              <wp:posOffset>767080</wp:posOffset>
            </wp:positionH>
            <wp:positionV relativeFrom="paragraph">
              <wp:posOffset>62865</wp:posOffset>
            </wp:positionV>
            <wp:extent cx="3686175" cy="2439035"/>
            <wp:effectExtent l="48895" t="6350" r="55880" b="107315"/>
            <wp:wrapNone/>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260" w:firstLineChars="600"/>
        <w:rPr>
          <w:rFonts w:ascii="仿宋_GB2312" w:eastAsia="仿宋_GB2312" w:cs="DengXian-Regular"/>
          <w:sz w:val="32"/>
          <w:szCs w:val="32"/>
        </w:rPr>
      </w:pPr>
      <w:r>
        <w:drawing>
          <wp:inline distT="0" distB="0" distL="0" distR="0">
            <wp:extent cx="4219575" cy="2514600"/>
            <wp:effectExtent l="57150" t="0" r="47625" b="1143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r>
        <w:drawing>
          <wp:inline distT="0" distB="0" distL="0" distR="0">
            <wp:extent cx="4391025" cy="2552700"/>
            <wp:effectExtent l="57150" t="0" r="47625" b="11430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黑体" w:eastAsia="黑体"/>
        </w:rPr>
      </w:pPr>
      <w:r>
        <w:rPr>
          <w:rFonts w:hint="eastAsia" w:ascii="仿宋_GB2312" w:eastAsia="仿宋_GB2312" w:cs="DengXian-Regular"/>
          <w:sz w:val="32"/>
          <w:szCs w:val="32"/>
        </w:rPr>
        <w:t>本部门2018年度本年支出合计</w:t>
      </w:r>
      <w:r>
        <w:rPr>
          <w:rFonts w:hint="eastAsia" w:ascii="宋体" w:hAnsi="宋体" w:cs="宋体"/>
          <w:sz w:val="32"/>
          <w:szCs w:val="32"/>
        </w:rPr>
        <w:t>966.06</w:t>
      </w:r>
      <w:r>
        <w:rPr>
          <w:rFonts w:hint="eastAsia" w:ascii="仿宋_GB2312" w:eastAsia="仿宋_GB2312" w:cs="DengXian-Regular"/>
          <w:sz w:val="32"/>
          <w:szCs w:val="32"/>
        </w:rPr>
        <w:t>万元，其中：基本支出506.31万元，占52.41%；项目支出45</w:t>
      </w:r>
      <w:r>
        <w:rPr>
          <w:rFonts w:hint="eastAsia" w:ascii="宋体" w:hAnsi="宋体" w:cs="宋体"/>
          <w:sz w:val="32"/>
          <w:szCs w:val="32"/>
        </w:rPr>
        <w:t>9.75</w:t>
      </w:r>
      <w:r>
        <w:rPr>
          <w:rFonts w:hint="eastAsia" w:ascii="仿宋_GB2312" w:eastAsia="仿宋_GB2312" w:cs="DengXian-Regular"/>
          <w:sz w:val="32"/>
          <w:szCs w:val="32"/>
        </w:rPr>
        <w:t>万元，占47.5</w:t>
      </w:r>
      <w:r>
        <w:rPr>
          <w:rFonts w:hint="eastAsia" w:ascii="宋体" w:hAnsi="宋体" w:cs="宋体"/>
          <w:sz w:val="32"/>
          <w:szCs w:val="32"/>
        </w:rPr>
        <w:t>9</w:t>
      </w:r>
      <w:r>
        <w:rPr>
          <w:rFonts w:hint="eastAsia" w:ascii="仿宋_GB2312" w:eastAsia="仿宋_GB2312" w:cs="DengXian-Regular"/>
          <w:sz w:val="32"/>
          <w:szCs w:val="32"/>
        </w:rPr>
        <w:t>%，经营支出0万元，占0</w:t>
      </w:r>
      <w:r>
        <w:rPr>
          <w:rFonts w:hint="eastAsia" w:ascii="宋体" w:hAnsi="宋体" w:cs="宋体"/>
          <w:sz w:val="32"/>
          <w:szCs w:val="32"/>
        </w:rPr>
        <w:t>%</w:t>
      </w:r>
      <w:r>
        <w:rPr>
          <w:rFonts w:hint="eastAsia" w:ascii="仿宋_GB2312" w:eastAsia="仿宋_GB2312" w:cs="DengXian-Regular"/>
          <w:sz w:val="32"/>
          <w:szCs w:val="32"/>
        </w:rPr>
        <w:t>。如图所示：</w:t>
      </w:r>
    </w:p>
    <w:p>
      <w:r>
        <w:drawing>
          <wp:inline distT="0" distB="0" distL="0" distR="0">
            <wp:extent cx="5114290" cy="2818130"/>
            <wp:effectExtent l="48895" t="6350" r="56515" b="109220"/>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3"/>
        <w:spacing w:before="0" w:after="0" w:line="580" w:lineRule="exact"/>
        <w:ind w:firstLine="960" w:firstLineChars="3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宋体" w:hAnsi="宋体" w:cs="宋体"/>
          <w:sz w:val="32"/>
          <w:szCs w:val="32"/>
        </w:rPr>
        <w:t>966.06</w:t>
      </w:r>
      <w:r>
        <w:rPr>
          <w:rFonts w:hint="eastAsia" w:ascii="仿宋_GB2312" w:eastAsia="仿宋_GB2312" w:cs="DengXian-Regular"/>
          <w:sz w:val="32"/>
          <w:szCs w:val="32"/>
        </w:rPr>
        <w:t>万元,比2017年度减少27.6</w:t>
      </w:r>
      <w:r>
        <w:rPr>
          <w:rFonts w:hint="eastAsia" w:ascii="宋体" w:hAnsi="宋体" w:cs="宋体"/>
          <w:sz w:val="32"/>
          <w:szCs w:val="32"/>
        </w:rPr>
        <w:t>9</w:t>
      </w:r>
      <w:r>
        <w:rPr>
          <w:rFonts w:hint="eastAsia" w:ascii="仿宋_GB2312" w:eastAsia="仿宋_GB2312" w:cs="DengXian-Regular"/>
          <w:sz w:val="32"/>
          <w:szCs w:val="32"/>
        </w:rPr>
        <w:t>万元，降低2.7</w:t>
      </w:r>
      <w:r>
        <w:rPr>
          <w:rFonts w:hint="eastAsia" w:ascii="宋体" w:hAnsi="宋体" w:cs="宋体"/>
          <w:sz w:val="32"/>
          <w:szCs w:val="32"/>
        </w:rPr>
        <w:t>9</w:t>
      </w:r>
      <w:r>
        <w:rPr>
          <w:rFonts w:hint="eastAsia" w:ascii="仿宋_GB2312" w:eastAsia="仿宋_GB2312" w:cs="DengXian-Regular"/>
          <w:sz w:val="32"/>
          <w:szCs w:val="32"/>
        </w:rPr>
        <w:t>%，主要是日常业务减少，</w:t>
      </w:r>
      <w:r>
        <w:rPr>
          <w:rFonts w:hint="eastAsia" w:ascii="仿宋_GB2312" w:hAnsi="仿宋_GB2312" w:eastAsia="仿宋_GB2312" w:cs="仿宋_GB2312"/>
          <w:sz w:val="32"/>
          <w:szCs w:val="32"/>
        </w:rPr>
        <w:t>财政拨款减少</w:t>
      </w:r>
      <w:r>
        <w:rPr>
          <w:rFonts w:hint="eastAsia" w:ascii="仿宋_GB2312" w:eastAsia="仿宋_GB2312" w:cs="DengXian-Regular"/>
          <w:sz w:val="32"/>
          <w:szCs w:val="32"/>
        </w:rPr>
        <w:t>；本年支出</w:t>
      </w:r>
      <w:r>
        <w:rPr>
          <w:rFonts w:hint="eastAsia" w:ascii="宋体" w:hAnsi="宋体" w:cs="宋体"/>
          <w:sz w:val="32"/>
          <w:szCs w:val="32"/>
        </w:rPr>
        <w:t>966.06</w:t>
      </w:r>
      <w:r>
        <w:rPr>
          <w:rFonts w:hint="eastAsia" w:ascii="仿宋_GB2312" w:eastAsia="仿宋_GB2312" w:cs="DengXian-Regular"/>
          <w:sz w:val="32"/>
          <w:szCs w:val="32"/>
        </w:rPr>
        <w:t>万元，减少23.53万元，降低2.38%，主要是日常业务减少，支出减少，</w:t>
      </w:r>
      <w:r>
        <w:rPr>
          <w:rFonts w:hint="eastAsia" w:ascii="仿宋_GB2312" w:hAnsi="仿宋_GB2312" w:eastAsia="仿宋_GB2312" w:cs="仿宋_GB2312"/>
          <w:sz w:val="32"/>
          <w:szCs w:val="32"/>
        </w:rPr>
        <w:t>财政拨款减少</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宋体" w:hAnsi="宋体" w:cs="宋体"/>
          <w:sz w:val="32"/>
          <w:szCs w:val="32"/>
        </w:rPr>
        <w:t>957.61</w:t>
      </w:r>
      <w:r>
        <w:rPr>
          <w:rFonts w:hint="eastAsia" w:ascii="仿宋_GB2312" w:eastAsia="仿宋_GB2312" w:cs="DengXian-Regular"/>
          <w:sz w:val="32"/>
          <w:szCs w:val="32"/>
        </w:rPr>
        <w:t>万元，比上年减少36.14万元，降低3.64%；主要是日常业务减少，</w:t>
      </w:r>
      <w:r>
        <w:rPr>
          <w:rFonts w:hint="eastAsia" w:ascii="仿宋_GB2312" w:hAnsi="仿宋_GB2312" w:eastAsia="仿宋_GB2312" w:cs="仿宋_GB2312"/>
          <w:sz w:val="32"/>
          <w:szCs w:val="32"/>
        </w:rPr>
        <w:t>财政拨款减少</w:t>
      </w:r>
      <w:r>
        <w:rPr>
          <w:rFonts w:hint="eastAsia" w:ascii="仿宋_GB2312" w:eastAsia="仿宋_GB2312" w:cs="DengXian-Regular"/>
          <w:sz w:val="32"/>
          <w:szCs w:val="32"/>
        </w:rPr>
        <w:t>；本年支出</w:t>
      </w:r>
      <w:r>
        <w:rPr>
          <w:rFonts w:hint="eastAsia" w:ascii="宋体" w:hAnsi="宋体" w:cs="宋体"/>
          <w:sz w:val="32"/>
          <w:szCs w:val="32"/>
        </w:rPr>
        <w:t>961.77</w:t>
      </w:r>
      <w:r>
        <w:rPr>
          <w:rFonts w:hint="eastAsia" w:ascii="仿宋_GB2312" w:eastAsia="仿宋_GB2312" w:cs="DengXian-Regular"/>
          <w:sz w:val="32"/>
          <w:szCs w:val="32"/>
        </w:rPr>
        <w:t>万元，比上年减少27.82万元，降低2.81%，主要是日常业务减少，支出减少，</w:t>
      </w:r>
      <w:r>
        <w:rPr>
          <w:rFonts w:hint="eastAsia" w:ascii="仿宋_GB2312" w:hAnsi="仿宋_GB2312" w:eastAsia="仿宋_GB2312" w:cs="仿宋_GB2312"/>
          <w:sz w:val="32"/>
          <w:szCs w:val="32"/>
        </w:rPr>
        <w:t>财政拨款减少</w:t>
      </w:r>
      <w:r>
        <w:rPr>
          <w:rFonts w:hint="eastAsia" w:ascii="仿宋_GB2312" w:eastAsia="仿宋_GB2312" w:cs="DengXian-Regular"/>
          <w:sz w:val="32"/>
          <w:szCs w:val="32"/>
        </w:rPr>
        <w:t>。政府性基金预算财政拨款本年收入4.2</w:t>
      </w:r>
      <w:r>
        <w:rPr>
          <w:rFonts w:hint="eastAsia" w:ascii="宋体" w:hAnsi="宋体" w:cs="宋体"/>
          <w:sz w:val="32"/>
          <w:szCs w:val="32"/>
        </w:rPr>
        <w:t>9</w:t>
      </w:r>
      <w:r>
        <w:rPr>
          <w:rFonts w:hint="eastAsia" w:ascii="仿宋_GB2312" w:eastAsia="仿宋_GB2312" w:cs="DengXian-Regular"/>
          <w:sz w:val="32"/>
          <w:szCs w:val="32"/>
        </w:rPr>
        <w:t>万元，比上年增加4.2</w:t>
      </w:r>
      <w:r>
        <w:rPr>
          <w:rFonts w:hint="eastAsia" w:ascii="宋体" w:hAnsi="宋体" w:cs="宋体"/>
          <w:sz w:val="32"/>
          <w:szCs w:val="32"/>
        </w:rPr>
        <w:t>9</w:t>
      </w:r>
      <w:r>
        <w:rPr>
          <w:rFonts w:hint="eastAsia" w:ascii="仿宋_GB2312" w:eastAsia="仿宋_GB2312" w:cs="DengXian-Regular"/>
          <w:sz w:val="32"/>
          <w:szCs w:val="32"/>
        </w:rPr>
        <w:t>万元，增长100%，主要原因是本部门新增政府性基金预算支出，</w:t>
      </w:r>
      <w:r>
        <w:rPr>
          <w:rFonts w:hint="eastAsia" w:ascii="仿宋_GB2312" w:hAnsi="仿宋_GB2312" w:eastAsia="仿宋_GB2312" w:cs="仿宋_GB2312"/>
          <w:sz w:val="32"/>
          <w:szCs w:val="32"/>
        </w:rPr>
        <w:t>财政拨款增加</w:t>
      </w:r>
      <w:r>
        <w:rPr>
          <w:rFonts w:hint="eastAsia" w:ascii="仿宋_GB2312" w:eastAsia="仿宋_GB2312" w:cs="DengXian-Regular"/>
          <w:sz w:val="32"/>
          <w:szCs w:val="32"/>
        </w:rPr>
        <w:t>；本年支出4.2</w:t>
      </w:r>
      <w:r>
        <w:rPr>
          <w:rFonts w:hint="eastAsia" w:ascii="宋体" w:hAnsi="宋体" w:cs="宋体"/>
          <w:sz w:val="32"/>
          <w:szCs w:val="32"/>
        </w:rPr>
        <w:t>9</w:t>
      </w:r>
      <w:r>
        <w:rPr>
          <w:rFonts w:hint="eastAsia" w:ascii="仿宋_GB2312" w:eastAsia="仿宋_GB2312" w:cs="DengXian-Regular"/>
          <w:sz w:val="32"/>
          <w:szCs w:val="32"/>
        </w:rPr>
        <w:t>万元，比上年增加4.2</w:t>
      </w:r>
      <w:r>
        <w:rPr>
          <w:rFonts w:hint="eastAsia" w:ascii="宋体" w:hAnsi="宋体" w:cs="宋体"/>
          <w:sz w:val="32"/>
          <w:szCs w:val="32"/>
        </w:rPr>
        <w:t>9</w:t>
      </w:r>
      <w:r>
        <w:rPr>
          <w:rFonts w:hint="eastAsia" w:ascii="仿宋_GB2312" w:eastAsia="仿宋_GB2312" w:cs="DengXian-Regular"/>
          <w:sz w:val="32"/>
          <w:szCs w:val="32"/>
        </w:rPr>
        <w:t>万元，增长100%，主要是本部门新增政府性基金预算项目支出，</w:t>
      </w:r>
      <w:r>
        <w:rPr>
          <w:rFonts w:hint="eastAsia" w:ascii="仿宋_GB2312" w:hAnsi="仿宋_GB2312" w:eastAsia="仿宋_GB2312" w:cs="仿宋_GB2312"/>
          <w:sz w:val="32"/>
          <w:szCs w:val="32"/>
        </w:rPr>
        <w:t>财政拨款增加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66432" behindDoc="0" locked="0" layoutInCell="1" allowOverlap="1">
            <wp:simplePos x="0" y="0"/>
            <wp:positionH relativeFrom="column">
              <wp:posOffset>711835</wp:posOffset>
            </wp:positionH>
            <wp:positionV relativeFrom="paragraph">
              <wp:posOffset>306070</wp:posOffset>
            </wp:positionV>
            <wp:extent cx="4315460" cy="2620010"/>
            <wp:effectExtent l="6350" t="6350" r="21590" b="21590"/>
            <wp:wrapNone/>
            <wp:docPr id="19" name="图表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财政拨款本年收入966.06万元，完成年初预算的139.68%,比年初预算增加562.99万元，决算数大于预算数主要原因是人员经费和日常公用经费及项目支出预估过少；本年支出966.06万元，完成年初预算的139.68%,比年初预算增加562.99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仿宋"/>
          <w:sz w:val="32"/>
          <w:szCs w:val="32"/>
        </w:rPr>
        <w:t>其中，一般公共预算财政拨款本年收入957.61万元，完成年初预算137.58%，比年初预算增加554.54万元，主要是人员经费和日常公用经费及项目支出预估过少；支出961.77万元，完成年初预算138.61%，比年初预算增加558.7万元，主要是人员经费和日常公用经费及项目支出预估过少。政府性基金预算财政拨款本年收入4.29万元，完成年初预算100%，比年初预算增加4.29万元，主要是本部门2018年度有相关收入情况，上年度没有；支出4.29万元，完成年初预算100%，比年初预算增加4.29万元，主要是本部门2018年度有相关收入情况，上年度没有。</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rPr>
        <w:drawing>
          <wp:anchor distT="0" distB="0" distL="114300" distR="114300" simplePos="0" relativeHeight="251667456" behindDoc="0" locked="0" layoutInCell="1" allowOverlap="1">
            <wp:simplePos x="0" y="0"/>
            <wp:positionH relativeFrom="column">
              <wp:posOffset>383540</wp:posOffset>
            </wp:positionH>
            <wp:positionV relativeFrom="paragraph">
              <wp:posOffset>166370</wp:posOffset>
            </wp:positionV>
            <wp:extent cx="4773295" cy="3161665"/>
            <wp:effectExtent l="4445" t="4445" r="22860" b="15240"/>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楷体" w:hAnsi="楷体" w:eastAsia="楷体" w:cs="楷体"/>
          <w:sz w:val="32"/>
          <w:szCs w:val="32"/>
          <w:highlight w:val="yellow"/>
        </w:rPr>
      </w:pPr>
    </w:p>
    <w:p>
      <w:pPr>
        <w:numPr>
          <w:ilvl w:val="0"/>
          <w:numId w:val="3"/>
        </w:numPr>
        <w:adjustRightInd w:val="0"/>
        <w:snapToGrid w:val="0"/>
        <w:spacing w:after="0" w:line="580" w:lineRule="exact"/>
        <w:ind w:left="420" w:leftChars="200"/>
        <w:rPr>
          <w:rFonts w:ascii="楷体" w:hAnsi="楷体" w:eastAsia="楷体" w:cs="楷体"/>
          <w:b/>
          <w:bCs/>
          <w:sz w:val="32"/>
          <w:szCs w:val="32"/>
        </w:rPr>
      </w:pPr>
      <w:r>
        <w:rPr>
          <w:rFonts w:hint="eastAsia" w:ascii="楷体_GB2312" w:eastAsia="楷体_GB2312" w:cs="DengXian-Bold"/>
          <w:b/>
          <w:bCs/>
          <w:sz w:val="32"/>
          <w:szCs w:val="32"/>
        </w:rPr>
        <w:t>财政拨款支出决算结构情况</w:t>
      </w:r>
      <w:r>
        <w:rPr>
          <w:rFonts w:hint="eastAsia" w:ascii="楷体" w:hAnsi="楷体" w:eastAsia="楷体" w:cs="楷体"/>
          <w:b/>
          <w:bCs/>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宋体" w:hAnsi="宋体" w:cs="宋体"/>
          <w:sz w:val="32"/>
          <w:szCs w:val="32"/>
        </w:rPr>
        <w:t>966.06</w:t>
      </w:r>
      <w:r>
        <w:rPr>
          <w:rFonts w:hint="eastAsia" w:ascii="仿宋_GB2312" w:eastAsia="仿宋_GB2312" w:cs="DengXian-Regular"/>
          <w:sz w:val="32"/>
          <w:szCs w:val="32"/>
        </w:rPr>
        <w:t>万元，主要用于以下方面：一般公共服务（类）支出</w:t>
      </w:r>
      <w:r>
        <w:rPr>
          <w:rFonts w:hint="eastAsia" w:ascii="宋体" w:hAnsi="宋体" w:cs="宋体"/>
          <w:sz w:val="32"/>
          <w:szCs w:val="32"/>
        </w:rPr>
        <w:t>935.01</w:t>
      </w:r>
      <w:r>
        <w:rPr>
          <w:rFonts w:hint="eastAsia" w:ascii="仿宋_GB2312" w:eastAsia="仿宋_GB2312" w:cs="DengXian-Regular"/>
          <w:sz w:val="32"/>
          <w:szCs w:val="32"/>
        </w:rPr>
        <w:t>万元，占</w:t>
      </w:r>
      <w:r>
        <w:rPr>
          <w:rFonts w:hint="eastAsia" w:ascii="宋体" w:hAnsi="宋体" w:cs="宋体"/>
          <w:sz w:val="32"/>
          <w:szCs w:val="32"/>
        </w:rPr>
        <w:t>96.79</w:t>
      </w:r>
      <w:r>
        <w:rPr>
          <w:rFonts w:hint="eastAsia" w:ascii="仿宋_GB2312" w:eastAsia="仿宋_GB2312" w:cs="DengXian-Regular"/>
          <w:sz w:val="32"/>
          <w:szCs w:val="32"/>
        </w:rPr>
        <w:t>%；公共安全类（类）支出0万元，占0%；教育（类）支出0万元，占0%；科学技术（类）支出0万元</w:t>
      </w:r>
      <w:r>
        <w:rPr>
          <w:rFonts w:hint="eastAsia" w:ascii="仿宋" w:hAnsi="仿宋" w:eastAsia="仿宋" w:cs="DengXian-Regular"/>
          <w:sz w:val="32"/>
          <w:szCs w:val="32"/>
        </w:rPr>
        <w:t>，占 0%；社会保障和就业（类）支出 22.8</w:t>
      </w:r>
      <w:r>
        <w:rPr>
          <w:rFonts w:hint="eastAsia" w:ascii="仿宋" w:hAnsi="仿宋" w:eastAsia="仿宋" w:cs="宋体"/>
          <w:sz w:val="32"/>
          <w:szCs w:val="32"/>
        </w:rPr>
        <w:t>9</w:t>
      </w:r>
      <w:r>
        <w:rPr>
          <w:rFonts w:hint="eastAsia" w:ascii="仿宋" w:hAnsi="仿宋" w:eastAsia="仿宋" w:cs="DengXian-Regular"/>
          <w:sz w:val="32"/>
          <w:szCs w:val="32"/>
        </w:rPr>
        <w:t>万元，占2.37%；住房保障（类）支出0万元，占 0%;节能</w:t>
      </w:r>
      <w:r>
        <w:rPr>
          <w:rFonts w:hint="eastAsia" w:ascii="仿宋" w:hAnsi="仿宋" w:eastAsia="仿宋" w:cs="宋体"/>
          <w:sz w:val="32"/>
          <w:szCs w:val="32"/>
        </w:rPr>
        <w:t>环保支出</w:t>
      </w:r>
      <w:r>
        <w:rPr>
          <w:rFonts w:hint="eastAsia" w:ascii="仿宋" w:hAnsi="仿宋" w:eastAsia="仿宋" w:cs="DengXian-Regular"/>
          <w:sz w:val="32"/>
          <w:szCs w:val="32"/>
        </w:rPr>
        <w:t>3.87万元，占0.4%；城乡社区支出4.2</w:t>
      </w:r>
      <w:r>
        <w:rPr>
          <w:rFonts w:hint="eastAsia" w:ascii="仿宋" w:hAnsi="仿宋" w:eastAsia="仿宋" w:cs="宋体"/>
          <w:sz w:val="32"/>
          <w:szCs w:val="32"/>
        </w:rPr>
        <w:t>9万元，占0.44</w:t>
      </w:r>
      <w:r>
        <w:rPr>
          <w:rFonts w:hint="eastAsia" w:ascii="宋体" w:hAnsi="宋体" w:cs="宋体"/>
          <w:sz w:val="32"/>
          <w:szCs w:val="32"/>
        </w:rPr>
        <w:t>%</w:t>
      </w:r>
      <w:r>
        <w:rPr>
          <w:rFonts w:hint="eastAsia" w:ascii="仿宋_GB2312" w:eastAsia="仿宋_GB2312" w:cs="DengXian-Regular"/>
          <w:sz w:val="32"/>
          <w:szCs w:val="32"/>
        </w:rPr>
        <w:t>。</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66432" behindDoc="0" locked="0" layoutInCell="1" allowOverlap="1">
            <wp:simplePos x="0" y="0"/>
            <wp:positionH relativeFrom="column">
              <wp:posOffset>441960</wp:posOffset>
            </wp:positionH>
            <wp:positionV relativeFrom="paragraph">
              <wp:posOffset>126365</wp:posOffset>
            </wp:positionV>
            <wp:extent cx="4154805" cy="3717925"/>
            <wp:effectExtent l="57150" t="0" r="55245" b="73025"/>
            <wp:wrapNone/>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drawing>
          <wp:inline distT="0" distB="0" distL="0" distR="0">
            <wp:extent cx="4572000" cy="3228975"/>
            <wp:effectExtent l="57150" t="0" r="57150" b="104775"/>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firstLine="321" w:firstLineChars="1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年度一般公共预算财政拨款基本支出506.31万元，其中：人员经费 347.12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w:t>
      </w:r>
      <w:r>
        <w:rPr>
          <w:rFonts w:hint="eastAsia" w:ascii="宋体" w:hAnsi="宋体" w:cs="宋体"/>
          <w:sz w:val="32"/>
          <w:szCs w:val="32"/>
        </w:rPr>
        <w:t>9.19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“三公”经费支出共计0.43万元，其中出国出境经费0万元，公务用车运行维护费0.43万元，公务接待费0万元，</w:t>
      </w:r>
      <w:r>
        <w:rPr>
          <w:rFonts w:hint="eastAsia" w:ascii="仿宋_GB2312" w:eastAsia="仿宋_GB2312" w:cs="DengXian-Regular"/>
          <w:b/>
          <w:bCs/>
          <w:sz w:val="32"/>
          <w:szCs w:val="32"/>
        </w:rPr>
        <w:t>较年初预算减少2.57万元，降低85.67%，</w:t>
      </w:r>
      <w:r>
        <w:rPr>
          <w:rFonts w:hint="eastAsia" w:ascii="仿宋_GB2312" w:eastAsia="仿宋_GB2312" w:cs="DengXian-Regular"/>
          <w:sz w:val="32"/>
          <w:szCs w:val="32"/>
        </w:rPr>
        <w:t>主要是认真贯彻落实中央</w:t>
      </w:r>
      <w:bookmarkStart w:id="0" w:name="_GoBack"/>
      <w:bookmarkEnd w:id="0"/>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w:t>
      </w:r>
      <w:r>
        <w:rPr>
          <w:rFonts w:hint="eastAsia" w:ascii="仿宋" w:hAnsi="仿宋" w:eastAsia="仿宋" w:cs="DengXian-Bold"/>
          <w:b/>
          <w:bCs/>
          <w:sz w:val="32"/>
          <w:szCs w:val="32"/>
        </w:rPr>
        <w:t>因公出国（境）费支出</w:t>
      </w:r>
      <w:r>
        <w:rPr>
          <w:rFonts w:hint="eastAsia" w:ascii="仿宋" w:hAnsi="仿宋" w:eastAsia="仿宋" w:cs="宋体"/>
          <w:b/>
          <w:bCs/>
          <w:sz w:val="32"/>
          <w:szCs w:val="32"/>
        </w:rPr>
        <w:t>0</w:t>
      </w:r>
      <w:r>
        <w:rPr>
          <w:rFonts w:hint="eastAsia" w:ascii="仿宋" w:hAnsi="仿宋" w:eastAsia="仿宋"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本部门2018年度因公出国（境）团组0个、共0人；本部门2018年度未发生“因公出国（境）”经费支出，与年初预算持平。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仿宋" w:hAnsi="仿宋" w:eastAsia="仿宋" w:cs="DengXian-Bold"/>
          <w:b/>
          <w:bCs/>
          <w:sz w:val="32"/>
          <w:szCs w:val="32"/>
        </w:rPr>
        <w:t>公务用车购置及运行维护费支出</w:t>
      </w:r>
      <w:r>
        <w:rPr>
          <w:rFonts w:hint="eastAsia" w:ascii="仿宋" w:hAnsi="仿宋" w:eastAsia="仿宋" w:cs="宋体"/>
          <w:b/>
          <w:bCs/>
          <w:sz w:val="32"/>
          <w:szCs w:val="32"/>
        </w:rPr>
        <w:t>0.43</w:t>
      </w:r>
      <w:r>
        <w:rPr>
          <w:rFonts w:hint="eastAsia" w:ascii="仿宋" w:hAnsi="仿宋" w:eastAsia="仿宋"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本部门2018年度公务用车购置及运行维护费较年初预算减少2.57万元，降低85.67%,主要是从严控制“三公”经费开支。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本部门2018年度公务用车购置量0辆，发生“公务用车购置”经费支出0万元。本部门2018年度未发生“公务用车购置”经费支出，与年初预算持平。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本部门2018年度单位公务用车保有量1辆。公车运行维护费0.43万元，支出较年初预算减少2.57万元，降低85.67%,主要是主要是响应上级要求，严控公务用车经费支出。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 w:hAnsi="仿宋" w:eastAsia="仿宋" w:cs="DengXian-Bold"/>
          <w:b/>
          <w:bCs/>
          <w:sz w:val="32"/>
          <w:szCs w:val="32"/>
        </w:rPr>
        <w:t>（三）公务接待费支出</w:t>
      </w:r>
      <w:r>
        <w:rPr>
          <w:rFonts w:hint="eastAsia" w:ascii="仿宋" w:hAnsi="仿宋" w:eastAsia="仿宋" w:cs="宋体"/>
          <w:b/>
          <w:bCs/>
          <w:sz w:val="32"/>
          <w:szCs w:val="32"/>
        </w:rPr>
        <w:t>0</w:t>
      </w:r>
      <w:r>
        <w:rPr>
          <w:rFonts w:hint="eastAsia" w:ascii="仿宋" w:hAnsi="仿宋" w:eastAsia="仿宋" w:cs="DengXian-Bold"/>
          <w:b/>
          <w:bCs/>
          <w:sz w:val="32"/>
          <w:szCs w:val="32"/>
        </w:rPr>
        <w:t>万元。</w:t>
      </w:r>
      <w:r>
        <w:rPr>
          <w:rFonts w:hint="eastAsia" w:ascii="仿宋_GB2312" w:eastAsia="仿宋_GB2312" w:cs="DengXian-Regular"/>
          <w:sz w:val="32"/>
          <w:szCs w:val="32"/>
        </w:rPr>
        <w:t>本部门2018年度公务接待共0批次、0人次。本部门2018年度未发生公务接待经费支出，与年初预算持平。</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环境卫生整治、滹沱河大桥占地补偿、信访维稳、乡中占地补偿、对各村补助款项、两参人员资金、</w:t>
      </w:r>
      <w:r>
        <w:rPr>
          <w:rFonts w:hint="eastAsia" w:ascii="仿宋_GB2312" w:hAnsi="宋体" w:eastAsia="仿宋_GB2312" w:cs="Arial"/>
          <w:color w:val="000000"/>
          <w:kern w:val="0"/>
          <w:sz w:val="32"/>
          <w:szCs w:val="32"/>
        </w:rPr>
        <w:t>装备厢体制造产业聚集区</w:t>
      </w:r>
      <w:r>
        <w:rPr>
          <w:rFonts w:hint="eastAsia" w:ascii="仿宋_GB2312" w:eastAsia="仿宋_GB2312" w:cs="DengXian-Regular"/>
          <w:sz w:val="32"/>
          <w:szCs w:val="32"/>
        </w:rPr>
        <w:t>等7个项目，涉及资金</w:t>
      </w:r>
      <w:r>
        <w:rPr>
          <w:rFonts w:hint="eastAsia" w:ascii="仿宋" w:hAnsi="仿宋" w:eastAsia="仿宋" w:cs="DengXian-Regular"/>
          <w:sz w:val="32"/>
          <w:szCs w:val="32"/>
        </w:rPr>
        <w:t>459.75</w:t>
      </w:r>
      <w:r>
        <w:rPr>
          <w:rFonts w:hint="eastAsia" w:ascii="仿宋_GB2312" w:eastAsia="仿宋_GB2312" w:cs="DengXian-Regular"/>
          <w:sz w:val="32"/>
          <w:szCs w:val="32"/>
        </w:rPr>
        <w:t>万元。从评价情况看，评价结果为优秀的项目有7个。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本单位项目绩效自评：根据年初设定的绩效目标，滹沱河大桥占地补偿项目绩效自评结果为优秀。项目全年预算数为</w:t>
      </w:r>
      <w:r>
        <w:rPr>
          <w:rFonts w:hint="eastAsia" w:ascii="仿宋" w:hAnsi="仿宋" w:eastAsia="仿宋" w:cs="DengXian-Regular"/>
          <w:sz w:val="32"/>
          <w:szCs w:val="32"/>
        </w:rPr>
        <w:t>4.29</w:t>
      </w:r>
      <w:r>
        <w:rPr>
          <w:rFonts w:hint="eastAsia" w:ascii="仿宋_GB2312" w:eastAsia="仿宋_GB2312" w:cs="DengXian-Regular"/>
          <w:sz w:val="32"/>
          <w:szCs w:val="32"/>
        </w:rPr>
        <w:t>万元，执行数为4.29万元，完成预算的100%。主要产出和效果是本部门2018年度保障项目资金充足，项目绩效目标圆满完成。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未发现其它问题。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cs="DengXian-Regular" w:asciiTheme="majorEastAsia" w:hAnsiTheme="majorEastAsia" w:eastAsiaTheme="majorEastAsia"/>
          <w:b/>
          <w:bCs/>
          <w:sz w:val="32"/>
          <w:szCs w:val="32"/>
        </w:rPr>
        <w:t>159.19</w:t>
      </w:r>
      <w:r>
        <w:rPr>
          <w:rFonts w:hint="eastAsia" w:ascii="仿宋_GB2312" w:eastAsia="仿宋_GB2312" w:cs="DengXian-Regular"/>
          <w:sz w:val="32"/>
          <w:szCs w:val="32"/>
        </w:rPr>
        <w:t>万元，比年初预算数增加114.75万元，增长258.21%。主要原因是本部门2018年度机关运行经费支出预估过少，工作业务量增加，支出增加。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本部门2018年度政府采购支出总额483.27万元，从采购类型来看，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483.27</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3辆，比上年增加0辆，主要是没有相关项目的支出。其中，副部（省）级及以上领导用车0辆，主要领导干部用车0辆，机要通信用车0辆，应急保障用车0辆，执法执勤用车1辆，特种专业技术用车0辆，离退休干部用车0辆，其他用车2辆，其他用车主要是洒水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万元以上通用设备0台，比上年增加0台，主要是没有相关项目的支出，单位价值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万元以上专用设备0台，比上年增加0套,主要是没有相关项目的支出。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155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8"/>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黑体">
    <w:altName w:val="方正黑体_GBK"/>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decimal"/>
      <w:lvlText w:val="%1."/>
      <w:lvlJc w:val="left"/>
      <w:pPr>
        <w:tabs>
          <w:tab w:val="left" w:pos="1047"/>
        </w:tabs>
        <w:ind w:left="1047" w:hanging="420"/>
      </w:pPr>
      <w:rPr>
        <w:rFonts w:hint="default"/>
        <w:u w:val="none"/>
      </w:rPr>
    </w:lvl>
    <w:lvl w:ilvl="1" w:tentative="0">
      <w:start w:val="1"/>
      <w:numFmt w:val="lowerLetter"/>
      <w:lvlText w:val="%2)"/>
      <w:lvlJc w:val="left"/>
      <w:pPr>
        <w:tabs>
          <w:tab w:val="left" w:pos="1467"/>
        </w:tabs>
        <w:ind w:left="1467" w:hanging="420"/>
      </w:pPr>
      <w:rPr>
        <w:rFonts w:hint="default"/>
        <w:u w:val="none"/>
      </w:rPr>
    </w:lvl>
    <w:lvl w:ilvl="2" w:tentative="0">
      <w:start w:val="1"/>
      <w:numFmt w:val="lowerRoman"/>
      <w:lvlText w:val="%3."/>
      <w:lvlJc w:val="right"/>
      <w:pPr>
        <w:tabs>
          <w:tab w:val="left" w:pos="1887"/>
        </w:tabs>
        <w:ind w:left="1887" w:hanging="420"/>
      </w:pPr>
      <w:rPr>
        <w:rFonts w:hint="default"/>
        <w:u w:val="none"/>
      </w:rPr>
    </w:lvl>
    <w:lvl w:ilvl="3" w:tentative="0">
      <w:start w:val="1"/>
      <w:numFmt w:val="decimal"/>
      <w:lvlText w:val="%4."/>
      <w:lvlJc w:val="left"/>
      <w:pPr>
        <w:tabs>
          <w:tab w:val="left" w:pos="2307"/>
        </w:tabs>
        <w:ind w:left="2307" w:hanging="420"/>
      </w:pPr>
      <w:rPr>
        <w:rFonts w:hint="default"/>
        <w:u w:val="none"/>
      </w:rPr>
    </w:lvl>
    <w:lvl w:ilvl="4" w:tentative="0">
      <w:start w:val="1"/>
      <w:numFmt w:val="lowerLetter"/>
      <w:lvlText w:val="%5)"/>
      <w:lvlJc w:val="left"/>
      <w:pPr>
        <w:tabs>
          <w:tab w:val="left" w:pos="2727"/>
        </w:tabs>
        <w:ind w:left="2727" w:hanging="420"/>
      </w:pPr>
      <w:rPr>
        <w:rFonts w:hint="default"/>
        <w:u w:val="none"/>
      </w:rPr>
    </w:lvl>
    <w:lvl w:ilvl="5" w:tentative="0">
      <w:start w:val="1"/>
      <w:numFmt w:val="lowerRoman"/>
      <w:lvlText w:val="%6."/>
      <w:lvlJc w:val="right"/>
      <w:pPr>
        <w:tabs>
          <w:tab w:val="left" w:pos="3147"/>
        </w:tabs>
        <w:ind w:left="3147" w:hanging="420"/>
      </w:pPr>
      <w:rPr>
        <w:rFonts w:hint="default"/>
        <w:u w:val="none"/>
      </w:rPr>
    </w:lvl>
    <w:lvl w:ilvl="6" w:tentative="0">
      <w:start w:val="1"/>
      <w:numFmt w:val="decimal"/>
      <w:lvlText w:val="%7."/>
      <w:lvlJc w:val="left"/>
      <w:pPr>
        <w:tabs>
          <w:tab w:val="left" w:pos="3567"/>
        </w:tabs>
        <w:ind w:left="3567" w:hanging="420"/>
      </w:pPr>
      <w:rPr>
        <w:rFonts w:hint="default"/>
        <w:u w:val="none"/>
      </w:rPr>
    </w:lvl>
    <w:lvl w:ilvl="7" w:tentative="0">
      <w:start w:val="1"/>
      <w:numFmt w:val="lowerLetter"/>
      <w:lvlText w:val="%8)"/>
      <w:lvlJc w:val="left"/>
      <w:pPr>
        <w:tabs>
          <w:tab w:val="left" w:pos="3987"/>
        </w:tabs>
        <w:ind w:left="3987" w:hanging="420"/>
      </w:pPr>
      <w:rPr>
        <w:rFonts w:hint="default"/>
        <w:u w:val="none"/>
      </w:rPr>
    </w:lvl>
    <w:lvl w:ilvl="8" w:tentative="0">
      <w:start w:val="1"/>
      <w:numFmt w:val="lowerRoman"/>
      <w:lvlText w:val="%9."/>
      <w:lvlJc w:val="right"/>
      <w:pPr>
        <w:tabs>
          <w:tab w:val="left" w:pos="4407"/>
        </w:tabs>
        <w:ind w:left="4407" w:hanging="420"/>
      </w:pPr>
      <w:rPr>
        <w:rFonts w:hint="default"/>
        <w:u w:val="none"/>
      </w:rPr>
    </w:lvl>
  </w:abstractNum>
  <w:abstractNum w:abstractNumId="1">
    <w:nsid w:val="41CC5ECF"/>
    <w:multiLevelType w:val="multilevel"/>
    <w:tmpl w:val="41CC5ECF"/>
    <w:lvl w:ilvl="0" w:tentative="0">
      <w:start w:val="1"/>
      <w:numFmt w:val="japaneseCounting"/>
      <w:lvlText w:val="%1、"/>
      <w:lvlJc w:val="left"/>
      <w:pPr>
        <w:ind w:left="660" w:hanging="6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003CB"/>
    <w:rsid w:val="00117946"/>
    <w:rsid w:val="00117E2C"/>
    <w:rsid w:val="00143C99"/>
    <w:rsid w:val="00145870"/>
    <w:rsid w:val="00146C47"/>
    <w:rsid w:val="00152FB8"/>
    <w:rsid w:val="00161298"/>
    <w:rsid w:val="00167B32"/>
    <w:rsid w:val="00176658"/>
    <w:rsid w:val="0018239E"/>
    <w:rsid w:val="001B3410"/>
    <w:rsid w:val="001C030D"/>
    <w:rsid w:val="001C4A84"/>
    <w:rsid w:val="001D4C59"/>
    <w:rsid w:val="001E5902"/>
    <w:rsid w:val="00221B5E"/>
    <w:rsid w:val="00224E91"/>
    <w:rsid w:val="00233705"/>
    <w:rsid w:val="0024560B"/>
    <w:rsid w:val="00275CA2"/>
    <w:rsid w:val="00282636"/>
    <w:rsid w:val="0028466A"/>
    <w:rsid w:val="002A65A5"/>
    <w:rsid w:val="002C04C4"/>
    <w:rsid w:val="002D08B0"/>
    <w:rsid w:val="002D1AE3"/>
    <w:rsid w:val="002F2ECE"/>
    <w:rsid w:val="00341C8F"/>
    <w:rsid w:val="0035463A"/>
    <w:rsid w:val="00373D63"/>
    <w:rsid w:val="0038316C"/>
    <w:rsid w:val="00391D9D"/>
    <w:rsid w:val="00391E1D"/>
    <w:rsid w:val="003A784D"/>
    <w:rsid w:val="003B6C51"/>
    <w:rsid w:val="003C1413"/>
    <w:rsid w:val="003C549F"/>
    <w:rsid w:val="003D5A16"/>
    <w:rsid w:val="003E3240"/>
    <w:rsid w:val="003E7DB3"/>
    <w:rsid w:val="003F7EC9"/>
    <w:rsid w:val="00431175"/>
    <w:rsid w:val="004B6E37"/>
    <w:rsid w:val="004C32BA"/>
    <w:rsid w:val="004F25A4"/>
    <w:rsid w:val="004F7545"/>
    <w:rsid w:val="00502871"/>
    <w:rsid w:val="00507B79"/>
    <w:rsid w:val="00523F7D"/>
    <w:rsid w:val="00527BBF"/>
    <w:rsid w:val="005572F9"/>
    <w:rsid w:val="00575922"/>
    <w:rsid w:val="00577D7E"/>
    <w:rsid w:val="005A6C90"/>
    <w:rsid w:val="005C1660"/>
    <w:rsid w:val="005E3FB0"/>
    <w:rsid w:val="005F4B66"/>
    <w:rsid w:val="005F5208"/>
    <w:rsid w:val="00610432"/>
    <w:rsid w:val="00636EDD"/>
    <w:rsid w:val="00641318"/>
    <w:rsid w:val="0064405D"/>
    <w:rsid w:val="00685302"/>
    <w:rsid w:val="00695557"/>
    <w:rsid w:val="006C589C"/>
    <w:rsid w:val="006D4EA7"/>
    <w:rsid w:val="006E431C"/>
    <w:rsid w:val="0070012A"/>
    <w:rsid w:val="0070664B"/>
    <w:rsid w:val="007071B8"/>
    <w:rsid w:val="007414DE"/>
    <w:rsid w:val="0074209C"/>
    <w:rsid w:val="007816FE"/>
    <w:rsid w:val="007905A9"/>
    <w:rsid w:val="007A3FA0"/>
    <w:rsid w:val="007E5500"/>
    <w:rsid w:val="007F055B"/>
    <w:rsid w:val="0080644C"/>
    <w:rsid w:val="00811C2F"/>
    <w:rsid w:val="00833D46"/>
    <w:rsid w:val="00837483"/>
    <w:rsid w:val="00840A97"/>
    <w:rsid w:val="0085291B"/>
    <w:rsid w:val="0089280C"/>
    <w:rsid w:val="008C0149"/>
    <w:rsid w:val="008C689C"/>
    <w:rsid w:val="008D5DED"/>
    <w:rsid w:val="008E25CA"/>
    <w:rsid w:val="008F34FC"/>
    <w:rsid w:val="00935058"/>
    <w:rsid w:val="00944CD7"/>
    <w:rsid w:val="009831B2"/>
    <w:rsid w:val="009A1ABE"/>
    <w:rsid w:val="009E21A4"/>
    <w:rsid w:val="009F22C6"/>
    <w:rsid w:val="00A07E50"/>
    <w:rsid w:val="00A15397"/>
    <w:rsid w:val="00A2293E"/>
    <w:rsid w:val="00A35CE0"/>
    <w:rsid w:val="00A4462E"/>
    <w:rsid w:val="00A44AA4"/>
    <w:rsid w:val="00A61623"/>
    <w:rsid w:val="00A64080"/>
    <w:rsid w:val="00A84687"/>
    <w:rsid w:val="00A92FC3"/>
    <w:rsid w:val="00AB0A0E"/>
    <w:rsid w:val="00AD3B6E"/>
    <w:rsid w:val="00B1751F"/>
    <w:rsid w:val="00B51956"/>
    <w:rsid w:val="00B56722"/>
    <w:rsid w:val="00B64CA5"/>
    <w:rsid w:val="00B74D39"/>
    <w:rsid w:val="00B91DA4"/>
    <w:rsid w:val="00C12284"/>
    <w:rsid w:val="00C12630"/>
    <w:rsid w:val="00C15CD3"/>
    <w:rsid w:val="00C31A79"/>
    <w:rsid w:val="00C34562"/>
    <w:rsid w:val="00C3774E"/>
    <w:rsid w:val="00C57456"/>
    <w:rsid w:val="00C65387"/>
    <w:rsid w:val="00C87FAB"/>
    <w:rsid w:val="00C91FF7"/>
    <w:rsid w:val="00C94E53"/>
    <w:rsid w:val="00D0048E"/>
    <w:rsid w:val="00D23E7A"/>
    <w:rsid w:val="00D532C4"/>
    <w:rsid w:val="00D61063"/>
    <w:rsid w:val="00D77793"/>
    <w:rsid w:val="00DB35AF"/>
    <w:rsid w:val="00DB5F26"/>
    <w:rsid w:val="00DD72D7"/>
    <w:rsid w:val="00DF5B88"/>
    <w:rsid w:val="00E0589E"/>
    <w:rsid w:val="00E241FA"/>
    <w:rsid w:val="00E2595E"/>
    <w:rsid w:val="00E35374"/>
    <w:rsid w:val="00E50C19"/>
    <w:rsid w:val="00E64655"/>
    <w:rsid w:val="00E73081"/>
    <w:rsid w:val="00E7450F"/>
    <w:rsid w:val="00E856C9"/>
    <w:rsid w:val="00E8744D"/>
    <w:rsid w:val="00E91835"/>
    <w:rsid w:val="00EA7070"/>
    <w:rsid w:val="00EB6A8B"/>
    <w:rsid w:val="00EF38C6"/>
    <w:rsid w:val="00F679C7"/>
    <w:rsid w:val="00F7711A"/>
    <w:rsid w:val="00F80FEF"/>
    <w:rsid w:val="00FA0D58"/>
    <w:rsid w:val="00FA56F4"/>
    <w:rsid w:val="00FB4EDA"/>
    <w:rsid w:val="00FB6A3C"/>
    <w:rsid w:val="00FD3BD5"/>
    <w:rsid w:val="00FE3DC8"/>
    <w:rsid w:val="00FF5D6F"/>
    <w:rsid w:val="01246782"/>
    <w:rsid w:val="03454CD0"/>
    <w:rsid w:val="04073F84"/>
    <w:rsid w:val="0B16146B"/>
    <w:rsid w:val="0B60750A"/>
    <w:rsid w:val="0DC06B69"/>
    <w:rsid w:val="10686488"/>
    <w:rsid w:val="10DF728A"/>
    <w:rsid w:val="11C42259"/>
    <w:rsid w:val="1264200E"/>
    <w:rsid w:val="141C5B77"/>
    <w:rsid w:val="18D8339D"/>
    <w:rsid w:val="1A21388F"/>
    <w:rsid w:val="1A570D2F"/>
    <w:rsid w:val="20AC5938"/>
    <w:rsid w:val="213D2317"/>
    <w:rsid w:val="28FB0B8D"/>
    <w:rsid w:val="2A9870FC"/>
    <w:rsid w:val="2D2B7942"/>
    <w:rsid w:val="2D46481D"/>
    <w:rsid w:val="2D85774D"/>
    <w:rsid w:val="2DFD6C4F"/>
    <w:rsid w:val="2E733B28"/>
    <w:rsid w:val="31852B5A"/>
    <w:rsid w:val="32D01238"/>
    <w:rsid w:val="3BB71298"/>
    <w:rsid w:val="3DFC59A8"/>
    <w:rsid w:val="3ECF245E"/>
    <w:rsid w:val="3FB96314"/>
    <w:rsid w:val="456A5212"/>
    <w:rsid w:val="4621461F"/>
    <w:rsid w:val="47D147A9"/>
    <w:rsid w:val="487868F2"/>
    <w:rsid w:val="48B14A11"/>
    <w:rsid w:val="498E6C3A"/>
    <w:rsid w:val="49C245A6"/>
    <w:rsid w:val="4C7A6CFD"/>
    <w:rsid w:val="4E765AB6"/>
    <w:rsid w:val="53A44FAF"/>
    <w:rsid w:val="57DC598C"/>
    <w:rsid w:val="594329EC"/>
    <w:rsid w:val="5BEE1540"/>
    <w:rsid w:val="5C003A08"/>
    <w:rsid w:val="5DE61A5D"/>
    <w:rsid w:val="5FFE2035"/>
    <w:rsid w:val="62001C85"/>
    <w:rsid w:val="639B2AC1"/>
    <w:rsid w:val="63C04243"/>
    <w:rsid w:val="649C01C7"/>
    <w:rsid w:val="68A16D5E"/>
    <w:rsid w:val="699A3F60"/>
    <w:rsid w:val="6C9C489A"/>
    <w:rsid w:val="6FC34A51"/>
    <w:rsid w:val="72902E62"/>
    <w:rsid w:val="73C61104"/>
    <w:rsid w:val="74061DFB"/>
    <w:rsid w:val="75483ACD"/>
    <w:rsid w:val="757A7903"/>
    <w:rsid w:val="776452EA"/>
    <w:rsid w:val="7AD27EC9"/>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Normal (Web)"/>
    <w:basedOn w:val="1"/>
    <w:semiHidden/>
    <w:unhideWhenUsed/>
    <w:qFormat/>
    <w:uiPriority w:val="99"/>
    <w:pPr>
      <w:widowControl/>
      <w:spacing w:before="100" w:beforeAutospacing="1" w:after="100" w:afterAutospacing="1" w:line="240" w:lineRule="auto"/>
      <w:jc w:val="left"/>
    </w:pPr>
    <w:rPr>
      <w:rFonts w:ascii="宋体" w:hAnsi="宋体" w:cs="宋体"/>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4.jpeg"/><Relationship Id="rId17" Type="http://schemas.openxmlformats.org/officeDocument/2006/relationships/chart" Target="charts/chart8.xml"/><Relationship Id="rId16" Type="http://schemas.openxmlformats.org/officeDocument/2006/relationships/chart" Target="charts/chart7.xml"/><Relationship Id="rId15" Type="http://schemas.openxmlformats.org/officeDocument/2006/relationships/chart" Target="charts/chart6.xml"/><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1" Type="http://schemas.openxmlformats.org/officeDocument/2006/relationships/oleObject" Target="file:///H:\2018&#20915;&#31639;&#20844;&#24320;\&#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themeOverride" Target="../theme/themeOverride1.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7.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8.xml.rels><?xml version="1.0" encoding="UTF-8" standalone="yes"?>
<Relationships xmlns="http://schemas.openxmlformats.org/package/2006/relationships"><Relationship Id="rId1" Type="http://schemas.openxmlformats.org/officeDocument/2006/relationships/package" Target="../embeddings/Workbook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961.9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506.31</c:v>
                </c:pt>
                <c:pt idx="1">
                  <c:v>459.75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961.9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506.31</c:v>
                </c:pt>
                <c:pt idx="1">
                  <c:v>459.75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2017</c:v>
                </c:pt>
              </c:strCache>
            </c:strRef>
          </c:tx>
          <c:invertIfNegative val="0"/>
          <c:dLbls>
            <c:delete val="1"/>
          </c:dLbls>
          <c:cat>
            <c:strRef>
              <c:f>Sheet1!$A$2:$A$3</c:f>
              <c:strCache>
                <c:ptCount val="2"/>
                <c:pt idx="0">
                  <c:v>收入</c:v>
                </c:pt>
                <c:pt idx="1">
                  <c:v>支出</c:v>
                </c:pt>
              </c:strCache>
            </c:strRef>
          </c:cat>
          <c:val>
            <c:numRef>
              <c:f>Sheet1!$B$2:$B$3</c:f>
              <c:numCache>
                <c:formatCode>General</c:formatCode>
                <c:ptCount val="2"/>
                <c:pt idx="0">
                  <c:v>993.75</c:v>
                </c:pt>
                <c:pt idx="1">
                  <c:v>989.59</c:v>
                </c:pt>
              </c:numCache>
            </c:numRef>
          </c:val>
        </c:ser>
        <c:ser>
          <c:idx val="1"/>
          <c:order val="1"/>
          <c:tx>
            <c:strRef>
              <c:f>Sheet1!$C$1</c:f>
              <c:strCache>
                <c:ptCount val="1"/>
                <c:pt idx="0">
                  <c:v>2018</c:v>
                </c:pt>
              </c:strCache>
            </c:strRef>
          </c:tx>
          <c:invertIfNegative val="0"/>
          <c:dLbls>
            <c:delete val="1"/>
          </c:dLbls>
          <c:cat>
            <c:strRef>
              <c:f>Sheet1!$A$2:$A$3</c:f>
              <c:strCache>
                <c:ptCount val="2"/>
                <c:pt idx="0">
                  <c:v>收入</c:v>
                </c:pt>
                <c:pt idx="1">
                  <c:v>支出</c:v>
                </c:pt>
              </c:strCache>
            </c:strRef>
          </c:cat>
          <c:val>
            <c:numRef>
              <c:f>Sheet1!$C$2:$C$3</c:f>
              <c:numCache>
                <c:formatCode>General</c:formatCode>
                <c:ptCount val="2"/>
                <c:pt idx="0">
                  <c:v>966.06</c:v>
                </c:pt>
                <c:pt idx="1">
                  <c:v>966.06</c:v>
                </c:pt>
              </c:numCache>
            </c:numRef>
          </c:val>
        </c:ser>
        <c:dLbls>
          <c:showLegendKey val="0"/>
          <c:showVal val="0"/>
          <c:showCatName val="0"/>
          <c:showSerName val="0"/>
          <c:showPercent val="0"/>
          <c:showBubbleSize val="0"/>
        </c:dLbls>
        <c:gapWidth val="150"/>
        <c:axId val="222858240"/>
        <c:axId val="222860416"/>
      </c:barChart>
      <c:catAx>
        <c:axId val="222858240"/>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60416"/>
        <c:crosses val="autoZero"/>
        <c:auto val="1"/>
        <c:lblAlgn val="ctr"/>
        <c:lblOffset val="100"/>
        <c:noMultiLvlLbl val="0"/>
      </c:catAx>
      <c:valAx>
        <c:axId val="22286041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5824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财政拨款收支预决算对比表</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tint val="100000"/>
                <a:shade val="100000"/>
                <a:hueMod val="100000"/>
                <a:satMod val="100000"/>
              </a:schemeClr>
            </a:solidFill>
            <a:ln>
              <a:noFill/>
            </a:ln>
            <a:effectLst/>
          </c:spPr>
          <c:invertIfNegative val="0"/>
          <c:dLbls>
            <c:delete val="1"/>
          </c:dLbls>
          <c:cat>
            <c:strRef>
              <c:f>Sheet1!$A$2:$A$5</c:f>
              <c:strCache>
                <c:ptCount val="2"/>
                <c:pt idx="0">
                  <c:v>财政拨款收入</c:v>
                </c:pt>
                <c:pt idx="1">
                  <c:v>财政拨款支出</c:v>
                </c:pt>
              </c:strCache>
            </c:strRef>
          </c:cat>
          <c:val>
            <c:numRef>
              <c:f>Sheet1!$B$2:$B$5</c:f>
              <c:numCache>
                <c:formatCode>General</c:formatCode>
                <c:ptCount val="2"/>
                <c:pt idx="0">
                  <c:v>403.07</c:v>
                </c:pt>
                <c:pt idx="1">
                  <c:v>403.07</c:v>
                </c:pt>
              </c:numCache>
            </c:numRef>
          </c:val>
        </c:ser>
        <c:ser>
          <c:idx val="1"/>
          <c:order val="1"/>
          <c:tx>
            <c:strRef>
              <c:f>Sheet1!$C$1</c:f>
              <c:strCache>
                <c:ptCount val="1"/>
                <c:pt idx="0">
                  <c:v>决算数</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2"/>
                <c:pt idx="0">
                  <c:v>财政拨款收入</c:v>
                </c:pt>
                <c:pt idx="1">
                  <c:v>财政拨款支出</c:v>
                </c:pt>
              </c:strCache>
            </c:strRef>
          </c:cat>
          <c:val>
            <c:numRef>
              <c:f>Sheet1!$C$2:$C$5</c:f>
              <c:numCache>
                <c:formatCode>General</c:formatCode>
                <c:ptCount val="2"/>
                <c:pt idx="0">
                  <c:v>966.06</c:v>
                </c:pt>
                <c:pt idx="1">
                  <c:v>966.06</c:v>
                </c:pt>
              </c:numCache>
            </c:numRef>
          </c:val>
        </c:ser>
        <c:dLbls>
          <c:showLegendKey val="0"/>
          <c:showVal val="0"/>
          <c:showCatName val="0"/>
          <c:showSerName val="0"/>
          <c:showPercent val="0"/>
          <c:showBubbleSize val="0"/>
        </c:dLbls>
        <c:gapWidth val="219"/>
        <c:overlap val="-27"/>
        <c:axId val="222911488"/>
        <c:axId val="223580928"/>
        <c:extLst>
          <c:ext xmlns:c15="http://schemas.microsoft.com/office/drawing/2012/chart" uri="{02D57815-91ED-43cb-92C2-25804820EDAC}">
            <c15:filteredBarSeries>
              <c15:ser>
                <c:idx val="2"/>
                <c:order val="2"/>
                <c:tx>
                  <c:strRef>
                    <c:extLst>
                      <c:ext uri="{02D57815-91ED-43cb-92C2-25804820EDAC}">
                        <c15:formulaRef>
                          <c15:sqref>Sheet1!$D$1</c15:sqref>
                        </c15:formulaRef>
                      </c:ext>
                    </c:extLst>
                    <c:strCache>
                      <c:ptCount val="1"/>
                      <c:pt idx="0">
                        <c:v>系列 3</c:v>
                      </c:pt>
                    </c:strCache>
                  </c:strRef>
                </c:tx>
                <c:spPr>
                  <a:solidFill>
                    <a:schemeClr val="accent3">
                      <a:tint val="100000"/>
                      <a:shade val="100000"/>
                      <a:hueMod val="100000"/>
                      <a:satMod val="100000"/>
                    </a:schemeClr>
                  </a:solidFill>
                  <a:ln>
                    <a:noFill/>
                  </a:ln>
                  <a:effectLst/>
                </c:spPr>
                <c:invertIfNegative val="0"/>
                <c:dLbls>
                  <c:delete val="1"/>
                </c:dLbls>
                <c:cat>
                  <c:strRef>
                    <c:extLst>
                      <c:ext uri="{02D57815-91ED-43cb-92C2-25804820EDAC}">
                        <c15:fullRef>
                          <c15:sqref/>
                        </c15:fullRef>
                        <c15:formulaRef>
                          <c15:sqref>Sheet1!$A$2:$A$5</c15:sqref>
                        </c15:formulaRef>
                      </c:ext>
                    </c:extLst>
                    <c:strCache>
                      <c:ptCount val="2"/>
                      <c:pt idx="0">
                        <c:v>财政拨款收入</c:v>
                      </c:pt>
                      <c:pt idx="1">
                        <c:v>财政拨款支出</c:v>
                      </c:pt>
                    </c:strCache>
                  </c:strRef>
                </c:cat>
                <c:val>
                  <c:numRef>
                    <c:extLst>
                      <c:ext uri="{02D57815-91ED-43cb-92C2-25804820EDAC}">
                        <c15:formulaRef>
                          <c15:sqref>Sheet1!$D$2:$D$5</c15:sqref>
                        </c15:formulaRef>
                      </c:ext>
                    </c:extLst>
                    <c:numCache>
                      <c:formatCode>General</c:formatCode>
                      <c:ptCount val="2"/>
                      <c:pt idx="0">
                        <c:v>2</c:v>
                      </c:pt>
                      <c:pt idx="1">
                        <c:v>2</c:v>
                      </c:pt>
                    </c:numCache>
                  </c:numRef>
                </c:val>
              </c15:ser>
            </c15:filteredBarSeries>
          </c:ext>
        </c:extLst>
      </c:barChart>
      <c:catAx>
        <c:axId val="22291148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3580928"/>
        <c:crosses val="autoZero"/>
        <c:auto val="1"/>
        <c:lblAlgn val="ctr"/>
        <c:lblOffset val="100"/>
        <c:noMultiLvlLbl val="0"/>
      </c:catAx>
      <c:valAx>
        <c:axId val="22358092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29114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77277340332458"/>
          <c:y val="0.174231087502663"/>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173076552930884"/>
                  <c:y val="0.051016792939928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layout>
                <c:manualLayout>
                  <c:x val="0.211104612611182"/>
                  <c:y val="-0.0538883920466389"/>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8"/>
              <c:layout>
                <c:manualLayout>
                  <c:x val="0.310544181977253"/>
                  <c:y val="0.079508178444187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935.01</c:v>
                </c:pt>
                <c:pt idx="5">
                  <c:v>22.89</c:v>
                </c:pt>
                <c:pt idx="7">
                  <c:v>3.87</c:v>
                </c:pt>
                <c:pt idx="8">
                  <c:v>4.29</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77277340332458"/>
          <c:y val="0.174231087502663"/>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5"/>
              <c:layout>
                <c:manualLayout>
                  <c:x val="-0.173076552930884"/>
                  <c:y val="0.051016792939928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310544181977253"/>
                  <c:y val="0.079508178444187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layout>
                <c:manualLayout>
                  <c:x val="-0.313667322834646"/>
                  <c:y val="0.24178532141459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935.01</c:v>
                </c:pt>
                <c:pt idx="5">
                  <c:v>22.89</c:v>
                </c:pt>
                <c:pt idx="7">
                  <c:v>3.87</c:v>
                </c:pt>
                <c:pt idx="8">
                  <c:v>4.29</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0.01303</cdr:x>
      <cdr:y>0.08899</cdr:y>
    </cdr:from>
    <cdr:to>
      <cdr:x>0.01422</cdr:x>
      <cdr:y>0.09013</cdr:y>
    </cdr:to>
    <cdr:grpSp>
      <cdr:nvGrpSpPr>
        <cdr:cNvPr id="2" name="组合 1"/>
        <cdr:cNvGrpSpPr/>
      </cdr:nvGrpSpPr>
      <cdr:grpSpPr xmlns:a="http://schemas.openxmlformats.org/drawingml/2006/main">
        <a:xfrm>
          <a:off x="57215" y="227165"/>
          <a:ext cx="5225" cy="2910"/>
          <a:chOff x="3702" y="175946"/>
          <a:chExt cx="7" cy="3"/>
        </a:xfrm>
      </cdr:grpSpPr>
      <cdr:pic xmlns:a="http://schemas.openxmlformats.org/drawingml/2006/main">
        <cdr:nvPicPr>
          <cdr:cNvPr id="3" name="图片 2"/>
          <cdr:cNvPicPr/>
        </cdr:nvPicPr>
        <cdr:blipFill>
          <a:blip xmlns:r="http://schemas.openxmlformats.org/officeDocument/2006/relationships" r:embed="rId1"/>
          <a:srcRect l="3251" t="2274" r="1858" b="7961"/>
          <a:stretch>
            <a:fillRect/>
          </a:stretch>
        </cdr:blipFill>
        <cdr:spPr>
          <a:xfrm>
            <a:off x="3702" y="175946"/>
            <a:ext cx="7" cy="3"/>
          </a:xfrm>
          <a:prstGeom prst="rect">
            <a:avLst/>
          </a:prstGeom>
          <a:noFill/>
          <a:ln>
            <a:noFill/>
          </a:ln>
        </cdr:spPr>
      </cdr:pic>
      <cdr:sp>
        <cdr:nvSpPr>
          <cdr:cNvPr id="4" name="矩形 3"/>
          <cdr:cNvSpPr/>
        </cdr:nvSpPr>
        <cdr:spPr xmlns:a="http://schemas.openxmlformats.org/drawingml/2006/main">
          <a:xfrm xmlns:a="http://schemas.openxmlformats.org/drawingml/2006/main">
            <a:off x="3704" y="175949"/>
            <a:ext cx="4" cy="0"/>
          </a:xfrm>
          <a:prstGeom xmlns:a="http://schemas.openxmlformats.org/drawingml/2006/main" prst="rect">
            <a:avLst/>
          </a:prstGeom>
          <a:solidFill>
            <a:schemeClr val="lt1"/>
          </a:solidFill>
          <a:ln w="6350">
            <a:noFill/>
          </a:ln>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sp>
    </cdr:grpSp>
  </cdr:relSizeAnchor>
</c:userShape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1898</Words>
  <Characters>10824</Characters>
  <Lines>90</Lines>
  <Paragraphs>25</Paragraphs>
  <TotalTime>6</TotalTime>
  <ScaleCrop>false</ScaleCrop>
  <LinksUpToDate>false</LinksUpToDate>
  <CharactersWithSpaces>12697</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2024-01-02T16:26:21Z</dcterms:modified>
  <dc:subject>石家庄市xxx部门</dc:subject>
  <dc:title>2017年度部门决算</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DEB358FD292F243DADC89365B19FFB34</vt:lpwstr>
  </property>
</Properties>
</file>