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黑体" w:hAnsi="黑体" w:eastAsia="黑体"/>
          <w:b/>
          <w:sz w:val="72"/>
          <w:szCs w:val="72"/>
        </w:rPr>
      </w:pPr>
    </w:p>
    <w:p>
      <w:pPr>
        <w:widowControl/>
        <w:jc w:val="center"/>
        <w:rPr>
          <w:rFonts w:ascii="黑体" w:hAnsi="黑体" w:eastAsia="黑体"/>
          <w:b/>
          <w:sz w:val="72"/>
          <w:szCs w:val="72"/>
        </w:rPr>
      </w:pPr>
    </w:p>
    <w:p>
      <w:pPr>
        <w:widowControl/>
        <w:jc w:val="center"/>
        <w:rPr>
          <w:rFonts w:ascii="黑体" w:hAnsi="黑体" w:eastAsia="黑体"/>
          <w:sz w:val="72"/>
          <w:szCs w:val="72"/>
        </w:rPr>
      </w:pPr>
    </w:p>
    <w:p>
      <w:pPr>
        <w:widowControl/>
        <w:jc w:val="center"/>
        <w:rPr>
          <w:rFonts w:ascii="黑体" w:hAnsi="宋体" w:eastAsia="黑体"/>
          <w:color w:val="002060"/>
          <w:sz w:val="84"/>
          <w:szCs w:val="84"/>
        </w:rPr>
      </w:pPr>
      <w:r>
        <w:rPr>
          <w:rFonts w:hint="eastAsia" w:ascii="黑体" w:hAnsi="宋体" w:eastAsia="黑体"/>
          <w:color w:val="002060"/>
          <w:sz w:val="84"/>
          <w:szCs w:val="84"/>
        </w:rPr>
        <w:t>2017年度部门决算公开</w:t>
      </w:r>
    </w:p>
    <w:p>
      <w:pPr>
        <w:widowControl/>
        <w:jc w:val="center"/>
        <w:rPr>
          <w:rFonts w:ascii="黑体" w:hAnsi="黑体" w:eastAsia="黑体"/>
          <w:b/>
          <w:sz w:val="72"/>
          <w:szCs w:val="72"/>
        </w:rPr>
      </w:pPr>
    </w:p>
    <w:p>
      <w:pPr>
        <w:widowControl/>
        <w:jc w:val="center"/>
        <w:rPr>
          <w:rFonts w:ascii="黑体" w:hAnsi="黑体" w:eastAsia="黑体"/>
          <w:b/>
          <w:sz w:val="72"/>
          <w:szCs w:val="72"/>
        </w:rPr>
      </w:pPr>
    </w:p>
    <w:p>
      <w:pPr>
        <w:widowControl/>
        <w:jc w:val="center"/>
        <w:rPr>
          <w:rFonts w:ascii="黑体" w:hAnsi="黑体" w:eastAsia="黑体"/>
          <w:b/>
          <w:sz w:val="72"/>
          <w:szCs w:val="72"/>
        </w:rPr>
      </w:pPr>
    </w:p>
    <w:p>
      <w:pPr>
        <w:widowControl/>
        <w:jc w:val="center"/>
        <w:rPr>
          <w:rFonts w:ascii="黑体" w:hAnsi="黑体" w:eastAsia="黑体"/>
          <w:b/>
          <w:sz w:val="72"/>
          <w:szCs w:val="72"/>
        </w:rPr>
      </w:pPr>
    </w:p>
    <w:p>
      <w:pPr>
        <w:widowControl/>
        <w:jc w:val="center"/>
        <w:rPr>
          <w:rFonts w:ascii="黑体" w:hAnsi="黑体" w:eastAsia="黑体"/>
          <w:b/>
          <w:sz w:val="72"/>
          <w:szCs w:val="72"/>
        </w:rPr>
      </w:pPr>
    </w:p>
    <w:p>
      <w:pPr>
        <w:widowControl/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石家庄市</w:t>
      </w:r>
      <w:r>
        <w:rPr>
          <w:rFonts w:hint="eastAsia" w:ascii="宋体" w:hAnsi="宋体"/>
          <w:b/>
          <w:sz w:val="44"/>
          <w:szCs w:val="44"/>
          <w:lang w:eastAsia="zh-CN"/>
        </w:rPr>
        <w:t>无极县发展改革局</w:t>
      </w:r>
    </w:p>
    <w:p>
      <w:pPr>
        <w:widowControl/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2018年9月1</w:t>
      </w:r>
      <w:r>
        <w:rPr>
          <w:rFonts w:hint="eastAsia" w:ascii="宋体" w:hAnsi="宋体"/>
          <w:b/>
          <w:sz w:val="44"/>
          <w:szCs w:val="44"/>
          <w:lang w:val="en-US" w:eastAsia="zh-CN"/>
        </w:rPr>
        <w:t>1</w:t>
      </w:r>
      <w:r>
        <w:rPr>
          <w:rFonts w:hint="eastAsia" w:ascii="宋体" w:hAnsi="宋体"/>
          <w:b/>
          <w:sz w:val="44"/>
          <w:szCs w:val="44"/>
        </w:rPr>
        <w:t>日</w:t>
      </w:r>
    </w:p>
    <w:p>
      <w:pPr>
        <w:widowControl/>
        <w:spacing w:line="580" w:lineRule="exact"/>
        <w:jc w:val="center"/>
        <w:rPr>
          <w:rFonts w:eastAsia="方正小标宋_GBK"/>
          <w:sz w:val="44"/>
          <w:szCs w:val="44"/>
        </w:rPr>
      </w:pPr>
    </w:p>
    <w:p>
      <w:pPr>
        <w:widowControl/>
        <w:spacing w:line="580" w:lineRule="exact"/>
        <w:jc w:val="center"/>
        <w:rPr>
          <w:rFonts w:ascii="黑体" w:eastAsia="黑体"/>
          <w:sz w:val="44"/>
          <w:szCs w:val="44"/>
        </w:rPr>
      </w:pPr>
      <w:r>
        <w:rPr>
          <w:rFonts w:hint="eastAsia" w:ascii="黑体" w:eastAsia="黑体"/>
          <w:sz w:val="44"/>
          <w:szCs w:val="44"/>
        </w:rPr>
        <w:t>部门决算公开目录</w:t>
      </w:r>
    </w:p>
    <w:p>
      <w:pPr>
        <w:widowControl/>
        <w:spacing w:line="580" w:lineRule="exact"/>
        <w:ind w:firstLine="640" w:firstLineChars="200"/>
        <w:rPr>
          <w:rFonts w:eastAsia="黑体"/>
          <w:sz w:val="32"/>
          <w:szCs w:val="32"/>
        </w:rPr>
      </w:pPr>
    </w:p>
    <w:p>
      <w:pPr>
        <w:widowControl/>
        <w:spacing w:line="580" w:lineRule="exact"/>
        <w:ind w:firstLine="640" w:firstLineChars="200"/>
        <w:rPr>
          <w:rFonts w:eastAsia="仿宋_GB2312"/>
          <w:sz w:val="24"/>
          <w:szCs w:val="32"/>
        </w:rPr>
      </w:pPr>
      <w:r>
        <w:rPr>
          <w:rFonts w:eastAsia="黑体"/>
          <w:sz w:val="32"/>
          <w:szCs w:val="32"/>
        </w:rPr>
        <w:t xml:space="preserve">第一部分   </w:t>
      </w:r>
      <w:r>
        <w:rPr>
          <w:rFonts w:hint="eastAsia" w:eastAsia="黑体"/>
          <w:sz w:val="32"/>
          <w:szCs w:val="32"/>
          <w:lang w:eastAsia="zh-CN"/>
        </w:rPr>
        <w:t>无极县发展改革局</w:t>
      </w:r>
      <w:r>
        <w:rPr>
          <w:rFonts w:eastAsia="黑体"/>
          <w:sz w:val="32"/>
          <w:szCs w:val="32"/>
        </w:rPr>
        <w:t>概况</w:t>
      </w:r>
      <w:r>
        <w:rPr>
          <w:rFonts w:hint="eastAsia" w:eastAsia="仿宋_GB2312"/>
          <w:sz w:val="24"/>
          <w:szCs w:val="32"/>
        </w:rPr>
        <w:t xml:space="preserve">  </w:t>
      </w:r>
    </w:p>
    <w:p>
      <w:pPr>
        <w:widowControl/>
        <w:spacing w:line="580" w:lineRule="exact"/>
        <w:ind w:firstLine="1273" w:firstLineChars="398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一、部门</w:t>
      </w:r>
      <w:r>
        <w:rPr>
          <w:rFonts w:hint="eastAsia" w:eastAsia="仿宋_GB2312"/>
          <w:sz w:val="32"/>
          <w:szCs w:val="32"/>
        </w:rPr>
        <w:t>职责</w:t>
      </w:r>
    </w:p>
    <w:p>
      <w:pPr>
        <w:widowControl/>
        <w:spacing w:line="580" w:lineRule="exact"/>
        <w:ind w:firstLine="1273" w:firstLineChars="398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二、部门决算单位构成</w:t>
      </w:r>
    </w:p>
    <w:p>
      <w:pPr>
        <w:widowControl/>
        <w:spacing w:line="580" w:lineRule="exact"/>
        <w:ind w:firstLine="640" w:firstLineChars="200"/>
        <w:rPr>
          <w:rFonts w:eastAsia="仿宋_GB2312"/>
          <w:sz w:val="20"/>
          <w:szCs w:val="32"/>
        </w:rPr>
      </w:pPr>
      <w:r>
        <w:rPr>
          <w:rFonts w:eastAsia="黑体"/>
          <w:sz w:val="32"/>
          <w:szCs w:val="32"/>
        </w:rPr>
        <w:t xml:space="preserve">第二部分   </w:t>
      </w:r>
      <w:r>
        <w:rPr>
          <w:rFonts w:hint="eastAsia" w:eastAsia="黑体"/>
          <w:sz w:val="32"/>
          <w:szCs w:val="32"/>
          <w:lang w:eastAsia="zh-CN"/>
        </w:rPr>
        <w:t>无极县发展改革局</w:t>
      </w:r>
      <w:r>
        <w:rPr>
          <w:rFonts w:eastAsia="黑体"/>
          <w:sz w:val="32"/>
          <w:szCs w:val="32"/>
        </w:rPr>
        <w:t>2017年度部门决算报表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一、收入支出决算总表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二、收入决算表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三、支出决算表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四、财政拨款收入支出决算总表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五、一般公共预算财政拨款收入支出决算表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六、一般公共预算财政拨款基本支出决算经济分类表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七、政府性基金预算财政拨款收入支出决算表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八、国有资本经营预算财政拨款收入支出决算表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九、“三公”经费等相关信息统计表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十、政府采购情况表</w:t>
      </w:r>
    </w:p>
    <w:p>
      <w:pPr>
        <w:widowControl/>
        <w:spacing w:line="580" w:lineRule="exact"/>
        <w:ind w:firstLine="640" w:firstLineChars="20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 xml:space="preserve">第三部分  </w:t>
      </w:r>
      <w:r>
        <w:rPr>
          <w:rFonts w:hint="eastAsia" w:eastAsia="黑体"/>
          <w:sz w:val="32"/>
          <w:szCs w:val="32"/>
          <w:lang w:eastAsia="zh-CN"/>
        </w:rPr>
        <w:t>无极县发展改革局</w:t>
      </w:r>
      <w:r>
        <w:rPr>
          <w:rFonts w:eastAsia="黑体"/>
          <w:sz w:val="32"/>
          <w:szCs w:val="32"/>
        </w:rPr>
        <w:t>2017年部门决算情况说明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一、收入支出决算总体情况说明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二、收入决算情况说明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三、支出决算情况说明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四、财政拨款收入支出决算总体情况说明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五、“三公”经费支出决算情况说明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六、预算绩效管理工作开展情况说明</w:t>
      </w:r>
    </w:p>
    <w:p>
      <w:pPr>
        <w:widowControl/>
        <w:spacing w:line="580" w:lineRule="exact"/>
        <w:ind w:left="64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七、其他重要事项的说明</w:t>
      </w:r>
    </w:p>
    <w:p>
      <w:pPr>
        <w:widowControl/>
        <w:spacing w:line="580" w:lineRule="exact"/>
        <w:ind w:left="640" w:firstLine="1344" w:firstLineChars="4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1.机关运行经费情况</w:t>
      </w:r>
    </w:p>
    <w:p>
      <w:pPr>
        <w:widowControl/>
        <w:spacing w:line="580" w:lineRule="exact"/>
        <w:ind w:left="640" w:firstLine="1344" w:firstLineChars="4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2.政府采购情况</w:t>
      </w:r>
    </w:p>
    <w:p>
      <w:pPr>
        <w:widowControl/>
        <w:spacing w:line="580" w:lineRule="exact"/>
        <w:ind w:left="640" w:firstLine="1344" w:firstLineChars="4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3.国有资产占用情况</w:t>
      </w:r>
    </w:p>
    <w:p>
      <w:pPr>
        <w:widowControl/>
        <w:spacing w:line="580" w:lineRule="exact"/>
        <w:ind w:left="640" w:firstLine="1344" w:firstLineChars="4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4.其他需要说明的情况</w:t>
      </w:r>
    </w:p>
    <w:p>
      <w:pPr>
        <w:widowControl/>
        <w:spacing w:line="580" w:lineRule="exact"/>
        <w:ind w:firstLine="640" w:firstLineChars="20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第四部分  名词解释</w:t>
      </w:r>
    </w:p>
    <w:p/>
    <w:p/>
    <w:p/>
    <w:p/>
    <w:p/>
    <w:p>
      <w:pPr>
        <w:pStyle w:val="2"/>
        <w:spacing w:line="560" w:lineRule="exact"/>
        <w:jc w:val="center"/>
        <w:rPr>
          <w:rFonts w:ascii="宋体" w:hAnsi="宋体" w:cs="ArialUnicodeMS"/>
          <w:color w:val="000000"/>
          <w:kern w:val="0"/>
        </w:rPr>
      </w:pPr>
      <w:r>
        <w:rPr>
          <w:rFonts w:hint="eastAsia" w:ascii="宋体" w:hAnsi="宋体" w:cs="ArialUnicodeMS"/>
          <w:color w:val="000000"/>
          <w:kern w:val="0"/>
        </w:rPr>
        <w:t>第一部分 部门概况</w:t>
      </w:r>
    </w:p>
    <w:p>
      <w:pPr>
        <w:pStyle w:val="3"/>
        <w:spacing w:before="0" w:after="0" w:line="560" w:lineRule="exact"/>
        <w:ind w:firstLine="643" w:firstLineChars="200"/>
        <w:rPr>
          <w:rFonts w:ascii="黑体" w:hAnsi="Cambria" w:eastAsia="黑体" w:cs="黑体"/>
          <w:kern w:val="0"/>
        </w:rPr>
      </w:pPr>
      <w:r>
        <w:rPr>
          <w:rFonts w:hint="eastAsia" w:ascii="黑体" w:hAnsi="Cambria" w:eastAsia="黑体" w:cs="黑体"/>
          <w:kern w:val="0"/>
        </w:rPr>
        <w:t>一、部门职责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统筹协调，推进规划编制实施。坚持立足无极实际，突出规划引领，在抓好“十三五”规划纲要实施的同时，抓住京津冀协同发展机遇，加强与高等院校的合作，充分发挥专家、学者以及科研院所的智力优势，找准研究方向、研究重点，找出发展路径和解决难题的具体办法，集中体现以人为本、可持续发展理念，确保“十三五”规划目标任务顺利完成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超前谋划研究，当好参谋和助手。一是科学制定年度计划。做到计划目标积极主动又切实可行，并与“十三五”规划相衔接。二是强化经济运行监控。加强工作调研，立足经济发展新常态，认真分析研究宏观政策，增强对宏观发展环境的研判，及时发现苗头性、倾向性问题，提出保持经济平稳较快增长的对策建议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3.攻坚克难，强力推进项目建设。牢固树立“抓项目就是抓发展、抓项目就是抓转型升级”的理念，继续把项目工作作为重中之重来抓。做好协调和督导工作，加强重点建设协调管理，完成市下达的计划目标。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4、节能降耗工作。强化节能监察，加强大气污染综合治理，完成市下达的节能降耗任务目标。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5、服务业工作。加强服务业工作管理，加快服务业重点项目建设，大力发展生产性服务业、生活性服务业及新兴服务业，提高第三产业比重，完成市下达的任务目标。</w:t>
      </w:r>
    </w:p>
    <w:p>
      <w:pPr>
        <w:pStyle w:val="3"/>
        <w:spacing w:before="0" w:after="0" w:line="560" w:lineRule="exact"/>
        <w:ind w:firstLine="643" w:firstLineChars="200"/>
        <w:rPr>
          <w:rFonts w:ascii="黑体" w:hAnsi="Cambria" w:eastAsia="黑体" w:cs="黑体"/>
          <w:kern w:val="0"/>
        </w:rPr>
      </w:pPr>
      <w:r>
        <w:rPr>
          <w:rFonts w:hint="eastAsia" w:ascii="黑体" w:hAnsi="Cambria" w:eastAsia="黑体" w:cs="黑体"/>
          <w:kern w:val="0"/>
        </w:rPr>
        <w:t>二、部门决算单位构成</w:t>
      </w:r>
    </w:p>
    <w:p>
      <w:pPr>
        <w:autoSpaceDE w:val="0"/>
        <w:autoSpaceDN w:val="0"/>
        <w:adjustRightInd w:val="0"/>
        <w:spacing w:after="0" w:line="560" w:lineRule="exact"/>
        <w:ind w:firstLine="640" w:firstLineChars="200"/>
        <w:jc w:val="left"/>
        <w:rPr>
          <w:rFonts w:ascii="仿宋_GB2312" w:hAnsi="Cambria" w:eastAsia="仿宋_GB2312" w:cs="ArialUnicodeMS"/>
          <w:kern w:val="0"/>
          <w:sz w:val="32"/>
          <w:szCs w:val="32"/>
        </w:rPr>
      </w:pPr>
      <w:r>
        <w:rPr>
          <w:rFonts w:hint="eastAsia" w:ascii="仿宋_GB2312" w:hAnsi="Cambria" w:eastAsia="仿宋_GB2312" w:cs="ArialUnicodeMS"/>
          <w:kern w:val="0"/>
          <w:sz w:val="32"/>
          <w:szCs w:val="32"/>
        </w:rPr>
        <w:t>2017 年度，纳入本部门决算汇编范围的独立核算单位</w:t>
      </w:r>
    </w:p>
    <w:p>
      <w:pPr>
        <w:autoSpaceDE w:val="0"/>
        <w:autoSpaceDN w:val="0"/>
        <w:adjustRightInd w:val="0"/>
        <w:spacing w:after="0" w:line="560" w:lineRule="exact"/>
        <w:jc w:val="left"/>
        <w:sectPr>
          <w:pgSz w:w="11906" w:h="16838"/>
          <w:pgMar w:top="2098" w:right="1474" w:bottom="1985" w:left="1588" w:header="851" w:footer="992" w:gutter="0"/>
          <w:pgNumType w:start="0"/>
          <w:cols w:space="720" w:num="1"/>
          <w:titlePg/>
          <w:docGrid w:type="lines" w:linePitch="312" w:charSpace="0"/>
        </w:sectPr>
      </w:pPr>
      <w:r>
        <w:rPr>
          <w:rFonts w:hint="eastAsia" w:ascii="仿宋_GB2312" w:hAnsi="Cambria" w:eastAsia="仿宋_GB2312" w:cs="ArialUnicodeMS"/>
          <w:kern w:val="0"/>
          <w:sz w:val="32"/>
          <w:szCs w:val="32"/>
        </w:rPr>
        <w:t>（以下简称“单位”）共</w:t>
      </w:r>
      <w:r>
        <w:rPr>
          <w:rFonts w:hint="eastAsia" w:ascii="仿宋_GB2312" w:hAnsi="Cambria" w:eastAsia="仿宋_GB2312" w:cs="ArialUnicodeMS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Cambria" w:eastAsia="仿宋_GB2312" w:cs="ArialUnicodeMS"/>
          <w:kern w:val="0"/>
          <w:sz w:val="32"/>
          <w:szCs w:val="32"/>
        </w:rPr>
        <w:t>个，</w:t>
      </w:r>
      <w:r>
        <w:rPr>
          <w:rFonts w:hint="eastAsia" w:ascii="仿宋_GB2312" w:hAnsi="Cambria" w:eastAsia="仿宋_GB2312" w:cs="ArialUnicodeMS"/>
          <w:kern w:val="0"/>
          <w:sz w:val="32"/>
          <w:szCs w:val="32"/>
          <w:lang w:eastAsia="zh-CN"/>
        </w:rPr>
        <w:t>为无极县发展改革局</w:t>
      </w:r>
      <w:r>
        <w:rPr>
          <w:rFonts w:hint="eastAsia" w:ascii="仿宋_GB2312" w:hAnsi="Cambria" w:eastAsia="仿宋_GB2312" w:cs="ArialUnicodeMS"/>
          <w:kern w:val="0"/>
          <w:sz w:val="32"/>
          <w:szCs w:val="32"/>
        </w:rPr>
        <w:t xml:space="preserve"> ，单位基本性质为</w:t>
      </w:r>
      <w:r>
        <w:rPr>
          <w:rFonts w:hint="eastAsia" w:ascii="仿宋_GB2312" w:hAnsi="Cambria" w:eastAsia="仿宋_GB2312" w:cs="ArialUnicodeMS"/>
          <w:kern w:val="0"/>
          <w:sz w:val="32"/>
          <w:szCs w:val="32"/>
          <w:lang w:eastAsia="zh-CN"/>
        </w:rPr>
        <w:t>行政</w:t>
      </w:r>
      <w:r>
        <w:rPr>
          <w:rFonts w:hint="eastAsia" w:ascii="仿宋_GB2312" w:hAnsi="Cambria" w:eastAsia="仿宋_GB2312" w:cs="ArialUnicodeMS"/>
          <w:kern w:val="0"/>
          <w:sz w:val="32"/>
          <w:szCs w:val="32"/>
        </w:rPr>
        <w:t>单位，预算管理级次为</w:t>
      </w:r>
      <w:r>
        <w:rPr>
          <w:rFonts w:hint="eastAsia" w:ascii="仿宋_GB2312" w:hAnsi="Cambria" w:eastAsia="仿宋_GB2312" w:cs="ArialUnicodeMS"/>
          <w:kern w:val="0"/>
          <w:sz w:val="32"/>
          <w:szCs w:val="32"/>
          <w:lang w:eastAsia="zh-CN"/>
        </w:rPr>
        <w:t>县</w:t>
      </w:r>
      <w:r>
        <w:rPr>
          <w:rFonts w:hint="eastAsia" w:ascii="仿宋_GB2312" w:hAnsi="Cambria" w:eastAsia="仿宋_GB2312" w:cs="ArialUnicodeMS"/>
          <w:kern w:val="0"/>
          <w:sz w:val="32"/>
          <w:szCs w:val="32"/>
        </w:rPr>
        <w:t>级预算单位，执行</w:t>
      </w:r>
      <w:r>
        <w:rPr>
          <w:rFonts w:hint="eastAsia" w:ascii="仿宋_GB2312" w:hAnsi="Cambria" w:eastAsia="仿宋_GB2312" w:cs="ArialUnicodeMS"/>
          <w:kern w:val="0"/>
          <w:sz w:val="32"/>
          <w:szCs w:val="32"/>
          <w:lang w:eastAsia="zh-CN"/>
        </w:rPr>
        <w:t>行政</w:t>
      </w:r>
      <w:r>
        <w:rPr>
          <w:rFonts w:hint="eastAsia" w:ascii="仿宋_GB2312" w:hAnsi="Cambria" w:eastAsia="仿宋_GB2312" w:cs="ArialUnicodeMS"/>
          <w:kern w:val="0"/>
          <w:sz w:val="32"/>
          <w:szCs w:val="32"/>
        </w:rPr>
        <w:t>单位会计制度，较上年无增减变化</w:t>
      </w:r>
      <w:r>
        <w:rPr>
          <w:rFonts w:hint="eastAsia" w:ascii="仿宋_GB2312" w:hAnsi="Cambria" w:eastAsia="仿宋_GB2312" w:cs="ArialUnicodeMS"/>
          <w:kern w:val="0"/>
          <w:sz w:val="32"/>
          <w:szCs w:val="32"/>
          <w:lang w:eastAsia="zh-CN"/>
        </w:rPr>
        <w:t>。</w:t>
      </w:r>
    </w:p>
    <w:p>
      <w:pPr>
        <w:pStyle w:val="2"/>
        <w:spacing w:line="560" w:lineRule="exact"/>
        <w:jc w:val="both"/>
        <w:rPr>
          <w:rFonts w:ascii="宋体" w:hAnsi="宋体" w:cs="ArialUnicodeMS"/>
          <w:color w:val="000000"/>
          <w:kern w:val="0"/>
        </w:rPr>
      </w:pPr>
      <w:r>
        <w:rPr>
          <w:rFonts w:hint="eastAsia" w:ascii="宋体" w:hAnsi="宋体" w:cs="ArialUnicodeMS"/>
          <w:color w:val="000000"/>
          <w:kern w:val="0"/>
          <w:lang w:val="en-US" w:eastAsia="zh-CN"/>
        </w:rPr>
        <w:t xml:space="preserve">     </w:t>
      </w:r>
      <w:r>
        <w:rPr>
          <w:rFonts w:hint="eastAsia" w:ascii="宋体" w:hAnsi="宋体" w:cs="ArialUnicodeMS"/>
          <w:color w:val="000000"/>
          <w:kern w:val="0"/>
        </w:rPr>
        <w:t>第二部分 2017年度部门决算报表</w:t>
      </w:r>
    </w:p>
    <w:p>
      <w:pPr>
        <w:ind w:firstLine="622"/>
        <w:jc w:val="center"/>
        <w:rPr>
          <w:rFonts w:hint="eastAsia" w:ascii="宋体" w:hAnsi="宋体" w:eastAsia="宋体"/>
          <w:b/>
          <w:sz w:val="31"/>
          <w:szCs w:val="31"/>
        </w:rPr>
      </w:pPr>
      <w:r>
        <w:rPr>
          <w:rFonts w:hint="eastAsia" w:ascii="宋体" w:hAnsi="宋体" w:eastAsia="宋体"/>
          <w:b/>
          <w:sz w:val="31"/>
          <w:szCs w:val="31"/>
        </w:rPr>
        <w:t>（详见附件）</w:t>
      </w:r>
    </w:p>
    <w:p>
      <w:pPr>
        <w:ind w:firstLine="622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一、收入支出决算总表</w:t>
      </w:r>
    </w:p>
    <w:p>
      <w:pPr>
        <w:ind w:firstLine="622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二、收入决算表</w:t>
      </w:r>
    </w:p>
    <w:p>
      <w:pPr>
        <w:ind w:firstLine="622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 xml:space="preserve">三、支出决算表 </w:t>
      </w:r>
    </w:p>
    <w:p>
      <w:pPr>
        <w:ind w:firstLine="622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四、财政拨款收入支出决算总表</w:t>
      </w:r>
    </w:p>
    <w:p>
      <w:pPr>
        <w:ind w:firstLine="622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五、一般公共预算财政拨款支出决算表</w:t>
      </w:r>
    </w:p>
    <w:p>
      <w:pPr>
        <w:ind w:firstLine="622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六、一般公共预算财政拨款基本支出决算表</w:t>
      </w:r>
    </w:p>
    <w:p>
      <w:pPr>
        <w:ind w:firstLine="622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 xml:space="preserve">七、政府性基金预算财政拨款收入支出决算表 </w:t>
      </w:r>
    </w:p>
    <w:p>
      <w:pPr>
        <w:ind w:firstLine="622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八、国有资本经营预算财政拨款收入支出决算表</w:t>
      </w:r>
    </w:p>
    <w:p>
      <w:pPr>
        <w:ind w:firstLine="622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九、“三公”经费及相关信息统计表</w:t>
      </w:r>
    </w:p>
    <w:p>
      <w:pPr>
        <w:ind w:firstLine="622"/>
        <w:rPr>
          <w:rFonts w:hint="eastAsia" w:ascii="仿宋_GB2312" w:hAnsi="仿宋_GB2312" w:eastAsia="仿宋_GB2312" w:cs="仿宋_GB2312"/>
          <w:b w:val="0"/>
          <w:bCs/>
          <w:color w:val="FF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十、政府采购情况表</w:t>
      </w:r>
    </w:p>
    <w:p>
      <w:pPr>
        <w:pStyle w:val="2"/>
        <w:spacing w:line="560" w:lineRule="exact"/>
        <w:jc w:val="center"/>
        <w:rPr>
          <w:rFonts w:hint="eastAsia" w:ascii="宋体" w:hAnsi="宋体" w:eastAsia="宋体" w:cs="ArialUnicodeMS"/>
          <w:color w:val="000000"/>
          <w:kern w:val="0"/>
        </w:rPr>
      </w:pPr>
    </w:p>
    <w:p>
      <w:pPr>
        <w:pStyle w:val="2"/>
        <w:spacing w:line="560" w:lineRule="exact"/>
        <w:jc w:val="center"/>
        <w:rPr>
          <w:rFonts w:ascii="宋体" w:hAnsi="宋体" w:eastAsia="宋体" w:cs="ArialUnicodeMS"/>
          <w:color w:val="000000"/>
          <w:kern w:val="0"/>
        </w:rPr>
      </w:pPr>
      <w:r>
        <w:rPr>
          <w:rFonts w:hint="eastAsia" w:ascii="宋体" w:hAnsi="宋体" w:eastAsia="宋体" w:cs="ArialUnicodeMS"/>
          <w:color w:val="000000"/>
          <w:kern w:val="0"/>
        </w:rPr>
        <w:t>第三部分</w:t>
      </w:r>
      <w:r>
        <w:rPr>
          <w:rFonts w:ascii="宋体" w:hAnsi="宋体" w:eastAsia="宋体" w:cs="ArialUnicodeMS"/>
          <w:color w:val="000000"/>
          <w:kern w:val="0"/>
        </w:rPr>
        <w:t xml:space="preserve"> </w:t>
      </w:r>
      <w:r>
        <w:rPr>
          <w:rFonts w:hint="eastAsia" w:ascii="宋体" w:hAnsi="宋体" w:eastAsia="宋体" w:cs="ArialUnicodeMS"/>
          <w:color w:val="000000"/>
          <w:kern w:val="0"/>
        </w:rPr>
        <w:t>部门决算情况说明</w:t>
      </w:r>
    </w:p>
    <w:p>
      <w:pPr>
        <w:pStyle w:val="3"/>
        <w:spacing w:before="0" w:after="0" w:line="560" w:lineRule="exact"/>
        <w:ind w:firstLine="643" w:firstLineChars="200"/>
        <w:rPr>
          <w:rFonts w:ascii="黑体" w:eastAsia="黑体"/>
        </w:rPr>
      </w:pPr>
      <w:r>
        <w:rPr>
          <w:rFonts w:hint="eastAsia" w:ascii="黑体" w:eastAsia="黑体"/>
        </w:rPr>
        <w:t>一、收入</w:t>
      </w:r>
      <w:r>
        <w:rPr>
          <w:rFonts w:hint="eastAsia" w:ascii="黑体" w:hAnsi="Cambria" w:eastAsia="黑体" w:cs="黑体"/>
          <w:kern w:val="0"/>
        </w:rPr>
        <w:t>支出</w:t>
      </w:r>
      <w:r>
        <w:rPr>
          <w:rFonts w:hint="eastAsia" w:ascii="黑体" w:eastAsia="黑体"/>
        </w:rPr>
        <w:t>决算总体情况说明</w:t>
      </w:r>
    </w:p>
    <w:p>
      <w:pPr>
        <w:adjustRightInd w:val="0"/>
        <w:snapToGrid w:val="0"/>
        <w:spacing w:after="0" w:line="560" w:lineRule="exact"/>
        <w:ind w:firstLine="640" w:firstLineChars="200"/>
        <w:rPr>
          <w:rFonts w:ascii="仿宋_GB2312" w:eastAsia="仿宋_GB2312" w:cs="DengXian-Regular"/>
          <w:sz w:val="32"/>
          <w:szCs w:val="32"/>
        </w:rPr>
      </w:pPr>
      <w:r>
        <w:rPr>
          <w:rFonts w:hint="eastAsia" w:ascii="仿宋_GB2312" w:eastAsia="仿宋_GB2312" w:cs="DengXian-Regular"/>
          <w:sz w:val="32"/>
          <w:szCs w:val="32"/>
        </w:rPr>
        <w:t>本部门2017年度年初结转和结余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4.23</w:t>
      </w:r>
      <w:r>
        <w:rPr>
          <w:rFonts w:hint="eastAsia" w:ascii="仿宋_GB2312" w:eastAsia="仿宋_GB2312" w:cs="DengXian-Regular"/>
          <w:sz w:val="32"/>
          <w:szCs w:val="32"/>
        </w:rPr>
        <w:t>万元，本年收入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310.22</w:t>
      </w:r>
      <w:r>
        <w:rPr>
          <w:rFonts w:hint="eastAsia" w:ascii="仿宋_GB2312" w:eastAsia="仿宋_GB2312" w:cs="DengXian-Regular"/>
          <w:sz w:val="32"/>
          <w:szCs w:val="32"/>
        </w:rPr>
        <w:t>万元；本年支出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278.88</w:t>
      </w:r>
      <w:r>
        <w:rPr>
          <w:rFonts w:hint="eastAsia" w:ascii="仿宋_GB2312" w:eastAsia="仿宋_GB2312" w:cs="DengXian-Regular"/>
          <w:sz w:val="32"/>
          <w:szCs w:val="32"/>
        </w:rPr>
        <w:t>万元、年末结转和结余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35.56</w:t>
      </w:r>
      <w:r>
        <w:rPr>
          <w:rFonts w:hint="eastAsia" w:ascii="仿宋_GB2312" w:eastAsia="仿宋_GB2312" w:cs="DengXian-Regular"/>
          <w:sz w:val="32"/>
          <w:szCs w:val="32"/>
        </w:rPr>
        <w:t>万元。与2016年度决算相比，本年收入减少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115.82</w:t>
      </w:r>
      <w:r>
        <w:rPr>
          <w:rFonts w:hint="eastAsia" w:ascii="仿宋_GB2312" w:eastAsia="仿宋_GB2312" w:cs="DengXian-Regular"/>
          <w:sz w:val="32"/>
          <w:szCs w:val="32"/>
        </w:rPr>
        <w:t>万元，降低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27.19</w:t>
      </w:r>
      <w:r>
        <w:rPr>
          <w:rFonts w:hint="eastAsia" w:ascii="仿宋_GB2312" w:eastAsia="仿宋_GB2312" w:cs="DengXian-Regular"/>
          <w:sz w:val="32"/>
          <w:szCs w:val="32"/>
        </w:rPr>
        <w:t>%，主要是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项目收入调整</w:t>
      </w:r>
      <w:r>
        <w:rPr>
          <w:rFonts w:hint="eastAsia" w:ascii="仿宋_GB2312" w:eastAsia="仿宋_GB2312" w:cs="DengXian-Regular"/>
          <w:sz w:val="32"/>
          <w:szCs w:val="32"/>
        </w:rPr>
        <w:t>；本年支出增加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7.07</w:t>
      </w:r>
      <w:r>
        <w:rPr>
          <w:rFonts w:hint="eastAsia" w:ascii="仿宋_GB2312" w:eastAsia="仿宋_GB2312" w:cs="DengXian-Regular"/>
          <w:sz w:val="32"/>
          <w:szCs w:val="32"/>
        </w:rPr>
        <w:t>万元，增长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2.6</w:t>
      </w:r>
      <w:r>
        <w:rPr>
          <w:rFonts w:hint="eastAsia" w:ascii="仿宋_GB2312" w:eastAsia="仿宋_GB2312" w:cs="DengXian-Regular"/>
          <w:sz w:val="32"/>
          <w:szCs w:val="32"/>
        </w:rPr>
        <w:t>%，主要是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行政运行增加人员工资</w:t>
      </w:r>
      <w:r>
        <w:rPr>
          <w:rFonts w:hint="eastAsia" w:ascii="仿宋_GB2312" w:eastAsia="仿宋_GB2312" w:cs="DengXian-Regular"/>
          <w:sz w:val="32"/>
          <w:szCs w:val="32"/>
        </w:rPr>
        <w:t>。</w:t>
      </w:r>
    </w:p>
    <w:p>
      <w:pPr>
        <w:pStyle w:val="3"/>
        <w:spacing w:before="0" w:after="0" w:line="560" w:lineRule="exact"/>
        <w:ind w:firstLine="643" w:firstLineChars="200"/>
        <w:rPr>
          <w:rFonts w:ascii="黑体" w:eastAsia="黑体"/>
        </w:rPr>
      </w:pPr>
      <w:r>
        <w:rPr>
          <w:rFonts w:hint="eastAsia" w:ascii="黑体" w:eastAsia="黑体"/>
        </w:rPr>
        <w:t>二、收入决算情况说明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eastAsia="仿宋_GB2312" w:cs="DengXian-Regular"/>
          <w:sz w:val="32"/>
          <w:szCs w:val="32"/>
          <w:lang w:val="en-US" w:eastAsia="zh-CN"/>
        </w:rPr>
      </w:pPr>
      <w:r>
        <w:rPr>
          <w:rFonts w:hint="eastAsia" w:ascii="仿宋_GB2312" w:eastAsia="仿宋_GB2312" w:cs="DengXian-Regular"/>
          <w:sz w:val="32"/>
          <w:szCs w:val="32"/>
        </w:rPr>
        <w:t>本部门2017年度本年收入合计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310.22</w:t>
      </w:r>
      <w:r>
        <w:rPr>
          <w:rFonts w:hint="eastAsia" w:ascii="仿宋_GB2312" w:eastAsia="仿宋_GB2312" w:cs="DengXian-Regular"/>
          <w:sz w:val="32"/>
          <w:szCs w:val="32"/>
        </w:rPr>
        <w:t>万元，其中：财政拨款收入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310.22</w:t>
      </w:r>
      <w:r>
        <w:rPr>
          <w:rFonts w:hint="eastAsia" w:ascii="仿宋_GB2312" w:eastAsia="仿宋_GB2312" w:cs="DengXian-Regular"/>
          <w:sz w:val="32"/>
          <w:szCs w:val="32"/>
        </w:rPr>
        <w:t>万元，占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100</w:t>
      </w:r>
      <w:r>
        <w:rPr>
          <w:rFonts w:hint="eastAsia" w:ascii="仿宋_GB2312" w:eastAsia="仿宋_GB2312" w:cs="DengXian-Regular"/>
          <w:sz w:val="32"/>
          <w:szCs w:val="32"/>
        </w:rPr>
        <w:t>%；事业收入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万元，占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%；经营收入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万元，占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%；其他收入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万元，占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%。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如图所示：</w:t>
      </w:r>
    </w:p>
    <w:p>
      <w:pPr>
        <w:adjustRightInd w:val="0"/>
        <w:snapToGrid w:val="0"/>
        <w:spacing w:line="560" w:lineRule="exact"/>
        <w:ind w:firstLine="1920" w:firstLineChars="600"/>
        <w:rPr>
          <w:rFonts w:hint="eastAsia" w:ascii="仿宋_GB2312" w:eastAsia="仿宋_GB2312" w:cs="DengXian-Regular"/>
          <w:sz w:val="32"/>
          <w:szCs w:val="32"/>
          <w:lang w:val="en-US" w:eastAsia="zh-CN"/>
        </w:rPr>
      </w:pPr>
      <w:r>
        <w:rPr>
          <w:rFonts w:ascii="仿宋_GB2312" w:eastAsia="仿宋_GB2312" w:cs="DengXian-Regular"/>
          <w:sz w:val="32"/>
          <w:szCs w:val="32"/>
        </w:rPr>
        <w:t>图</w:t>
      </w:r>
      <w:r>
        <w:rPr>
          <w:rFonts w:hint="eastAsia" w:ascii="仿宋_GB2312" w:eastAsia="仿宋_GB2312" w:cs="DengXian-Regular"/>
          <w:sz w:val="32"/>
          <w:szCs w:val="32"/>
        </w:rPr>
        <w:t>1：收入决算结构饼状图</w:t>
      </w:r>
    </w:p>
    <w:p>
      <w:pPr>
        <w:adjustRightInd w:val="0"/>
        <w:snapToGrid w:val="0"/>
        <w:spacing w:after="0" w:line="240" w:lineRule="auto"/>
        <w:ind w:firstLine="0" w:firstLineChars="0"/>
        <w:rPr>
          <w:rFonts w:hint="eastAsia" w:ascii="仿宋_GB2312" w:eastAsia="仿宋_GB2312" w:cs="DengXian-Regular"/>
          <w:sz w:val="32"/>
          <w:szCs w:val="32"/>
          <w:lang w:val="en-US" w:eastAsia="zh-CN"/>
        </w:rPr>
      </w:pPr>
      <w:r>
        <w:rPr>
          <w:rFonts w:ascii="Times New Roman" w:hAnsi="Times New Roman" w:eastAsia="宋体" w:cs="Times New Roman"/>
          <w:kern w:val="2"/>
          <w:sz w:val="21"/>
          <w:szCs w:val="24"/>
          <w:lang w:val="en-US" w:eastAsia="zh-CN" w:bidi="ar-SA"/>
        </w:rPr>
        <w:pict>
          <v:shape id="_x0000_i1025" o:spt="75" type="#_x0000_t75" style="height:201.2pt;width:442.1pt;" fillcolor="#FFFFFF" filled="f" o:preferrelative="t" stroked="f" coordsize="21600,21600">
            <v:path/>
            <v:fill on="f" color2="#FFFFFF" focussize="0,0"/>
            <v:stroke on="f"/>
            <v:imagedata r:id="rId4" gain="65536f" blacklevel="0f" gamma="0" o:title=""/>
            <o:lock v:ext="edit" position="f" selection="f" grouping="f" rotation="f" cropping="f" text="f" aspectratio="t"/>
            <w10:wrap type="none"/>
            <w10:anchorlock/>
          </v:shape>
        </w:pict>
      </w:r>
    </w:p>
    <w:p>
      <w:pPr>
        <w:pStyle w:val="3"/>
        <w:spacing w:before="0" w:after="0" w:line="560" w:lineRule="exact"/>
        <w:ind w:firstLine="643" w:firstLineChars="200"/>
        <w:rPr>
          <w:rFonts w:ascii="黑体" w:eastAsia="黑体"/>
        </w:rPr>
      </w:pPr>
      <w:r>
        <w:rPr>
          <w:rFonts w:hint="eastAsia" w:ascii="黑体" w:eastAsia="黑体"/>
        </w:rPr>
        <w:t>三、支出决算情况说明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eastAsia="仿宋_GB2312" w:cs="DengXian-Regular"/>
          <w:sz w:val="32"/>
          <w:szCs w:val="32"/>
          <w:lang w:eastAsia="zh-CN"/>
        </w:rPr>
      </w:pPr>
      <w:r>
        <w:rPr>
          <w:rFonts w:hint="eastAsia" w:ascii="仿宋_GB2312" w:eastAsia="仿宋_GB2312" w:cs="DengXian-Regular"/>
          <w:sz w:val="32"/>
          <w:szCs w:val="32"/>
        </w:rPr>
        <w:t>本部门2017年度本年支出合计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278.88</w:t>
      </w:r>
      <w:r>
        <w:rPr>
          <w:rFonts w:hint="eastAsia" w:ascii="仿宋_GB2312" w:eastAsia="仿宋_GB2312" w:cs="DengXian-Regular"/>
          <w:sz w:val="32"/>
          <w:szCs w:val="32"/>
        </w:rPr>
        <w:t>万元，其中：基本支出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238.88</w:t>
      </w:r>
      <w:r>
        <w:rPr>
          <w:rFonts w:hint="eastAsia" w:ascii="仿宋_GB2312" w:eastAsia="仿宋_GB2312" w:cs="DengXian-Regular"/>
          <w:sz w:val="32"/>
          <w:szCs w:val="32"/>
        </w:rPr>
        <w:t>万元，占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85.66</w:t>
      </w:r>
      <w:r>
        <w:rPr>
          <w:rFonts w:hint="eastAsia" w:ascii="仿宋_GB2312" w:eastAsia="仿宋_GB2312" w:cs="DengXian-Regular"/>
          <w:sz w:val="32"/>
          <w:szCs w:val="32"/>
        </w:rPr>
        <w:t>%；项目支出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40</w:t>
      </w:r>
      <w:r>
        <w:rPr>
          <w:rFonts w:hint="eastAsia" w:ascii="仿宋_GB2312" w:eastAsia="仿宋_GB2312" w:cs="DengXian-Regular"/>
          <w:sz w:val="32"/>
          <w:szCs w:val="32"/>
        </w:rPr>
        <w:t>万元，占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14.34</w:t>
      </w:r>
      <w:r>
        <w:rPr>
          <w:rFonts w:hint="eastAsia" w:ascii="仿宋_GB2312" w:eastAsia="仿宋_GB2312" w:cs="DengXian-Regular"/>
          <w:sz w:val="32"/>
          <w:szCs w:val="32"/>
        </w:rPr>
        <w:t>%；经营支出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万元，占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%。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如图所示：</w:t>
      </w:r>
    </w:p>
    <w:p>
      <w:pPr>
        <w:adjustRightInd w:val="0"/>
        <w:snapToGrid w:val="0"/>
        <w:spacing w:line="560" w:lineRule="exact"/>
        <w:ind w:firstLine="2080" w:firstLineChars="650"/>
        <w:rPr>
          <w:rFonts w:hint="eastAsia" w:ascii="仿宋_GB2312" w:eastAsia="仿宋_GB2312" w:cs="DengXian-Regular"/>
          <w:sz w:val="32"/>
          <w:szCs w:val="32"/>
          <w:lang w:eastAsia="zh-CN"/>
        </w:rPr>
      </w:pPr>
      <w:r>
        <w:rPr>
          <w:rFonts w:hint="eastAsia" w:ascii="仿宋_GB2312" w:eastAsia="仿宋_GB2312" w:cs="DengXian-Regular"/>
          <w:sz w:val="32"/>
          <w:szCs w:val="32"/>
        </w:rPr>
        <w:t>图2：支出决算结构饼状图</w:t>
      </w:r>
    </w:p>
    <w:p>
      <w:pPr>
        <w:adjustRightInd w:val="0"/>
        <w:snapToGrid w:val="0"/>
        <w:spacing w:after="0" w:line="240" w:lineRule="auto"/>
        <w:ind w:firstLine="0" w:firstLineChars="0"/>
        <w:rPr>
          <w:rFonts w:hint="eastAsia" w:ascii="仿宋_GB2312" w:eastAsia="仿宋_GB2312" w:cs="DengXian-Regular"/>
          <w:sz w:val="32"/>
          <w:szCs w:val="32"/>
        </w:rPr>
      </w:pPr>
      <w:r>
        <w:rPr>
          <w:rFonts w:ascii="Times New Roman" w:hAnsi="Times New Roman" w:eastAsia="宋体" w:cs="Times New Roman"/>
          <w:kern w:val="2"/>
          <w:sz w:val="21"/>
          <w:szCs w:val="24"/>
          <w:lang w:val="en-US" w:eastAsia="zh-CN" w:bidi="ar-SA"/>
        </w:rPr>
        <w:pict>
          <v:shape id="_x0000_i1026" o:spt="75" type="#_x0000_t75" style="height:201.2pt;width:442.1pt;" fillcolor="#FFFFFF" filled="f" o:preferrelative="t" stroked="f" coordsize="21600,21600">
            <v:path/>
            <v:fill on="f" color2="#FFFFFF" focussize="0,0"/>
            <v:stroke on="f"/>
            <v:imagedata r:id="rId5" gain="65536f" blacklevel="0f" gamma="0" o:title=""/>
            <o:lock v:ext="edit" position="f" selection="f" grouping="f" rotation="f" cropping="f" text="f" aspectratio="t"/>
            <w10:wrap type="none"/>
            <w10:anchorlock/>
          </v:shape>
        </w:pict>
      </w:r>
    </w:p>
    <w:p>
      <w:pPr>
        <w:pStyle w:val="3"/>
        <w:spacing w:before="0" w:after="0" w:line="560" w:lineRule="exact"/>
        <w:ind w:firstLine="643" w:firstLineChars="200"/>
        <w:rPr>
          <w:rFonts w:ascii="黑体" w:eastAsia="黑体"/>
        </w:rPr>
      </w:pPr>
      <w:r>
        <w:rPr>
          <w:rFonts w:hint="eastAsia" w:ascii="黑体" w:eastAsia="黑体"/>
        </w:rPr>
        <w:t>四、</w:t>
      </w:r>
      <w:r>
        <w:rPr>
          <w:rFonts w:hint="eastAsia" w:ascii="黑体" w:hAnsi="Cambria" w:eastAsia="黑体" w:cs="黑体"/>
          <w:kern w:val="0"/>
        </w:rPr>
        <w:t>财政</w:t>
      </w:r>
      <w:r>
        <w:rPr>
          <w:rFonts w:hint="eastAsia" w:ascii="黑体" w:eastAsia="黑体"/>
        </w:rPr>
        <w:t>拨款收入支出决算总体情况说明</w:t>
      </w:r>
    </w:p>
    <w:p>
      <w:pPr>
        <w:spacing w:after="0" w:line="560" w:lineRule="exact"/>
        <w:ind w:firstLine="643" w:firstLineChars="200"/>
        <w:rPr>
          <w:rFonts w:ascii="楷体_GB2312" w:eastAsia="楷体_GB2312" w:cs="DengXian-Bold"/>
          <w:b/>
          <w:bCs/>
          <w:sz w:val="32"/>
          <w:szCs w:val="32"/>
        </w:rPr>
      </w:pPr>
      <w:r>
        <w:rPr>
          <w:rFonts w:hint="eastAsia" w:ascii="楷体_GB2312" w:eastAsia="楷体_GB2312" w:cs="DengXian-Bold"/>
          <w:b/>
          <w:bCs/>
          <w:sz w:val="32"/>
          <w:szCs w:val="32"/>
        </w:rPr>
        <w:t>（一）财政拨款收支与2016 年度决算对比情况</w:t>
      </w:r>
    </w:p>
    <w:p>
      <w:pPr>
        <w:adjustRightInd w:val="0"/>
        <w:snapToGrid w:val="0"/>
        <w:spacing w:after="0" w:line="560" w:lineRule="exact"/>
        <w:ind w:firstLine="640" w:firstLineChars="200"/>
        <w:rPr>
          <w:rFonts w:ascii="仿宋_GB2312" w:eastAsia="仿宋_GB2312" w:cs="DengXian-Regular"/>
          <w:sz w:val="32"/>
          <w:szCs w:val="32"/>
        </w:rPr>
      </w:pPr>
      <w:r>
        <w:rPr>
          <w:rFonts w:hint="eastAsia" w:ascii="仿宋_GB2312" w:eastAsia="仿宋_GB2312" w:cs="DengXian-Regular"/>
          <w:sz w:val="32"/>
          <w:szCs w:val="32"/>
        </w:rPr>
        <w:t>本部门2017年度财政拨款收支全部为一般公共预算财政拨款收支。一般公共预算财政拨款年初结转和结余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4.23</w:t>
      </w:r>
      <w:r>
        <w:rPr>
          <w:rFonts w:hint="eastAsia" w:ascii="仿宋_GB2312" w:eastAsia="仿宋_GB2312" w:cs="DengXian-Regular"/>
          <w:sz w:val="32"/>
          <w:szCs w:val="32"/>
        </w:rPr>
        <w:t>万元、本年收入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310.22</w:t>
      </w:r>
      <w:r>
        <w:rPr>
          <w:rFonts w:hint="eastAsia" w:ascii="仿宋_GB2312" w:eastAsia="仿宋_GB2312" w:cs="DengXian-Regular"/>
          <w:sz w:val="32"/>
          <w:szCs w:val="32"/>
        </w:rPr>
        <w:t>万元；本年支出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278.88</w:t>
      </w:r>
      <w:r>
        <w:rPr>
          <w:rFonts w:hint="eastAsia" w:ascii="仿宋_GB2312" w:eastAsia="仿宋_GB2312" w:cs="DengXian-Regular"/>
          <w:sz w:val="32"/>
          <w:szCs w:val="32"/>
        </w:rPr>
        <w:t>万元、年末结转和结余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35.56</w:t>
      </w:r>
      <w:r>
        <w:rPr>
          <w:rFonts w:hint="eastAsia" w:ascii="仿宋_GB2312" w:eastAsia="仿宋_GB2312" w:cs="DengXian-Regular"/>
          <w:sz w:val="32"/>
          <w:szCs w:val="32"/>
        </w:rPr>
        <w:t>万元。与2016年度决算相比，一般公共预算财政拨款本年收入减少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115.82</w:t>
      </w:r>
      <w:r>
        <w:rPr>
          <w:rFonts w:hint="eastAsia" w:ascii="仿宋_GB2312" w:eastAsia="仿宋_GB2312" w:cs="DengXian-Regular"/>
          <w:sz w:val="32"/>
          <w:szCs w:val="32"/>
        </w:rPr>
        <w:t>万元，降低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27.19</w:t>
      </w:r>
      <w:r>
        <w:rPr>
          <w:rFonts w:hint="eastAsia" w:ascii="仿宋_GB2312" w:eastAsia="仿宋_GB2312" w:cs="DengXian-Regular"/>
          <w:sz w:val="32"/>
          <w:szCs w:val="32"/>
        </w:rPr>
        <w:t>%，主要是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项目收入调整</w:t>
      </w:r>
      <w:r>
        <w:rPr>
          <w:rFonts w:hint="eastAsia" w:ascii="仿宋_GB2312" w:eastAsia="仿宋_GB2312" w:cs="DengXian-Regular"/>
          <w:sz w:val="32"/>
          <w:szCs w:val="32"/>
        </w:rPr>
        <w:t>；本年支出增加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7.07</w:t>
      </w:r>
      <w:r>
        <w:rPr>
          <w:rFonts w:hint="eastAsia" w:ascii="仿宋_GB2312" w:eastAsia="仿宋_GB2312" w:cs="DengXian-Regular"/>
          <w:sz w:val="32"/>
          <w:szCs w:val="32"/>
        </w:rPr>
        <w:t>万元，增长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2.6</w:t>
      </w:r>
      <w:r>
        <w:rPr>
          <w:rFonts w:hint="eastAsia" w:ascii="仿宋_GB2312" w:eastAsia="仿宋_GB2312" w:cs="DengXian-Regular"/>
          <w:sz w:val="32"/>
          <w:szCs w:val="32"/>
        </w:rPr>
        <w:t>%，主要是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行政运行增加人员工资</w:t>
      </w:r>
      <w:r>
        <w:rPr>
          <w:rFonts w:hint="eastAsia" w:ascii="仿宋_GB2312" w:eastAsia="仿宋_GB2312" w:cs="DengXian-Regular"/>
          <w:sz w:val="32"/>
          <w:szCs w:val="32"/>
        </w:rPr>
        <w:t>。</w:t>
      </w:r>
    </w:p>
    <w:p>
      <w:pPr>
        <w:spacing w:after="0" w:line="560" w:lineRule="exact"/>
        <w:ind w:firstLine="643" w:firstLineChars="200"/>
        <w:rPr>
          <w:rFonts w:ascii="仿宋_GB2312" w:eastAsia="仿宋_GB2312" w:cs="DengXian-Bold"/>
          <w:b/>
          <w:bCs/>
          <w:sz w:val="32"/>
          <w:szCs w:val="32"/>
        </w:rPr>
      </w:pPr>
      <w:r>
        <w:rPr>
          <w:rFonts w:hint="eastAsia" w:ascii="楷体_GB2312" w:eastAsia="楷体_GB2312" w:cs="DengXian-Bold"/>
          <w:b/>
          <w:bCs/>
          <w:sz w:val="32"/>
          <w:szCs w:val="32"/>
        </w:rPr>
        <w:t>（二）财政拨款收支与年初预算数对比情况</w:t>
      </w:r>
    </w:p>
    <w:p>
      <w:pPr>
        <w:adjustRightInd w:val="0"/>
        <w:snapToGrid w:val="0"/>
        <w:spacing w:after="0" w:line="560" w:lineRule="exact"/>
        <w:ind w:firstLine="640" w:firstLineChars="200"/>
        <w:rPr>
          <w:rFonts w:ascii="仿宋_GB2312" w:eastAsia="仿宋_GB2312" w:cs="DengXian-Regular"/>
          <w:sz w:val="32"/>
          <w:szCs w:val="32"/>
        </w:rPr>
      </w:pPr>
      <w:r>
        <w:rPr>
          <w:rFonts w:hint="eastAsia" w:ascii="仿宋_GB2312" w:eastAsia="仿宋_GB2312" w:cs="DengXian-Regular"/>
          <w:sz w:val="32"/>
          <w:szCs w:val="32"/>
        </w:rPr>
        <w:t>本部门2017年度一般公共预算财政拨款本年收入较2017年初预算增加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130.87</w:t>
      </w:r>
      <w:r>
        <w:rPr>
          <w:rFonts w:hint="eastAsia" w:ascii="仿宋_GB2312" w:eastAsia="仿宋_GB2312" w:cs="DengXian-Regular"/>
          <w:sz w:val="32"/>
          <w:szCs w:val="32"/>
        </w:rPr>
        <w:t>万元，增长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72.97</w:t>
      </w:r>
      <w:r>
        <w:rPr>
          <w:rFonts w:hint="eastAsia" w:ascii="仿宋_GB2312" w:eastAsia="仿宋_GB2312" w:cs="DengXian-Regular"/>
          <w:sz w:val="32"/>
          <w:szCs w:val="32"/>
        </w:rPr>
        <w:t>%，主要是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人员工资奖金调整</w:t>
      </w:r>
      <w:r>
        <w:rPr>
          <w:rFonts w:hint="eastAsia" w:ascii="仿宋_GB2312" w:eastAsia="仿宋_GB2312" w:cs="DengXian-Regular"/>
          <w:sz w:val="32"/>
          <w:szCs w:val="32"/>
        </w:rPr>
        <w:t>；本年支出增加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99.53</w:t>
      </w:r>
      <w:r>
        <w:rPr>
          <w:rFonts w:hint="eastAsia" w:ascii="仿宋_GB2312" w:eastAsia="仿宋_GB2312" w:cs="DengXian-Regular"/>
          <w:sz w:val="32"/>
          <w:szCs w:val="32"/>
        </w:rPr>
        <w:t>万元，增长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55.49</w:t>
      </w:r>
      <w:r>
        <w:rPr>
          <w:rFonts w:hint="eastAsia" w:ascii="仿宋_GB2312" w:eastAsia="仿宋_GB2312" w:cs="DengXian-Regular"/>
          <w:sz w:val="32"/>
          <w:szCs w:val="32"/>
        </w:rPr>
        <w:t>%，主要是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人员工资奖金调整</w:t>
      </w:r>
      <w:r>
        <w:rPr>
          <w:rFonts w:hint="eastAsia" w:ascii="仿宋_GB2312" w:eastAsia="仿宋_GB2312" w:cs="DengXian-Regular"/>
          <w:sz w:val="32"/>
          <w:szCs w:val="32"/>
        </w:rPr>
        <w:t>。</w:t>
      </w:r>
    </w:p>
    <w:p>
      <w:pPr>
        <w:pStyle w:val="3"/>
        <w:spacing w:before="0" w:after="0" w:line="560" w:lineRule="exact"/>
        <w:ind w:firstLine="643" w:firstLineChars="200"/>
        <w:rPr>
          <w:rFonts w:ascii="黑体" w:eastAsia="黑体"/>
        </w:rPr>
      </w:pPr>
      <w:r>
        <w:rPr>
          <w:rFonts w:hint="eastAsia" w:ascii="黑体" w:eastAsia="黑体"/>
        </w:rPr>
        <w:t>五、“三公” 经费支出决算情况说明</w:t>
      </w:r>
    </w:p>
    <w:p>
      <w:pPr>
        <w:adjustRightInd w:val="0"/>
        <w:snapToGrid w:val="0"/>
        <w:spacing w:after="0" w:line="560" w:lineRule="exact"/>
        <w:ind w:firstLine="640" w:firstLineChars="200"/>
        <w:rPr>
          <w:rFonts w:hint="eastAsia" w:ascii="仿宋_GB2312" w:eastAsia="仿宋_GB2312" w:cs="DengXian-Regular"/>
          <w:sz w:val="32"/>
          <w:szCs w:val="32"/>
        </w:rPr>
      </w:pPr>
      <w:r>
        <w:rPr>
          <w:rFonts w:hint="eastAsia" w:ascii="仿宋_GB2312" w:eastAsia="仿宋_GB2312" w:cs="DengXian-Regular"/>
          <w:sz w:val="32"/>
          <w:szCs w:val="32"/>
        </w:rPr>
        <w:t>本部门2017年度“三公”经费支出共计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 w:cs="DengXian-Regular"/>
          <w:sz w:val="32"/>
          <w:szCs w:val="32"/>
        </w:rPr>
        <w:t>万元，较年初预算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无增减变化</w:t>
      </w:r>
      <w:r>
        <w:rPr>
          <w:rFonts w:hint="eastAsia" w:ascii="仿宋_GB2312" w:eastAsia="仿宋_GB2312" w:cs="DengXian-Regular"/>
          <w:sz w:val="32"/>
          <w:szCs w:val="32"/>
        </w:rPr>
        <w:t>；较2016年度决算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减少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1.2</w:t>
      </w:r>
      <w:r>
        <w:rPr>
          <w:rFonts w:hint="eastAsia" w:ascii="仿宋_GB2312" w:eastAsia="仿宋_GB2312" w:cs="DengXian-Regular"/>
          <w:sz w:val="32"/>
          <w:szCs w:val="32"/>
        </w:rPr>
        <w:t>万元，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减少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28.57</w:t>
      </w:r>
      <w:r>
        <w:rPr>
          <w:rFonts w:hint="eastAsia" w:ascii="仿宋_GB2312" w:eastAsia="仿宋_GB2312" w:cs="DengXian-Regular"/>
          <w:sz w:val="32"/>
          <w:szCs w:val="32"/>
        </w:rPr>
        <w:t>%，主要是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公车补贴的发放减少了公务用车运行</w:t>
      </w:r>
      <w:r>
        <w:rPr>
          <w:rFonts w:hint="eastAsia" w:ascii="仿宋_GB2312" w:eastAsia="仿宋_GB2312" w:cs="DengXian-Regular"/>
          <w:sz w:val="32"/>
          <w:szCs w:val="32"/>
        </w:rPr>
        <w:t>。</w:t>
      </w:r>
    </w:p>
    <w:p>
      <w:pPr>
        <w:adjustRightInd w:val="0"/>
        <w:snapToGrid w:val="0"/>
        <w:spacing w:after="0" w:line="560" w:lineRule="exact"/>
        <w:ind w:firstLine="643" w:firstLineChars="200"/>
        <w:rPr>
          <w:rFonts w:hint="eastAsia" w:ascii="仿宋_GB2312" w:eastAsia="仿宋_GB2312" w:cs="DengXian-Regular"/>
          <w:sz w:val="32"/>
          <w:szCs w:val="32"/>
        </w:rPr>
      </w:pPr>
      <w:r>
        <w:rPr>
          <w:rFonts w:hint="eastAsia" w:ascii="楷体_GB2312" w:eastAsia="楷体_GB2312" w:cs="DengXian-Bold"/>
          <w:b/>
          <w:bCs/>
          <w:sz w:val="32"/>
          <w:szCs w:val="32"/>
        </w:rPr>
        <w:t>（一）因公出国（境）费支出</w:t>
      </w:r>
      <w:r>
        <w:rPr>
          <w:rFonts w:hint="eastAsia" w:ascii="楷体_GB2312" w:eastAsia="楷体_GB2312" w:cs="DengXian-Bold"/>
          <w:b/>
          <w:bCs/>
          <w:sz w:val="32"/>
          <w:szCs w:val="32"/>
          <w:lang w:val="en-US" w:eastAsia="zh-CN"/>
        </w:rPr>
        <w:t>0</w:t>
      </w:r>
      <w:r>
        <w:rPr>
          <w:rFonts w:hint="eastAsia" w:ascii="楷体_GB2312" w:eastAsia="楷体_GB2312" w:cs="DengXian-Bold"/>
          <w:b/>
          <w:bCs/>
          <w:sz w:val="32"/>
          <w:szCs w:val="32"/>
        </w:rPr>
        <w:t>万元。</w:t>
      </w:r>
      <w:r>
        <w:rPr>
          <w:rFonts w:hint="eastAsia" w:ascii="仿宋_GB2312" w:eastAsia="仿宋_GB2312" w:cs="DengXian-Regular"/>
          <w:sz w:val="32"/>
          <w:szCs w:val="32"/>
        </w:rPr>
        <w:t>本部门2017年度参加其他单位组织的因公出国（境）团组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个、无本单位组织的出国（境）团组。因公出国（境）费支出较年初预算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无增减变化</w:t>
      </w:r>
      <w:r>
        <w:rPr>
          <w:rFonts w:hint="eastAsia" w:ascii="仿宋_GB2312" w:eastAsia="仿宋_GB2312" w:cs="DengXian-Regular"/>
          <w:sz w:val="32"/>
          <w:szCs w:val="32"/>
        </w:rPr>
        <w:t>；较2016年度决算无增减变化。</w:t>
      </w:r>
    </w:p>
    <w:p>
      <w:pPr>
        <w:adjustRightInd w:val="0"/>
        <w:snapToGrid w:val="0"/>
        <w:spacing w:after="0" w:line="560" w:lineRule="exact"/>
        <w:ind w:firstLine="643" w:firstLineChars="200"/>
        <w:rPr>
          <w:rFonts w:hint="eastAsia" w:ascii="仿宋_GB2312" w:eastAsia="仿宋_GB2312" w:cs="DengXian-Regular"/>
          <w:sz w:val="32"/>
          <w:szCs w:val="32"/>
          <w:lang w:eastAsia="zh-CN"/>
        </w:rPr>
      </w:pPr>
      <w:r>
        <w:rPr>
          <w:rFonts w:hint="eastAsia" w:ascii="楷体_GB2312" w:eastAsia="楷体_GB2312" w:cs="DengXian-Bold"/>
          <w:b/>
          <w:bCs/>
          <w:sz w:val="32"/>
          <w:szCs w:val="32"/>
        </w:rPr>
        <w:t>（二）公务用车购置及运行维护费支出</w:t>
      </w:r>
      <w:r>
        <w:rPr>
          <w:rFonts w:hint="eastAsia" w:ascii="楷体_GB2312" w:eastAsia="楷体_GB2312" w:cs="DengXian-Bold"/>
          <w:b/>
          <w:bCs/>
          <w:sz w:val="32"/>
          <w:szCs w:val="32"/>
          <w:lang w:val="en-US" w:eastAsia="zh-CN"/>
        </w:rPr>
        <w:t>3</w:t>
      </w:r>
      <w:r>
        <w:rPr>
          <w:rFonts w:hint="eastAsia" w:ascii="楷体_GB2312" w:eastAsia="楷体_GB2312" w:cs="DengXian-Bold"/>
          <w:b/>
          <w:bCs/>
          <w:sz w:val="32"/>
          <w:szCs w:val="32"/>
        </w:rPr>
        <w:t>万元。</w:t>
      </w:r>
      <w:r>
        <w:rPr>
          <w:rFonts w:hint="eastAsia" w:ascii="仿宋_GB2312" w:eastAsia="仿宋_GB2312" w:cs="DengXian-Regular"/>
          <w:sz w:val="32"/>
          <w:szCs w:val="32"/>
        </w:rPr>
        <w:t>本部门2017年度公务用车购置及运行维护费较年初预算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无增减变化变化</w:t>
      </w:r>
      <w:r>
        <w:rPr>
          <w:rFonts w:hint="eastAsia" w:ascii="仿宋_GB2312" w:eastAsia="仿宋_GB2312" w:cs="DengXian-Regular"/>
          <w:sz w:val="32"/>
          <w:szCs w:val="32"/>
        </w:rPr>
        <w:t>；较2016年度决算减少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1.2</w:t>
      </w:r>
      <w:r>
        <w:rPr>
          <w:rFonts w:hint="eastAsia" w:ascii="仿宋_GB2312" w:eastAsia="仿宋_GB2312" w:cs="DengXian-Regular"/>
          <w:sz w:val="32"/>
          <w:szCs w:val="32"/>
        </w:rPr>
        <w:t>万元，降低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28.57</w:t>
      </w:r>
      <w:r>
        <w:rPr>
          <w:rFonts w:hint="eastAsia" w:ascii="仿宋_GB2312" w:eastAsia="仿宋_GB2312" w:cs="DengXian-Regular"/>
          <w:sz w:val="32"/>
          <w:szCs w:val="32"/>
        </w:rPr>
        <w:t>%,主要是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公车补贴的发放减少了公务用车运行。</w:t>
      </w:r>
    </w:p>
    <w:p>
      <w:pPr>
        <w:adjustRightInd w:val="0"/>
        <w:snapToGrid w:val="0"/>
        <w:spacing w:after="0" w:line="560" w:lineRule="exact"/>
        <w:ind w:firstLine="643" w:firstLineChars="200"/>
        <w:rPr>
          <w:rFonts w:hint="eastAsia" w:ascii="仿宋_GB2312" w:eastAsia="仿宋_GB2312" w:cs="DengXian-Regular"/>
          <w:sz w:val="32"/>
          <w:szCs w:val="32"/>
        </w:rPr>
      </w:pPr>
      <w:r>
        <w:rPr>
          <w:rFonts w:hint="eastAsia" w:ascii="仿宋_GB2312" w:eastAsia="仿宋_GB2312" w:cs="DengXian-Regular"/>
          <w:b/>
          <w:sz w:val="32"/>
          <w:szCs w:val="32"/>
        </w:rPr>
        <w:t>公务用车购置费：</w:t>
      </w:r>
      <w:r>
        <w:rPr>
          <w:rFonts w:hint="eastAsia" w:ascii="仿宋_GB2312" w:eastAsia="仿宋_GB2312" w:cs="DengXian-Regular"/>
          <w:sz w:val="32"/>
          <w:szCs w:val="32"/>
        </w:rPr>
        <w:t>本部门2017年度公务用车购置量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辆，发生“公务用车购置”经费支出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万元。公务用车购置费支出较年初预算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无增减变化</w:t>
      </w:r>
      <w:r>
        <w:rPr>
          <w:rFonts w:hint="eastAsia" w:ascii="仿宋_GB2312" w:eastAsia="仿宋_GB2312" w:cs="DengXian-Regular"/>
          <w:sz w:val="32"/>
          <w:szCs w:val="32"/>
        </w:rPr>
        <w:t>；较2016年度决算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无增减变化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，</w:t>
      </w:r>
      <w:r>
        <w:rPr>
          <w:rFonts w:hint="eastAsia" w:ascii="仿宋_GB2312" w:eastAsia="仿宋_GB2312" w:cs="DengXian-Regular"/>
          <w:sz w:val="32"/>
          <w:szCs w:val="32"/>
        </w:rPr>
        <w:t>未发生“公务用车购置”经费支出。</w:t>
      </w:r>
    </w:p>
    <w:p>
      <w:pPr>
        <w:adjustRightInd w:val="0"/>
        <w:snapToGrid w:val="0"/>
        <w:spacing w:after="0" w:line="560" w:lineRule="exact"/>
        <w:ind w:firstLine="643" w:firstLineChars="200"/>
        <w:rPr>
          <w:rFonts w:hint="eastAsia" w:ascii="仿宋_GB2312" w:eastAsia="仿宋_GB2312" w:cs="DengXian-Regular"/>
          <w:sz w:val="32"/>
          <w:szCs w:val="32"/>
          <w:lang w:eastAsia="zh-CN"/>
        </w:rPr>
      </w:pPr>
      <w:r>
        <w:rPr>
          <w:rFonts w:hint="eastAsia" w:ascii="仿宋_GB2312" w:eastAsia="仿宋_GB2312" w:cs="DengXian-Regular"/>
          <w:b/>
          <w:sz w:val="32"/>
          <w:szCs w:val="32"/>
        </w:rPr>
        <w:t>公务用车运行维护费：</w:t>
      </w:r>
      <w:r>
        <w:rPr>
          <w:rFonts w:hint="eastAsia" w:ascii="仿宋_GB2312" w:eastAsia="仿宋_GB2312" w:cs="DengXian-Regular"/>
          <w:sz w:val="32"/>
          <w:szCs w:val="32"/>
        </w:rPr>
        <w:t>本部门2017年度单位公务用车保有量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 w:cs="DengXian-Regular"/>
          <w:sz w:val="32"/>
          <w:szCs w:val="32"/>
        </w:rPr>
        <w:t>辆。公车运行维护费支出较年初预算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无增减变化</w:t>
      </w:r>
      <w:r>
        <w:rPr>
          <w:rFonts w:hint="eastAsia" w:ascii="仿宋_GB2312" w:eastAsia="仿宋_GB2312" w:cs="DengXian-Regular"/>
          <w:sz w:val="32"/>
          <w:szCs w:val="32"/>
        </w:rPr>
        <w:t>；较2016年度决算减少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1.2</w:t>
      </w:r>
      <w:r>
        <w:rPr>
          <w:rFonts w:hint="eastAsia" w:ascii="仿宋_GB2312" w:eastAsia="仿宋_GB2312" w:cs="DengXian-Regular"/>
          <w:sz w:val="32"/>
          <w:szCs w:val="32"/>
        </w:rPr>
        <w:t>万元，降低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28.57</w:t>
      </w:r>
      <w:r>
        <w:rPr>
          <w:rFonts w:hint="eastAsia" w:ascii="仿宋_GB2312" w:eastAsia="仿宋_GB2312" w:cs="DengXian-Regular"/>
          <w:sz w:val="32"/>
          <w:szCs w:val="32"/>
        </w:rPr>
        <w:t>%,主要是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公车补贴的发放减少了公务用车运行。</w:t>
      </w:r>
    </w:p>
    <w:p>
      <w:pPr>
        <w:adjustRightInd w:val="0"/>
        <w:snapToGrid w:val="0"/>
        <w:spacing w:after="0" w:line="560" w:lineRule="exact"/>
        <w:ind w:firstLine="643" w:firstLineChars="200"/>
        <w:rPr>
          <w:rFonts w:ascii="仿宋_GB2312" w:eastAsia="仿宋_GB2312" w:cs="DengXian-Regular"/>
          <w:sz w:val="32"/>
          <w:szCs w:val="32"/>
        </w:rPr>
      </w:pPr>
      <w:r>
        <w:rPr>
          <w:rFonts w:hint="eastAsia" w:ascii="楷体_GB2312" w:eastAsia="楷体_GB2312" w:cs="DengXian-Bold"/>
          <w:b/>
          <w:bCs/>
          <w:sz w:val="32"/>
          <w:szCs w:val="32"/>
        </w:rPr>
        <w:t>（三）公务接待费支出</w:t>
      </w:r>
      <w:r>
        <w:rPr>
          <w:rFonts w:hint="eastAsia" w:ascii="楷体_GB2312" w:eastAsia="楷体_GB2312" w:cs="DengXian-Bold"/>
          <w:b/>
          <w:bCs/>
          <w:sz w:val="32"/>
          <w:szCs w:val="32"/>
          <w:lang w:val="en-US" w:eastAsia="zh-CN"/>
        </w:rPr>
        <w:t>0.05</w:t>
      </w:r>
      <w:r>
        <w:rPr>
          <w:rFonts w:hint="eastAsia" w:ascii="楷体_GB2312" w:eastAsia="楷体_GB2312" w:cs="DengXian-Bold"/>
          <w:b/>
          <w:bCs/>
          <w:sz w:val="32"/>
          <w:szCs w:val="32"/>
        </w:rPr>
        <w:t>万元。</w:t>
      </w:r>
      <w:r>
        <w:rPr>
          <w:rFonts w:hint="eastAsia" w:ascii="仿宋_GB2312" w:eastAsia="仿宋_GB2312" w:cs="DengXian-Regular"/>
          <w:sz w:val="32"/>
          <w:szCs w:val="32"/>
        </w:rPr>
        <w:t>本部门2017年度公务接待共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 w:cs="DengXian-Regular"/>
          <w:sz w:val="32"/>
          <w:szCs w:val="32"/>
        </w:rPr>
        <w:t>批次、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 w:cs="DengXian-Regular"/>
          <w:sz w:val="32"/>
          <w:szCs w:val="32"/>
        </w:rPr>
        <w:t>人次。公务接待费支出较年初预算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无增减变化</w:t>
      </w:r>
      <w:r>
        <w:rPr>
          <w:rFonts w:hint="eastAsia" w:ascii="仿宋_GB2312" w:eastAsia="仿宋_GB2312" w:cs="DengXian-Regular"/>
          <w:sz w:val="32"/>
          <w:szCs w:val="32"/>
        </w:rPr>
        <w:t>；较2016年度决算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增加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0.05</w:t>
      </w:r>
      <w:r>
        <w:rPr>
          <w:rFonts w:hint="eastAsia" w:ascii="仿宋_GB2312" w:eastAsia="仿宋_GB2312" w:cs="DengXian-Regular"/>
          <w:sz w:val="32"/>
          <w:szCs w:val="32"/>
        </w:rPr>
        <w:t>万元，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增加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100</w:t>
      </w:r>
      <w:r>
        <w:rPr>
          <w:rFonts w:hint="eastAsia" w:ascii="仿宋_GB2312" w:eastAsia="仿宋_GB2312" w:cs="DengXian-Regular"/>
          <w:sz w:val="32"/>
          <w:szCs w:val="32"/>
        </w:rPr>
        <w:t>%,主要是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市调研企业公务用餐</w:t>
      </w:r>
      <w:r>
        <w:rPr>
          <w:rFonts w:hint="eastAsia" w:ascii="仿宋_GB2312" w:eastAsia="仿宋_GB2312" w:cs="DengXian-Regular"/>
          <w:sz w:val="32"/>
          <w:szCs w:val="32"/>
        </w:rPr>
        <w:t>。</w:t>
      </w:r>
    </w:p>
    <w:p>
      <w:pPr>
        <w:pStyle w:val="3"/>
        <w:spacing w:before="0" w:after="0" w:line="560" w:lineRule="exact"/>
        <w:ind w:firstLine="643" w:firstLineChars="200"/>
        <w:rPr>
          <w:rFonts w:ascii="黑体" w:eastAsia="黑体" w:cs="Times New Roman"/>
        </w:rPr>
      </w:pPr>
      <w:r>
        <w:rPr>
          <w:rFonts w:hint="eastAsia" w:ascii="黑体" w:eastAsia="黑体" w:cs="Times New Roman"/>
        </w:rPr>
        <w:t>六、绩效预算</w:t>
      </w:r>
      <w:r>
        <w:rPr>
          <w:rFonts w:hint="eastAsia" w:ascii="黑体" w:hAnsi="Cambria" w:eastAsia="黑体" w:cs="黑体"/>
          <w:kern w:val="0"/>
        </w:rPr>
        <w:t>管理</w:t>
      </w:r>
      <w:r>
        <w:rPr>
          <w:rFonts w:hint="eastAsia" w:ascii="黑体" w:eastAsia="黑体" w:cs="Times New Roman"/>
        </w:rPr>
        <w:t>工作开展情况说明</w:t>
      </w:r>
    </w:p>
    <w:p>
      <w:pPr>
        <w:adjustRightInd w:val="0"/>
        <w:snapToGrid w:val="0"/>
        <w:spacing w:after="0" w:line="56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 w:cs="DengXian-Regular"/>
          <w:sz w:val="32"/>
          <w:szCs w:val="32"/>
        </w:rPr>
        <w:t>（一）绩效管理工作开展情况</w:t>
      </w:r>
    </w:p>
    <w:p>
      <w:pPr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根据绩效预算管理改革督察要求，本单位认真开展了预算绩效管理改革开展情况自查，对部门全面规范绩效预算编制、严格预算执行管理、推进绩效评价工作、推进预决算信息公开等方面进行了自评，考核结果为优秀。</w:t>
      </w:r>
    </w:p>
    <w:p>
      <w:pPr>
        <w:adjustRightInd w:val="0"/>
        <w:snapToGrid w:val="0"/>
        <w:spacing w:after="0" w:line="560" w:lineRule="exact"/>
        <w:ind w:firstLine="640" w:firstLineChars="200"/>
        <w:rPr>
          <w:rFonts w:hint="eastAsia" w:ascii="仿宋_GB2312" w:eastAsia="仿宋_GB2312" w:cs="DengXian-Regular"/>
          <w:sz w:val="32"/>
          <w:szCs w:val="32"/>
        </w:rPr>
      </w:pPr>
      <w:r>
        <w:rPr>
          <w:rFonts w:hint="eastAsia" w:ascii="仿宋_GB2312" w:eastAsia="仿宋_GB2312" w:cs="DengXian-Regular"/>
          <w:sz w:val="32"/>
          <w:szCs w:val="32"/>
        </w:rPr>
        <w:t>（二）预算项目绩效评价开展情况</w:t>
      </w:r>
    </w:p>
    <w:p>
      <w:pPr>
        <w:adjustRightInd w:val="0"/>
        <w:snapToGrid w:val="0"/>
        <w:spacing w:after="0" w:line="560" w:lineRule="exact"/>
        <w:ind w:firstLine="640" w:firstLineChars="200"/>
        <w:rPr>
          <w:rFonts w:hint="eastAsia" w:ascii="仿宋_GB2312" w:hAnsi="宋体" w:eastAsia="仿宋_GB2312" w:cs="宋体"/>
          <w:sz w:val="32"/>
        </w:rPr>
      </w:pPr>
      <w:r>
        <w:rPr>
          <w:rFonts w:hint="eastAsia" w:ascii="仿宋_GB2312" w:hAnsi="宋体" w:eastAsia="仿宋_GB2312" w:cs="宋体"/>
          <w:sz w:val="32"/>
        </w:rPr>
        <w:t>根据预算绩效管理要求，本单位组织对2017年度一般公共预算项目支出全面开展绩效自评，涉及</w:t>
      </w:r>
      <w:r>
        <w:rPr>
          <w:rFonts w:hint="eastAsia" w:ascii="仿宋_GB2312" w:hAnsi="宋体" w:eastAsia="仿宋_GB2312" w:cs="宋体"/>
          <w:sz w:val="32"/>
          <w:lang w:eastAsia="zh-CN"/>
        </w:rPr>
        <w:t>校企合作补助资金</w:t>
      </w:r>
      <w:r>
        <w:rPr>
          <w:rFonts w:hint="eastAsia" w:ascii="仿宋_GB2312" w:hAnsi="宋体" w:eastAsia="仿宋_GB2312" w:cs="宋体"/>
          <w:sz w:val="32"/>
          <w:lang w:val="en-US" w:eastAsia="zh-CN"/>
        </w:rPr>
        <w:t>1</w:t>
      </w:r>
      <w:r>
        <w:rPr>
          <w:rFonts w:hint="eastAsia" w:ascii="仿宋_GB2312" w:hAnsi="宋体" w:eastAsia="仿宋_GB2312" w:cs="宋体"/>
          <w:sz w:val="32"/>
        </w:rPr>
        <w:t>个项目，涉及资金</w:t>
      </w:r>
      <w:r>
        <w:rPr>
          <w:rFonts w:hint="eastAsia" w:ascii="仿宋_GB2312" w:hAnsi="宋体" w:eastAsia="仿宋_GB2312" w:cs="宋体"/>
          <w:sz w:val="32"/>
          <w:lang w:val="en-US" w:eastAsia="zh-CN"/>
        </w:rPr>
        <w:t>40</w:t>
      </w:r>
      <w:r>
        <w:rPr>
          <w:rFonts w:hint="eastAsia" w:ascii="仿宋_GB2312" w:hAnsi="宋体" w:eastAsia="仿宋_GB2312" w:cs="宋体"/>
          <w:sz w:val="32"/>
        </w:rPr>
        <w:t>万元。从评价情况看，评价结果为优秀的项目有</w:t>
      </w:r>
      <w:r>
        <w:rPr>
          <w:rFonts w:hint="eastAsia" w:ascii="仿宋_GB2312" w:hAnsi="宋体" w:eastAsia="仿宋_GB2312" w:cs="宋体"/>
          <w:sz w:val="32"/>
          <w:lang w:val="en-US" w:eastAsia="zh-CN"/>
        </w:rPr>
        <w:t>1</w:t>
      </w:r>
      <w:r>
        <w:rPr>
          <w:rFonts w:hint="eastAsia" w:ascii="仿宋_GB2312" w:hAnsi="宋体" w:eastAsia="仿宋_GB2312" w:cs="宋体"/>
          <w:sz w:val="32"/>
        </w:rPr>
        <w:t>个。</w:t>
      </w:r>
    </w:p>
    <w:p>
      <w:pPr>
        <w:numPr>
          <w:ilvl w:val="0"/>
          <w:numId w:val="1"/>
        </w:numPr>
        <w:adjustRightInd w:val="0"/>
        <w:snapToGrid w:val="0"/>
        <w:spacing w:after="0" w:line="560" w:lineRule="exact"/>
        <w:ind w:firstLine="640" w:firstLineChars="200"/>
        <w:rPr>
          <w:rFonts w:hint="eastAsia" w:ascii="仿宋_GB2312" w:eastAsia="仿宋_GB2312" w:cs="DengXian-Regular"/>
          <w:sz w:val="32"/>
          <w:szCs w:val="32"/>
        </w:rPr>
      </w:pPr>
      <w:r>
        <w:rPr>
          <w:rFonts w:hint="eastAsia" w:ascii="仿宋_GB2312" w:eastAsia="仿宋_GB2312" w:cs="DengXian-Regular"/>
          <w:sz w:val="32"/>
          <w:szCs w:val="32"/>
        </w:rPr>
        <w:t>预算项目绩效自评选例</w:t>
      </w:r>
    </w:p>
    <w:p>
      <w:pPr>
        <w:pStyle w:val="29"/>
        <w:widowControl/>
        <w:wordWrap/>
        <w:spacing w:before="150" w:beforeAutospacing="0" w:after="210" w:afterAutospacing="0" w:line="375" w:lineRule="atLeast"/>
        <w:ind w:left="150" w:right="150" w:firstLine="640" w:firstLineChars="200"/>
        <w:jc w:val="left"/>
        <w:textAlignment w:val="auto"/>
        <w:outlineLvl w:val="9"/>
        <w:rPr>
          <w:rFonts w:ascii="仿宋_GB2312" w:eastAsia="仿宋_GB2312" w:cs="DengXian-Regular"/>
          <w:sz w:val="32"/>
          <w:szCs w:val="32"/>
          <w:shd w:val="pct10" w:color="auto" w:fill="FFFFFF"/>
        </w:rPr>
      </w:pPr>
      <w:r>
        <w:rPr>
          <w:rFonts w:hint="eastAsia" w:ascii="仿宋_GB2312" w:hAnsi="宋体" w:eastAsia="仿宋_GB2312" w:cs="宋体"/>
          <w:kern w:val="2"/>
          <w:sz w:val="32"/>
          <w:szCs w:val="24"/>
          <w:lang w:val="en-US" w:eastAsia="zh-CN" w:bidi="ar-SA"/>
        </w:rPr>
        <w:t>本单位校企合作补助资金项目绩效自评：根据年初设定的绩效目标，校企合作补助资金项目绩效自评结果为优秀。项目全年预算数为50万元，执行数为40万元，完成预算的80%。</w:t>
      </w:r>
    </w:p>
    <w:p>
      <w:pPr>
        <w:pStyle w:val="3"/>
        <w:spacing w:before="0" w:after="0" w:line="560" w:lineRule="exact"/>
        <w:ind w:firstLine="643" w:firstLineChars="200"/>
        <w:rPr>
          <w:rFonts w:ascii="黑体" w:eastAsia="黑体" w:cs="Times New Roman"/>
        </w:rPr>
      </w:pPr>
      <w:r>
        <w:rPr>
          <w:rFonts w:hint="eastAsia" w:ascii="黑体" w:eastAsia="黑体" w:cs="Times New Roman"/>
        </w:rPr>
        <w:t>七、其他重要事项的说明</w:t>
      </w:r>
    </w:p>
    <w:p>
      <w:pPr>
        <w:pStyle w:val="4"/>
        <w:spacing w:before="0" w:after="0" w:line="560" w:lineRule="exact"/>
        <w:ind w:firstLine="643" w:firstLineChars="200"/>
        <w:rPr>
          <w:rFonts w:ascii="楷体_GB2312" w:eastAsia="楷体_GB2312" w:cs="DengXian-Bold"/>
        </w:rPr>
      </w:pPr>
      <w:r>
        <w:rPr>
          <w:rFonts w:hint="eastAsia" w:ascii="楷体_GB2312" w:eastAsia="楷体_GB2312" w:cs="DengXian-Bold"/>
        </w:rPr>
        <w:t>（一）机关运行经费情况</w:t>
      </w:r>
    </w:p>
    <w:p>
      <w:pPr>
        <w:adjustRightInd w:val="0"/>
        <w:snapToGrid w:val="0"/>
        <w:spacing w:after="0" w:line="560" w:lineRule="exact"/>
        <w:ind w:firstLine="640" w:firstLineChars="200"/>
        <w:rPr>
          <w:rFonts w:ascii="仿宋_GB2312" w:eastAsia="仿宋_GB2312" w:cs="DengXian-Regular"/>
          <w:sz w:val="32"/>
          <w:szCs w:val="32"/>
        </w:rPr>
      </w:pPr>
      <w:r>
        <w:rPr>
          <w:rFonts w:hint="eastAsia" w:ascii="仿宋_GB2312" w:eastAsia="仿宋_GB2312" w:cs="DengXian-Regular"/>
          <w:sz w:val="32"/>
          <w:szCs w:val="32"/>
        </w:rPr>
        <w:t>本部门2017年度机关运行经费支出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41.14</w:t>
      </w:r>
      <w:r>
        <w:rPr>
          <w:rFonts w:hint="eastAsia" w:ascii="仿宋_GB2312" w:eastAsia="仿宋_GB2312" w:cs="DengXian-Regular"/>
          <w:sz w:val="32"/>
          <w:szCs w:val="32"/>
        </w:rPr>
        <w:t>万元，比2016年度减少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17.17</w:t>
      </w:r>
      <w:r>
        <w:rPr>
          <w:rFonts w:hint="eastAsia" w:ascii="仿宋_GB2312" w:eastAsia="仿宋_GB2312" w:cs="DengXian-Regular"/>
          <w:sz w:val="32"/>
          <w:szCs w:val="32"/>
        </w:rPr>
        <w:t>万元，降低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29.44</w:t>
      </w:r>
      <w:r>
        <w:rPr>
          <w:rFonts w:hint="eastAsia" w:ascii="仿宋_GB2312" w:eastAsia="仿宋_GB2312" w:cs="DengXian-Regular"/>
          <w:sz w:val="32"/>
          <w:szCs w:val="32"/>
        </w:rPr>
        <w:t>%。主要原因是</w:t>
      </w:r>
      <w:r>
        <w:rPr>
          <w:rFonts w:hint="eastAsia" w:ascii="仿宋_GB2312" w:eastAsia="仿宋_GB2312" w:cs="DengXian-Regular"/>
          <w:sz w:val="32"/>
          <w:szCs w:val="32"/>
          <w:lang w:eastAsia="zh-CN"/>
        </w:rPr>
        <w:t>办公费和“十三五</w:t>
      </w:r>
      <w:bookmarkStart w:id="0" w:name="_GoBack"/>
      <w:bookmarkEnd w:id="0"/>
      <w:r>
        <w:rPr>
          <w:rFonts w:hint="eastAsia" w:ascii="仿宋_GB2312" w:eastAsia="仿宋_GB2312" w:cs="DengXian-Regular"/>
          <w:sz w:val="32"/>
          <w:szCs w:val="32"/>
          <w:lang w:eastAsia="zh-CN"/>
        </w:rPr>
        <w:t>”规划咨询费减少</w:t>
      </w:r>
      <w:r>
        <w:rPr>
          <w:rFonts w:hint="eastAsia" w:ascii="仿宋_GB2312" w:eastAsia="仿宋_GB2312" w:cs="DengXian-Regular"/>
          <w:sz w:val="32"/>
          <w:szCs w:val="32"/>
        </w:rPr>
        <w:t>。</w:t>
      </w:r>
    </w:p>
    <w:p>
      <w:pPr>
        <w:pStyle w:val="4"/>
        <w:spacing w:before="0" w:after="0" w:line="560" w:lineRule="exact"/>
        <w:ind w:firstLine="643" w:firstLineChars="200"/>
        <w:rPr>
          <w:rFonts w:ascii="楷体_GB2312" w:eastAsia="楷体_GB2312" w:cs="DengXian-Bold"/>
        </w:rPr>
      </w:pPr>
      <w:r>
        <w:rPr>
          <w:rFonts w:hint="eastAsia" w:ascii="楷体_GB2312" w:eastAsia="楷体_GB2312" w:cs="DengXian-Bold"/>
        </w:rPr>
        <w:t>（二）政府采购情况</w:t>
      </w:r>
    </w:p>
    <w:p>
      <w:pPr>
        <w:adjustRightInd w:val="0"/>
        <w:snapToGrid w:val="0"/>
        <w:spacing w:after="0" w:line="560" w:lineRule="exact"/>
        <w:ind w:firstLine="640" w:firstLineChars="200"/>
        <w:rPr>
          <w:rFonts w:ascii="仿宋_GB2312" w:eastAsia="仿宋_GB2312" w:cs="DengXian-Regular"/>
          <w:sz w:val="32"/>
          <w:szCs w:val="32"/>
        </w:rPr>
      </w:pPr>
      <w:r>
        <w:rPr>
          <w:rFonts w:hint="eastAsia" w:ascii="仿宋_GB2312" w:eastAsia="仿宋_GB2312" w:cs="DengXian-Regular"/>
          <w:sz w:val="32"/>
          <w:szCs w:val="32"/>
        </w:rPr>
        <w:t>本部门2017年度政府采购支出总额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万元，其中：政府采购货物支出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万元、政府采购工程支出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万元、政府采购服务支出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万元。</w:t>
      </w:r>
    </w:p>
    <w:p>
      <w:pPr>
        <w:pStyle w:val="4"/>
        <w:spacing w:before="0" w:after="0" w:line="560" w:lineRule="exact"/>
        <w:ind w:firstLine="643" w:firstLineChars="200"/>
        <w:rPr>
          <w:rFonts w:ascii="楷体_GB2312" w:eastAsia="楷体_GB2312" w:cs="DengXian-Bold"/>
        </w:rPr>
      </w:pPr>
      <w:r>
        <w:rPr>
          <w:rFonts w:hint="eastAsia" w:ascii="楷体_GB2312" w:eastAsia="楷体_GB2312" w:cs="DengXian-Bold"/>
        </w:rPr>
        <w:t>（三）国有资产占用情况</w:t>
      </w:r>
    </w:p>
    <w:p>
      <w:pPr>
        <w:adjustRightInd w:val="0"/>
        <w:snapToGrid w:val="0"/>
        <w:spacing w:after="0" w:line="560" w:lineRule="exact"/>
        <w:ind w:firstLine="640" w:firstLineChars="200"/>
        <w:rPr>
          <w:rFonts w:ascii="仿宋_GB2312" w:eastAsia="仿宋_GB2312" w:cs="DengXian-Regular"/>
          <w:sz w:val="32"/>
          <w:szCs w:val="32"/>
        </w:rPr>
      </w:pPr>
      <w:r>
        <w:rPr>
          <w:rFonts w:hint="eastAsia" w:ascii="仿宋_GB2312" w:eastAsia="仿宋_GB2312" w:cs="DengXian-Regular"/>
          <w:sz w:val="32"/>
          <w:szCs w:val="32"/>
        </w:rPr>
        <w:t>截至2017年12月31日，本部门共有车辆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 w:cs="DengXian-Regular"/>
          <w:sz w:val="32"/>
          <w:szCs w:val="32"/>
        </w:rPr>
        <w:t>辆，其中，市级领导干部用车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辆、一般公务用车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 w:cs="DengXian-Regular"/>
          <w:sz w:val="32"/>
          <w:szCs w:val="32"/>
        </w:rPr>
        <w:t>辆、一般执法执勤用车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 w:cs="DengXian-Regular"/>
          <w:sz w:val="32"/>
          <w:szCs w:val="32"/>
        </w:rPr>
        <w:t>辆、特种专业技术用车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辆、其他用车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辆；单位价值</w:t>
      </w:r>
      <w:r>
        <w:rPr>
          <w:rFonts w:hint="eastAsia" w:ascii="仿宋_GB2312" w:hAnsi="TimesNewRomanPSMT" w:eastAsia="仿宋_GB2312" w:cs="TimesNewRomanPSMT"/>
          <w:sz w:val="32"/>
          <w:szCs w:val="32"/>
        </w:rPr>
        <w:t>50</w:t>
      </w:r>
      <w:r>
        <w:rPr>
          <w:rFonts w:hint="eastAsia" w:ascii="仿宋_GB2312" w:eastAsia="仿宋_GB2312" w:cs="DengXian-Regular"/>
          <w:sz w:val="32"/>
          <w:szCs w:val="32"/>
        </w:rPr>
        <w:t>万元以上大型设备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台，单位价值</w:t>
      </w:r>
      <w:r>
        <w:rPr>
          <w:rFonts w:hint="eastAsia" w:ascii="仿宋_GB2312" w:hAnsi="TimesNewRomanPSMT" w:eastAsia="仿宋_GB2312" w:cs="TimesNewRomanPSMT"/>
          <w:sz w:val="32"/>
          <w:szCs w:val="32"/>
        </w:rPr>
        <w:t>100</w:t>
      </w:r>
      <w:r>
        <w:rPr>
          <w:rFonts w:hint="eastAsia" w:ascii="仿宋_GB2312" w:eastAsia="仿宋_GB2312" w:cs="DengXian-Regular"/>
          <w:sz w:val="32"/>
          <w:szCs w:val="32"/>
        </w:rPr>
        <w:t>万元以上大型设备</w:t>
      </w:r>
      <w:r>
        <w:rPr>
          <w:rFonts w:hint="eastAsia" w:ascii="仿宋_GB2312" w:eastAsia="仿宋_GB2312" w:cs="DengXian-Regular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 w:cs="DengXian-Regular"/>
          <w:sz w:val="32"/>
          <w:szCs w:val="32"/>
        </w:rPr>
        <w:t>台。</w:t>
      </w:r>
    </w:p>
    <w:p>
      <w:pPr>
        <w:pStyle w:val="4"/>
        <w:spacing w:before="0" w:after="0" w:line="560" w:lineRule="exact"/>
        <w:ind w:firstLine="643" w:firstLineChars="200"/>
        <w:rPr>
          <w:rFonts w:ascii="楷体_GB2312" w:eastAsia="楷体_GB2312" w:cs="DengXian-Bold"/>
        </w:rPr>
      </w:pPr>
      <w:r>
        <w:rPr>
          <w:rFonts w:hint="eastAsia" w:ascii="楷体_GB2312" w:eastAsia="楷体_GB2312" w:cs="DengXian-Bold"/>
        </w:rPr>
        <w:t>（四）其他需要说明的情况</w:t>
      </w:r>
    </w:p>
    <w:p>
      <w:pPr>
        <w:adjustRightInd w:val="0"/>
        <w:snapToGrid w:val="0"/>
        <w:spacing w:after="0" w:line="560" w:lineRule="exact"/>
        <w:ind w:firstLine="640" w:firstLineChars="200"/>
        <w:rPr>
          <w:rFonts w:hint="eastAsia" w:ascii="仿宋_GB2312" w:eastAsia="仿宋_GB2312" w:cs="DengXian-Regular"/>
          <w:sz w:val="32"/>
          <w:szCs w:val="32"/>
        </w:rPr>
      </w:pPr>
      <w:r>
        <w:rPr>
          <w:rFonts w:hint="eastAsia" w:ascii="仿宋_GB2312" w:eastAsia="仿宋_GB2312" w:cs="DengXian-Regular"/>
          <w:sz w:val="32"/>
          <w:szCs w:val="32"/>
        </w:rPr>
        <w:t>1、本部门2017年度政府性基金预算财政拨款收入支出决算表为空、国有资本经营预算财政拨款收入支出决算表为空、三公经费及相关信息统计表为空、政府采购情况表为空。无收支及结转结余情况，故政府性基金预算财政拨款收入支出决算表为空、国有资本经营预算财政拨款收入支出决算表为空、三公经费及相关信息统计表为空、政府采购情况表为空。表以空表列示。</w:t>
      </w:r>
    </w:p>
    <w:p>
      <w:pPr>
        <w:adjustRightInd w:val="0"/>
        <w:snapToGrid w:val="0"/>
        <w:spacing w:after="0" w:line="560" w:lineRule="exact"/>
        <w:ind w:firstLine="640" w:firstLineChars="200"/>
        <w:rPr>
          <w:rFonts w:ascii="仿宋_GB2312" w:eastAsia="仿宋_GB2312" w:cs="DengXian-Regular"/>
          <w:sz w:val="32"/>
          <w:szCs w:val="32"/>
        </w:rPr>
      </w:pPr>
      <w:r>
        <w:rPr>
          <w:rFonts w:hint="eastAsia" w:ascii="仿宋_GB2312" w:eastAsia="仿宋_GB2312" w:cs="DengXian-Regular"/>
          <w:sz w:val="32"/>
          <w:szCs w:val="32"/>
        </w:rPr>
        <w:t>2、由于决算公开表格中金额数值应当保留两位小数，公开数据为四舍五入计算结果，个别数据合计项与分项之和存在小数点后差额，特此说明。</w:t>
      </w:r>
    </w:p>
    <w:p>
      <w:pPr>
        <w:pStyle w:val="2"/>
        <w:jc w:val="center"/>
        <w:rPr>
          <w:rFonts w:ascii="宋体" w:hAnsi="宋体" w:eastAsia="宋体" w:cs="SimSun,Bold"/>
        </w:rPr>
      </w:pPr>
      <w:r>
        <w:rPr>
          <w:rFonts w:hint="eastAsia" w:ascii="宋体" w:hAnsi="宋体" w:eastAsia="宋体" w:cs="SimSun,Bold"/>
        </w:rPr>
        <w:t>第四部分</w:t>
      </w:r>
      <w:r>
        <w:rPr>
          <w:rFonts w:hint="eastAsia" w:ascii="宋体" w:hAnsi="宋体" w:eastAsia="宋体" w:cs="SimSun,Bold"/>
          <w:bCs w:val="0"/>
        </w:rPr>
        <w:t xml:space="preserve"> </w:t>
      </w:r>
      <w:r>
        <w:rPr>
          <w:rFonts w:hint="eastAsia" w:ascii="宋体" w:hAnsi="宋体" w:eastAsia="宋体" w:cs="SimSun,Bold"/>
        </w:rPr>
        <w:t>名词解释</w:t>
      </w:r>
    </w:p>
    <w:p>
      <w:pPr>
        <w:widowControl/>
        <w:spacing w:after="0" w:line="560" w:lineRule="exact"/>
        <w:ind w:firstLine="640" w:firstLineChars="200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（一）财政拨款收入：本年度从本级财政部门取得的财政拨款，包括一般公共预算财政拨款和政府性基金预算财政拨款。</w:t>
      </w:r>
    </w:p>
    <w:p>
      <w:pPr>
        <w:widowControl/>
        <w:spacing w:after="0" w:line="560" w:lineRule="exact"/>
        <w:ind w:firstLine="640" w:firstLineChars="200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（二）事业收入：指事业单位开展专业业务活动及辅助活动所取得的收入。</w:t>
      </w:r>
    </w:p>
    <w:p>
      <w:pPr>
        <w:widowControl/>
        <w:spacing w:after="0" w:line="560" w:lineRule="exact"/>
        <w:ind w:firstLine="640" w:firstLineChars="200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（三）其他收入：指除上述“财政拨款收入”、“事业收入”、“经营收入”等以外的收入。</w:t>
      </w:r>
    </w:p>
    <w:p>
      <w:pPr>
        <w:widowControl/>
        <w:spacing w:after="0" w:line="560" w:lineRule="exact"/>
        <w:ind w:firstLine="640" w:firstLineChars="200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（五）年初结转和结余：指以前年度尚未完成、结转到本年仍按原规定用途继续使用的资金，或项目已完成等产生的结余资金。</w:t>
      </w:r>
    </w:p>
    <w:p>
      <w:pPr>
        <w:widowControl/>
        <w:spacing w:after="0" w:line="560" w:lineRule="exact"/>
        <w:ind w:firstLine="640" w:firstLineChars="200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（七）年末结转和结余：指单位按有关规定结转到下年或以后年度继续使用的资金，或项目已完成等产生的结余资金。</w:t>
      </w:r>
    </w:p>
    <w:p>
      <w:pPr>
        <w:widowControl/>
        <w:spacing w:after="0" w:line="560" w:lineRule="exact"/>
        <w:ind w:firstLine="640" w:firstLineChars="200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（八）基本支出：填列单位为保障机构正常运转、完成日常工作任务而发生的各项支出。</w:t>
      </w:r>
    </w:p>
    <w:p>
      <w:pPr>
        <w:widowControl/>
        <w:spacing w:after="0" w:line="560" w:lineRule="exact"/>
        <w:ind w:firstLine="640" w:firstLineChars="200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（九）项目支出：填列单位为完成特定的行政工作任务或事业发展目标，在基本支出之外发生的各项支出</w:t>
      </w:r>
    </w:p>
    <w:p>
      <w:pPr>
        <w:widowControl/>
        <w:spacing w:after="0" w:line="560" w:lineRule="exact"/>
        <w:ind w:firstLine="640" w:firstLineChars="200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（十二）“三公”经费：指部门用财政拨款安排的因公出国（境）费、公务用车购置及运行费和公务接待费。其中，因公出国（境）费反映单位公务出国（境）的国际旅费、国外城市间交通费、住宿费、伙食费、培训费、公杂费等支出；公务用车购置及运行费反映单位公务用车购置支出（含车辆购置税）及租用费、燃料费、维修费、过路过桥费、保险费、安全奖励费用等支出；公务接待费反映单位按规定开支的各类公务接待（含外宾接待）支出。</w:t>
      </w:r>
    </w:p>
    <w:p>
      <w:pPr>
        <w:widowControl/>
        <w:spacing w:after="0" w:line="560" w:lineRule="exact"/>
        <w:ind w:firstLine="640" w:firstLineChars="200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（十三）其他交通费用：填列单位除公务用车运行维护费以外的其他交通费用。如飞机、船舶等的燃料费、维修费、过桥过路费、保险费、出租车费用、公务交通补贴等。</w:t>
      </w:r>
    </w:p>
    <w:p>
      <w:pPr>
        <w:widowControl/>
        <w:spacing w:after="0" w:line="560" w:lineRule="exact"/>
        <w:ind w:firstLine="640" w:firstLineChars="200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（十四）公务用车购置：填列单位公务用车车辆购置支出（含车辆购置税）。</w:t>
      </w:r>
    </w:p>
    <w:p>
      <w:pPr>
        <w:widowControl/>
        <w:spacing w:after="0" w:line="560" w:lineRule="exact"/>
        <w:ind w:firstLine="640" w:firstLineChars="200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（十五）其他交通工具购置：填列单位除公务用车外的其他各类交通工具（如船舶、飞机）购置支出（含车辆购置税）。</w:t>
      </w:r>
    </w:p>
    <w:p>
      <w:pPr>
        <w:widowControl/>
        <w:spacing w:after="0" w:line="560" w:lineRule="exact"/>
        <w:ind w:firstLine="640" w:firstLineChars="200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（十六） 机关运行经费：指为保障行政单位（包括参照公务员法管理的事业单位）运行用于购买货物和服务的各项资金，包括办公及印刷费、邮电费、差旅费、会议费、福利费、日常维修费、专用材料以及一般设备购置费、办公用房水电费、办公用房取暖费、办公用房物业管理费、公务用车运行维护费以及其他费用。</w:t>
      </w:r>
    </w:p>
    <w:sectPr>
      <w:pgSz w:w="11906" w:h="16838"/>
      <w:pgMar w:top="2098" w:right="1474" w:bottom="1985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方正小标宋_GBK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ngXian-Bold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TimesNewRomanPSMT">
    <w:altName w:val="Arial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SimSun,Bold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9"/>
    <w:multiLevelType w:val="singleLevel"/>
    <w:tmpl w:val="00000009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7380707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spacing w:after="160" w:line="480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2"/>
    <w:uiPriority w:val="0"/>
    <w:pPr>
      <w:keepNext/>
      <w:keepLines/>
      <w:spacing w:before="340" w:after="330" w:line="578" w:lineRule="auto"/>
      <w:outlineLvl w:val="0"/>
    </w:pPr>
    <w:rPr>
      <w:rFonts w:ascii="Times New Roman" w:hAnsi="Times New Roman" w:eastAsia="宋体" w:cs="Times New Roman"/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3"/>
    <w:uiPriority w:val="0"/>
    <w:pPr>
      <w:keepNext/>
      <w:keepLines/>
      <w:spacing w:before="260" w:after="260" w:line="416" w:lineRule="auto"/>
      <w:outlineLvl w:val="1"/>
    </w:pPr>
    <w:rPr>
      <w:rFonts w:ascii="Calibri" w:hAnsi="Calibri" w:eastAsia="宋体" w:cs="黑体"/>
      <w:b/>
      <w:bCs/>
      <w:sz w:val="32"/>
      <w:szCs w:val="32"/>
    </w:rPr>
  </w:style>
  <w:style w:type="paragraph" w:styleId="4">
    <w:name w:val="heading 3"/>
    <w:basedOn w:val="1"/>
    <w:next w:val="1"/>
    <w:link w:val="14"/>
    <w:uiPriority w:val="0"/>
    <w:pPr>
      <w:keepNext/>
      <w:keepLines/>
      <w:spacing w:before="260" w:after="260" w:line="416" w:lineRule="auto"/>
      <w:outlineLvl w:val="2"/>
    </w:pPr>
    <w:rPr>
      <w:rFonts w:ascii="Times New Roman" w:hAnsi="Times New Roman" w:eastAsia="宋体" w:cs="Times New Roman"/>
      <w:b/>
      <w:bCs/>
      <w:sz w:val="32"/>
      <w:szCs w:val="32"/>
    </w:rPr>
  </w:style>
  <w:style w:type="paragraph" w:styleId="5">
    <w:name w:val="heading 4"/>
    <w:basedOn w:val="1"/>
    <w:next w:val="1"/>
    <w:link w:val="15"/>
    <w:uiPriority w:val="0"/>
    <w:pPr>
      <w:keepNext/>
      <w:keepLines/>
      <w:spacing w:before="280" w:after="290" w:line="376" w:lineRule="auto"/>
      <w:outlineLvl w:val="3"/>
    </w:pPr>
    <w:rPr>
      <w:rFonts w:ascii="Calibri" w:hAnsi="Calibri" w:eastAsia="宋体" w:cs="黑体"/>
      <w:b/>
      <w:bCs/>
      <w:sz w:val="28"/>
      <w:szCs w:val="28"/>
    </w:rPr>
  </w:style>
  <w:style w:type="character" w:default="1" w:styleId="11">
    <w:name w:val="Default Paragraph Font"/>
    <w:uiPriority w:val="0"/>
  </w:style>
  <w:style w:type="table" w:default="1" w:styleId="10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link w:val="1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Subtitle"/>
    <w:basedOn w:val="1"/>
    <w:next w:val="1"/>
    <w:link w:val="20"/>
    <w:qFormat/>
    <w:uiPriority w:val="0"/>
    <w:pPr>
      <w:widowControl/>
      <w:spacing w:after="200" w:line="276" w:lineRule="auto"/>
      <w:jc w:val="left"/>
    </w:pPr>
    <w:rPr>
      <w:rFonts w:ascii="Calibri" w:hAnsi="Calibri" w:eastAsia="宋体" w:cs="黑体"/>
      <w:i/>
      <w:iCs/>
      <w:color w:val="F0A22E"/>
      <w:spacing w:val="15"/>
      <w:kern w:val="0"/>
      <w:sz w:val="24"/>
      <w:szCs w:val="24"/>
    </w:rPr>
  </w:style>
  <w:style w:type="paragraph" w:styleId="9">
    <w:name w:val="Title"/>
    <w:basedOn w:val="1"/>
    <w:next w:val="1"/>
    <w:link w:val="21"/>
    <w:qFormat/>
    <w:uiPriority w:val="0"/>
    <w:pPr>
      <w:widowControl/>
      <w:pBdr>
        <w:bottom w:val="single" w:color="F0A22E" w:sz="8" w:space="4"/>
      </w:pBdr>
      <w:spacing w:after="300"/>
      <w:contextualSpacing/>
      <w:jc w:val="left"/>
    </w:pPr>
    <w:rPr>
      <w:rFonts w:ascii="Calibri" w:hAnsi="Calibri" w:eastAsia="宋体" w:cs="黑体"/>
      <w:color w:val="392B23"/>
      <w:spacing w:val="5"/>
      <w:kern w:val="28"/>
      <w:sz w:val="52"/>
      <w:szCs w:val="52"/>
    </w:rPr>
  </w:style>
  <w:style w:type="character" w:customStyle="1" w:styleId="12">
    <w:name w:val="标题 1 Char"/>
    <w:basedOn w:val="11"/>
    <w:link w:val="2"/>
    <w:semiHidden/>
    <w:uiPriority w:val="0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13">
    <w:name w:val="标题 2 Char"/>
    <w:basedOn w:val="11"/>
    <w:link w:val="3"/>
    <w:semiHidden/>
    <w:uiPriority w:val="0"/>
    <w:rPr>
      <w:rFonts w:ascii="Calibri" w:hAnsi="Calibri" w:eastAsia="宋体" w:cs="黑体"/>
      <w:b/>
      <w:bCs/>
      <w:sz w:val="32"/>
      <w:szCs w:val="32"/>
    </w:rPr>
  </w:style>
  <w:style w:type="character" w:customStyle="1" w:styleId="14">
    <w:name w:val="标题 3 Char"/>
    <w:basedOn w:val="11"/>
    <w:link w:val="4"/>
    <w:semiHidden/>
    <w:uiPriority w:val="0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15">
    <w:name w:val="标题 4 Char"/>
    <w:basedOn w:val="11"/>
    <w:link w:val="5"/>
    <w:semiHidden/>
    <w:uiPriority w:val="0"/>
    <w:rPr>
      <w:rFonts w:ascii="Calibri" w:hAnsi="Calibri" w:eastAsia="宋体" w:cs="黑体"/>
      <w:b/>
      <w:bCs/>
      <w:sz w:val="28"/>
      <w:szCs w:val="28"/>
    </w:rPr>
  </w:style>
  <w:style w:type="character" w:customStyle="1" w:styleId="16">
    <w:name w:val="批注框文本 Char"/>
    <w:basedOn w:val="11"/>
    <w:link w:val="17"/>
    <w:semiHidden/>
    <w:uiPriority w:val="0"/>
    <w:rPr>
      <w:rFonts w:ascii="Times New Roman" w:hAnsi="Times New Roman" w:eastAsia="宋体" w:cs="Times New Roman"/>
      <w:sz w:val="18"/>
      <w:szCs w:val="18"/>
    </w:rPr>
  </w:style>
  <w:style w:type="paragraph" w:customStyle="1" w:styleId="17">
    <w:name w:val="批注框文本1"/>
    <w:basedOn w:val="1"/>
    <w:link w:val="16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8">
    <w:name w:val="页脚 Char"/>
    <w:basedOn w:val="11"/>
    <w:link w:val="6"/>
    <w:semiHidden/>
    <w:qFormat/>
    <w:uiPriority w:val="0"/>
    <w:rPr>
      <w:sz w:val="18"/>
      <w:szCs w:val="18"/>
    </w:rPr>
  </w:style>
  <w:style w:type="character" w:customStyle="1" w:styleId="19">
    <w:name w:val="页眉 Char"/>
    <w:basedOn w:val="11"/>
    <w:link w:val="7"/>
    <w:semiHidden/>
    <w:qFormat/>
    <w:uiPriority w:val="0"/>
    <w:rPr>
      <w:sz w:val="18"/>
      <w:szCs w:val="18"/>
    </w:rPr>
  </w:style>
  <w:style w:type="character" w:customStyle="1" w:styleId="20">
    <w:name w:val="副标题 Char"/>
    <w:basedOn w:val="11"/>
    <w:link w:val="8"/>
    <w:semiHidden/>
    <w:qFormat/>
    <w:uiPriority w:val="0"/>
    <w:rPr>
      <w:rFonts w:ascii="Calibri" w:hAnsi="Calibri" w:eastAsia="宋体" w:cs="黑体"/>
      <w:i/>
      <w:iCs/>
      <w:color w:val="F0A22E"/>
      <w:spacing w:val="15"/>
      <w:kern w:val="0"/>
      <w:sz w:val="24"/>
      <w:szCs w:val="24"/>
    </w:rPr>
  </w:style>
  <w:style w:type="character" w:customStyle="1" w:styleId="21">
    <w:name w:val="标题 Char"/>
    <w:basedOn w:val="11"/>
    <w:link w:val="9"/>
    <w:semiHidden/>
    <w:qFormat/>
    <w:uiPriority w:val="0"/>
    <w:rPr>
      <w:rFonts w:ascii="Calibri" w:hAnsi="Calibri" w:eastAsia="宋体" w:cs="黑体"/>
      <w:color w:val="392B23"/>
      <w:spacing w:val="5"/>
      <w:kern w:val="28"/>
      <w:sz w:val="52"/>
      <w:szCs w:val="52"/>
    </w:rPr>
  </w:style>
  <w:style w:type="paragraph" w:customStyle="1" w:styleId="22">
    <w:name w:val="No Spacing"/>
    <w:link w:val="23"/>
    <w:qFormat/>
    <w:uiPriority w:val="0"/>
    <w:pPr>
      <w:spacing w:after="160" w:line="480" w:lineRule="auto"/>
    </w:pPr>
    <w:rPr>
      <w:rFonts w:ascii="Times New Roman" w:hAnsi="Times New Roman" w:eastAsia="宋体" w:cs="Times New Roman"/>
      <w:kern w:val="0"/>
      <w:sz w:val="22"/>
      <w:lang w:val="en-US" w:eastAsia="zh-CN" w:bidi="ar-SA"/>
    </w:rPr>
  </w:style>
  <w:style w:type="character" w:customStyle="1" w:styleId="23">
    <w:name w:val="无间隔 Char"/>
    <w:basedOn w:val="11"/>
    <w:link w:val="22"/>
    <w:semiHidden/>
    <w:qFormat/>
    <w:uiPriority w:val="0"/>
    <w:rPr>
      <w:kern w:val="0"/>
      <w:sz w:val="22"/>
    </w:rPr>
  </w:style>
  <w:style w:type="character" w:customStyle="1" w:styleId="24">
    <w:name w:val="Style1"/>
    <w:basedOn w:val="11"/>
    <w:qFormat/>
    <w:uiPriority w:val="0"/>
    <w:rPr>
      <w:rFonts w:ascii="Cambria" w:hAnsi="黑体" w:eastAsia="黑体" w:cs="黑体"/>
      <w:sz w:val="22"/>
      <w:szCs w:val="22"/>
      <w:lang w:eastAsia="zh-CN"/>
    </w:rPr>
  </w:style>
  <w:style w:type="character" w:customStyle="1" w:styleId="25">
    <w:name w:val="Style2"/>
    <w:basedOn w:val="11"/>
    <w:qFormat/>
    <w:uiPriority w:val="0"/>
    <w:rPr>
      <w:rFonts w:ascii="Cambria" w:hAnsi="黑体" w:eastAsia="黑体" w:cs="黑体"/>
      <w:sz w:val="22"/>
      <w:szCs w:val="22"/>
      <w:lang w:eastAsia="zh-CN"/>
    </w:rPr>
  </w:style>
  <w:style w:type="character" w:customStyle="1" w:styleId="26">
    <w:name w:val="Style3"/>
    <w:basedOn w:val="11"/>
    <w:qFormat/>
    <w:uiPriority w:val="0"/>
    <w:rPr>
      <w:rFonts w:ascii="Cambria" w:hAnsi="黑体" w:eastAsia="黑体" w:cs="黑体"/>
      <w:szCs w:val="22"/>
      <w:lang w:eastAsia="zh-CN"/>
    </w:rPr>
  </w:style>
  <w:style w:type="character" w:customStyle="1" w:styleId="27">
    <w:name w:val="Style4"/>
    <w:basedOn w:val="11"/>
    <w:qFormat/>
    <w:uiPriority w:val="0"/>
    <w:rPr>
      <w:rFonts w:ascii="Cambria" w:hAnsi="黑体" w:eastAsia="黑体" w:cs="黑体"/>
      <w:szCs w:val="22"/>
      <w:lang w:eastAsia="zh-CN"/>
    </w:rPr>
  </w:style>
  <w:style w:type="character" w:customStyle="1" w:styleId="28">
    <w:name w:val="Style5"/>
    <w:basedOn w:val="11"/>
    <w:qFormat/>
    <w:uiPriority w:val="0"/>
    <w:rPr>
      <w:rFonts w:ascii="Cambria" w:hAnsi="黑体" w:eastAsia="黑体" w:cs="黑体"/>
      <w:sz w:val="22"/>
      <w:szCs w:val="22"/>
      <w:lang w:eastAsia="zh-CN"/>
    </w:rPr>
  </w:style>
  <w:style w:type="paragraph" w:customStyle="1" w:styleId="29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15</Pages>
  <Words>820</Words>
  <Characters>4675</Characters>
  <Lines>38</Lines>
  <Paragraphs>10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2018-08-30T00:38:00Z</dcterms:created>
  <dc:creator>User</dc:creator>
  <cp:lastModifiedBy>Administrator</cp:lastModifiedBy>
  <dcterms:modified xsi:type="dcterms:W3CDTF">2024-01-03T02:05:25Z</dcterms:modified>
  <dc:subject>石家庄市xxx部门</dc:subject>
  <dc:title>Administrator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