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r>
        <w:rPr>
          <w:rFonts w:hint="eastAsia" w:hAnsi="宋体" w:asciiTheme="minorEastAsia" w:eastAsiaTheme="minorEastAsia"/>
          <w:color w:val="002060"/>
          <w:sz w:val="72"/>
          <w:szCs w:val="72"/>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无极县交通运输局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widowControl/>
        <w:spacing w:after="0" w:line="600" w:lineRule="exact"/>
        <w:ind w:firstLine="960" w:firstLineChars="200"/>
        <w:jc w:val="center"/>
        <w:rPr>
          <w:rFonts w:ascii="黑体" w:eastAsia="黑体"/>
          <w:sz w:val="48"/>
          <w:szCs w:val="48"/>
        </w:rPr>
      </w:pPr>
      <w:r>
        <w:rPr>
          <w:rFonts w:hint="eastAsia" w:ascii="黑体" w:eastAsia="黑体"/>
          <w:sz w:val="48"/>
          <w:szCs w:val="48"/>
        </w:rPr>
        <w:t>目    录</w:t>
      </w:r>
    </w:p>
    <w:p>
      <w:pPr>
        <w:widowControl/>
        <w:spacing w:after="0" w:line="600" w:lineRule="exact"/>
        <w:ind w:firstLine="960" w:firstLineChars="200"/>
        <w:jc w:val="center"/>
        <w:rPr>
          <w:rFonts w:ascii="黑体" w:eastAsia="黑体"/>
          <w:sz w:val="48"/>
          <w:szCs w:val="48"/>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无极县交通运输局</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a:stretch>
                      <a:fillRect/>
                    </a:stretch>
                  </pic:blipFill>
                  <pic:spPr>
                    <a:xfrm>
                      <a:off x="0" y="0"/>
                      <a:ext cx="7585710" cy="10727055"/>
                    </a:xfrm>
                    <a:prstGeom prst="rect">
                      <a:avLst/>
                    </a:prstGeom>
                  </pic:spPr>
                </pic:pic>
              </a:graphicData>
            </a:graphic>
          </wp:anchor>
        </w:drawing>
      </w:r>
      <w:r>
        <w:rPr>
          <w:sz w:val="72"/>
        </w:rPr>
        <w:pict>
          <v:shape id="_x0000_s1030" o:spid="_x0000_s1030"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无极县交通运输局主要职责：认真贯彻执行国家、省、市、县有关交通行业的方针、政策和法律、法规，研究拟定交通行业发展战略、地方性法规草案，制定有关标准、制度、办法及实施细则，并监督实施。根据上级有关规定和我县经济发展实际需要，编制公路运输、公路建设、交通管理的中、长期发展规划，并制定和下达年度公路建设与养护计划并组织实施。负责交通系统统计和信息工作。负责全县公路桥梁及其设施的规划、设计、建设、养护、路政管理，依法拆除违章建筑、管理路产路权、保护公路设施，开发公路用地。负责交通系统国有资产的经营管理、增值保值和开发工作。负责全县路桥的规划、建设、组织实施。负责交通运输行业管理，建立完善信息、行业联运的服务体系，引导交通运输行业优化结构、协调发展。对关系国计民生的重点物资和紧急物资的运输进行必要的调控。承办县委县政府和上级机关交办的其他事项。</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工程科主要职责：按项目建设程序履行项目法人的各项职责，负责组织全县公路新建、改建工程、养护大中修工程项目的前期工作、招标管理、开工报告、预算审批、施工管理等。</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公路站主要职责：担负着国省62.144公里干线公路的日常养护、绿化工作、保持干线公路的畅、洁、绿、美。负责大中修工程、干线大中修的图纸设计，组织施工及工程档案的归档工作。公路行业信息管理等工作。</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交通运输综合执法大队主要职责：执行国家及省市有关道路运输方针、政策、法规。根据管理权限，审批道路客货运输、运输服务和三类汽车维修业户的开业、停业及年度审验，核发经营许可证、道路运输证，审批县境内客货运输线路，执行好客运工作，具体负责道路运政管理机构统一制定的证照及票据的分发、回收、管理。具体负责执行对道路运输市场的运输质量、经营行为、价格执行及使用的证照、票据等进行日常性监督检查，并对违章者进行处罚，处理日常性商务事故。</w:t>
      </w:r>
    </w:p>
    <w:p>
      <w:pPr>
        <w:ind w:firstLine="640" w:firstLineChars="200"/>
        <w:rPr>
          <w:rFonts w:ascii="仿宋_GB2312" w:hAnsi="仿宋" w:eastAsia="仿宋_GB2312" w:cs="仿宋"/>
          <w:sz w:val="32"/>
          <w:szCs w:val="32"/>
        </w:rPr>
      </w:pPr>
      <w:r>
        <w:rPr>
          <w:rFonts w:hint="eastAsia" w:ascii="仿宋_GB2312" w:eastAsia="仿宋_GB2312"/>
          <w:sz w:val="32"/>
          <w:szCs w:val="32"/>
        </w:rPr>
        <w:t>客运中心主要职责：负责对客运站进行站务管理；负责进站车辆的安全管理；负责客运车辆调度及应急保障车辆的调配；负责为进站旅客、车主提供安全、便捷、优质服务；负责为客运经营者合理安排班次，公布其运输线路、起止经停站点、运输班次、始发班次、始发时间、票价、疏导旅客、维持上下车秩序。</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年度本部门决算汇编范围的独立核算单位（以下简称“单位”）共4 个，具体情况如下：</w:t>
      </w:r>
    </w:p>
    <w:p>
      <w:pPr>
        <w:spacing w:after="0" w:line="560" w:lineRule="exact"/>
        <w:rPr>
          <w:rFonts w:ascii="仿宋_GB2312" w:eastAsia="仿宋_GB2312" w:cs="ArialUnicodeMS" w:hAnsiTheme="minorHAnsi"/>
          <w:kern w:val="0"/>
          <w:sz w:val="32"/>
          <w:szCs w:val="32"/>
        </w:rPr>
      </w:pP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299"/>
        <w:gridCol w:w="2813"/>
        <w:gridCol w:w="24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299"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813"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483"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299"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无极县交通运输局(本级)</w:t>
            </w:r>
          </w:p>
        </w:tc>
        <w:tc>
          <w:tcPr>
            <w:tcW w:w="2813"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483"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299"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无极县公路站</w:t>
            </w:r>
          </w:p>
        </w:tc>
        <w:tc>
          <w:tcPr>
            <w:tcW w:w="2813"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483"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center"/>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299"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无极县交通运输综合执法大队</w:t>
            </w:r>
          </w:p>
        </w:tc>
        <w:tc>
          <w:tcPr>
            <w:tcW w:w="2813" w:type="dxa"/>
            <w:vAlign w:val="center"/>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483" w:type="dxa"/>
            <w:vAlign w:val="center"/>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4</w:t>
            </w:r>
          </w:p>
        </w:tc>
        <w:tc>
          <w:tcPr>
            <w:tcW w:w="3299"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无极县客运中心</w:t>
            </w:r>
          </w:p>
        </w:tc>
        <w:tc>
          <w:tcPr>
            <w:tcW w:w="2813"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483"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widowControl/>
        <w:spacing w:line="560" w:lineRule="exact"/>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29" o:spid="_x0000_s1029" o:spt="202" type="#_x0000_t202" style="position:absolute;left:0pt;margin-left:-74.2pt;margin-top:120.3pt;height:159.1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部门：无极县交通运输局</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9017.8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43.22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91.8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290.86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6034.7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9061.03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6417.36</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1452.58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4096.25</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10513.61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10513.61</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764" w:type="dxa"/>
        <w:jc w:val="center"/>
        <w:tblLayout w:type="fixed"/>
        <w:tblCellMar>
          <w:top w:w="0" w:type="dxa"/>
          <w:left w:w="0" w:type="dxa"/>
          <w:bottom w:w="0" w:type="dxa"/>
          <w:right w:w="0" w:type="dxa"/>
        </w:tblCellMar>
      </w:tblPr>
      <w:tblGrid>
        <w:gridCol w:w="400"/>
        <w:gridCol w:w="240"/>
        <w:gridCol w:w="278"/>
        <w:gridCol w:w="3014"/>
        <w:gridCol w:w="189"/>
        <w:gridCol w:w="90"/>
        <w:gridCol w:w="402"/>
        <w:gridCol w:w="196"/>
        <w:gridCol w:w="212"/>
        <w:gridCol w:w="179"/>
        <w:gridCol w:w="756"/>
        <w:gridCol w:w="189"/>
        <w:gridCol w:w="759"/>
        <w:gridCol w:w="614"/>
        <w:gridCol w:w="695"/>
        <w:gridCol w:w="819"/>
        <w:gridCol w:w="732"/>
      </w:tblGrid>
      <w:tr>
        <w:tblPrEx>
          <w:tblCellMar>
            <w:top w:w="0" w:type="dxa"/>
            <w:left w:w="0" w:type="dxa"/>
            <w:bottom w:w="0" w:type="dxa"/>
            <w:right w:w="0" w:type="dxa"/>
          </w:tblCellMar>
        </w:tblPrEx>
        <w:trPr>
          <w:trHeight w:val="770" w:hRule="atLeast"/>
          <w:jc w:val="center"/>
        </w:trPr>
        <w:tc>
          <w:tcPr>
            <w:tcW w:w="9764"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40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7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01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81"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9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9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5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94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1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246"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4121"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部门：无极县交通运输局</w:t>
            </w:r>
          </w:p>
        </w:tc>
        <w:tc>
          <w:tcPr>
            <w:tcW w:w="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0"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5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1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246"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612" w:hRule="exact"/>
          <w:jc w:val="center"/>
        </w:trPr>
        <w:tc>
          <w:tcPr>
            <w:tcW w:w="393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1268" w:type="dxa"/>
            <w:gridSpan w:val="6"/>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45"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759"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614"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695"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819"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732" w:type="dxa"/>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9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3014"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268" w:type="dxa"/>
            <w:gridSpan w:val="6"/>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45"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59"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614"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695"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819"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32" w:type="dxa"/>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393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126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7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6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7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476" w:hRule="exact"/>
          <w:jc w:val="center"/>
        </w:trPr>
        <w:tc>
          <w:tcPr>
            <w:tcW w:w="393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268"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bCs/>
                <w:color w:val="000000"/>
                <w:kern w:val="0"/>
                <w:sz w:val="20"/>
                <w:szCs w:val="20"/>
              </w:rPr>
            </w:pPr>
            <w:r>
              <w:rPr>
                <w:rFonts w:hint="eastAsia" w:ascii="宋体" w:hAnsi="宋体" w:cs="宋体"/>
                <w:b/>
                <w:bCs/>
                <w:color w:val="000000"/>
                <w:kern w:val="0"/>
                <w:sz w:val="20"/>
                <w:szCs w:val="20"/>
              </w:rPr>
              <w:t>9061.03</w:t>
            </w:r>
          </w:p>
        </w:tc>
        <w:tc>
          <w:tcPr>
            <w:tcW w:w="94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bCs/>
                <w:color w:val="000000"/>
                <w:kern w:val="0"/>
                <w:sz w:val="20"/>
                <w:szCs w:val="20"/>
              </w:rPr>
            </w:pPr>
            <w:r>
              <w:rPr>
                <w:rFonts w:hint="eastAsia" w:ascii="宋体" w:hAnsi="宋体" w:cs="宋体"/>
                <w:b/>
                <w:bCs/>
                <w:color w:val="000000"/>
                <w:kern w:val="0"/>
                <w:sz w:val="20"/>
                <w:szCs w:val="20"/>
              </w:rPr>
              <w:t>9017.80</w:t>
            </w:r>
          </w:p>
        </w:tc>
        <w:tc>
          <w:tcPr>
            <w:tcW w:w="759"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bCs/>
                <w:color w:val="000000"/>
                <w:kern w:val="0"/>
                <w:sz w:val="20"/>
                <w:szCs w:val="20"/>
              </w:rPr>
            </w:pPr>
          </w:p>
        </w:tc>
        <w:tc>
          <w:tcPr>
            <w:tcW w:w="614"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bCs/>
                <w:color w:val="000000"/>
                <w:kern w:val="0"/>
                <w:sz w:val="20"/>
                <w:szCs w:val="20"/>
              </w:rPr>
            </w:pPr>
          </w:p>
        </w:tc>
        <w:tc>
          <w:tcPr>
            <w:tcW w:w="6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bCs/>
                <w:color w:val="000000"/>
                <w:kern w:val="0"/>
                <w:sz w:val="20"/>
                <w:szCs w:val="20"/>
              </w:rPr>
            </w:pPr>
          </w:p>
        </w:tc>
        <w:tc>
          <w:tcPr>
            <w:tcW w:w="819"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bCs/>
                <w:color w:val="000000"/>
                <w:kern w:val="0"/>
                <w:sz w:val="20"/>
                <w:szCs w:val="20"/>
              </w:rPr>
            </w:pPr>
          </w:p>
        </w:tc>
        <w:tc>
          <w:tcPr>
            <w:tcW w:w="732"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bCs/>
                <w:color w:val="000000"/>
                <w:kern w:val="0"/>
                <w:sz w:val="20"/>
                <w:szCs w:val="20"/>
              </w:rPr>
            </w:pPr>
            <w:r>
              <w:rPr>
                <w:rFonts w:hint="eastAsia" w:ascii="宋体" w:hAnsi="宋体" w:cs="宋体"/>
                <w:b/>
                <w:bCs/>
                <w:color w:val="000000"/>
                <w:kern w:val="0"/>
                <w:sz w:val="20"/>
                <w:szCs w:val="20"/>
              </w:rPr>
              <w:t>43.22</w:t>
            </w:r>
          </w:p>
        </w:tc>
      </w:tr>
      <w:tr>
        <w:tblPrEx>
          <w:tblCellMar>
            <w:top w:w="0" w:type="dxa"/>
            <w:left w:w="0" w:type="dxa"/>
            <w:bottom w:w="0" w:type="dxa"/>
            <w:right w:w="0" w:type="dxa"/>
          </w:tblCellMar>
        </w:tblPrEx>
        <w:trPr>
          <w:trHeight w:val="47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20"/>
                <w:szCs w:val="20"/>
              </w:rPr>
              <w:t>208</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20"/>
                <w:szCs w:val="20"/>
              </w:rPr>
              <w:t>社会保障和就业支出</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91.80</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91.80</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47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20"/>
                <w:szCs w:val="20"/>
              </w:rPr>
              <w:t>20802</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20"/>
                <w:szCs w:val="20"/>
              </w:rPr>
              <w:t>民政管理事务</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0.61</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0.61</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47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2080201</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行政运行</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0.61</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0.61</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47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20"/>
                <w:szCs w:val="20"/>
              </w:rPr>
              <w:t>20805</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20"/>
                <w:szCs w:val="20"/>
              </w:rPr>
              <w:t>行政事业单位离退休</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60.51</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60.51</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550"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2080505</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15"/>
                <w:szCs w:val="15"/>
              </w:rPr>
              <w:t>机关事业单位基本养老保险缴费支出</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60.51</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60.51</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544"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20"/>
                <w:szCs w:val="20"/>
              </w:rPr>
              <w:t>20808</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bCs/>
                <w:color w:val="000000"/>
                <w:sz w:val="20"/>
                <w:szCs w:val="20"/>
              </w:rPr>
            </w:pPr>
            <w:r>
              <w:rPr>
                <w:rFonts w:hint="eastAsia" w:ascii="宋体" w:hAnsi="宋体" w:cs="宋体"/>
                <w:b/>
                <w:bCs/>
                <w:color w:val="000000"/>
                <w:sz w:val="20"/>
                <w:szCs w:val="20"/>
              </w:rPr>
              <w:t>抚恤</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6.83</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6.83</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422"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2080801</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200" w:firstLineChars="100"/>
              <w:jc w:val="left"/>
              <w:rPr>
                <w:rFonts w:ascii="宋体" w:hAnsi="宋体" w:cs="宋体"/>
                <w:color w:val="000000"/>
                <w:sz w:val="20"/>
                <w:szCs w:val="20"/>
              </w:rPr>
            </w:pPr>
            <w:r>
              <w:rPr>
                <w:rFonts w:hint="eastAsia" w:ascii="宋体" w:hAnsi="宋体" w:cs="宋体"/>
                <w:color w:val="000000"/>
                <w:sz w:val="20"/>
                <w:szCs w:val="20"/>
              </w:rPr>
              <w:t>死亡抚恤</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6.83</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6.83</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602"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20"/>
                <w:szCs w:val="20"/>
              </w:rPr>
              <w:t>20827</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bCs/>
                <w:color w:val="000000"/>
                <w:sz w:val="20"/>
                <w:szCs w:val="20"/>
              </w:rPr>
            </w:pPr>
            <w:r>
              <w:rPr>
                <w:rFonts w:hint="eastAsia" w:ascii="宋体" w:hAnsi="宋体" w:cs="宋体"/>
                <w:b/>
                <w:bCs/>
                <w:color w:val="000000"/>
                <w:sz w:val="20"/>
                <w:szCs w:val="20"/>
              </w:rPr>
              <w:t>财政对其他社会保险基金的补助</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0.60</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0.60</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61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2082702</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200" w:firstLineChars="100"/>
              <w:jc w:val="left"/>
              <w:rPr>
                <w:rFonts w:ascii="宋体" w:hAnsi="宋体" w:cs="宋体"/>
                <w:color w:val="000000"/>
                <w:sz w:val="20"/>
                <w:szCs w:val="20"/>
              </w:rPr>
            </w:pPr>
            <w:r>
              <w:rPr>
                <w:rFonts w:hint="eastAsia" w:ascii="宋体" w:hAnsi="宋体" w:cs="宋体"/>
                <w:color w:val="000000"/>
                <w:sz w:val="20"/>
                <w:szCs w:val="20"/>
              </w:rPr>
              <w:t>财政对工伤保险基金基金的补助</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0.60</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0.60</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47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20"/>
                <w:szCs w:val="20"/>
              </w:rPr>
              <w:t>20899</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bCs/>
                <w:color w:val="000000"/>
                <w:sz w:val="20"/>
                <w:szCs w:val="20"/>
              </w:rPr>
            </w:pPr>
            <w:r>
              <w:rPr>
                <w:rFonts w:hint="eastAsia" w:ascii="宋体" w:hAnsi="宋体" w:cs="宋体"/>
                <w:b/>
                <w:bCs/>
                <w:color w:val="000000"/>
                <w:sz w:val="20"/>
                <w:szCs w:val="20"/>
              </w:rPr>
              <w:t>其他社会保障和就业支出</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23.25</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23.25</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47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2089901</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200" w:firstLineChars="100"/>
              <w:jc w:val="left"/>
              <w:rPr>
                <w:rFonts w:ascii="宋体" w:hAnsi="宋体" w:cs="宋体"/>
                <w:color w:val="000000"/>
                <w:sz w:val="20"/>
                <w:szCs w:val="20"/>
              </w:rPr>
            </w:pPr>
            <w:r>
              <w:rPr>
                <w:rFonts w:hint="eastAsia" w:ascii="宋体" w:hAnsi="宋体" w:cs="宋体"/>
                <w:color w:val="000000"/>
                <w:sz w:val="20"/>
                <w:szCs w:val="20"/>
              </w:rPr>
              <w:t>其他社会保障和就业支出</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23.25</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23.25</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47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kern w:val="0"/>
                <w:sz w:val="20"/>
                <w:szCs w:val="20"/>
              </w:rPr>
            </w:pPr>
            <w:r>
              <w:rPr>
                <w:rFonts w:hint="eastAsia" w:ascii="宋体" w:hAnsi="宋体" w:cs="宋体"/>
                <w:b/>
                <w:bCs/>
                <w:color w:val="000000"/>
                <w:kern w:val="0"/>
                <w:sz w:val="20"/>
                <w:szCs w:val="20"/>
              </w:rPr>
              <w:t>214</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20"/>
                <w:szCs w:val="20"/>
              </w:rPr>
              <w:t>交通运输支出</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8969.23</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8926.00</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43.22</w:t>
            </w:r>
          </w:p>
        </w:tc>
      </w:tr>
      <w:tr>
        <w:tblPrEx>
          <w:tblCellMar>
            <w:top w:w="0" w:type="dxa"/>
            <w:left w:w="0" w:type="dxa"/>
            <w:bottom w:w="0" w:type="dxa"/>
            <w:right w:w="0" w:type="dxa"/>
          </w:tblCellMar>
        </w:tblPrEx>
        <w:trPr>
          <w:trHeight w:val="47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kern w:val="0"/>
                <w:sz w:val="20"/>
                <w:szCs w:val="20"/>
              </w:rPr>
            </w:pPr>
            <w:r>
              <w:rPr>
                <w:rFonts w:hint="eastAsia" w:ascii="宋体" w:hAnsi="宋体" w:cs="宋体"/>
                <w:b/>
                <w:bCs/>
                <w:color w:val="000000"/>
                <w:kern w:val="0"/>
                <w:sz w:val="20"/>
                <w:szCs w:val="20"/>
              </w:rPr>
              <w:t>21401</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20"/>
                <w:szCs w:val="20"/>
              </w:rPr>
              <w:t>公路水路运输</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8039.40</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7996.17</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43.22</w:t>
            </w:r>
          </w:p>
        </w:tc>
      </w:tr>
      <w:tr>
        <w:tblPrEx>
          <w:tblCellMar>
            <w:top w:w="0" w:type="dxa"/>
            <w:left w:w="0" w:type="dxa"/>
            <w:bottom w:w="0" w:type="dxa"/>
            <w:right w:w="0" w:type="dxa"/>
          </w:tblCellMar>
        </w:tblPrEx>
        <w:trPr>
          <w:trHeight w:val="47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2140101</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行政运行</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1271.20</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1271.20</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47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2140102</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一般行政管理事务</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43.67</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43.67</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47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2140104</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公路建设</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4755.22</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4712.00</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kern w:val="0"/>
                <w:sz w:val="20"/>
                <w:szCs w:val="20"/>
              </w:rPr>
              <w:t>43.22</w:t>
            </w:r>
          </w:p>
        </w:tc>
      </w:tr>
      <w:tr>
        <w:tblPrEx>
          <w:tblCellMar>
            <w:top w:w="0" w:type="dxa"/>
            <w:left w:w="0" w:type="dxa"/>
            <w:bottom w:w="0" w:type="dxa"/>
            <w:right w:w="0" w:type="dxa"/>
          </w:tblCellMar>
        </w:tblPrEx>
        <w:trPr>
          <w:trHeight w:val="47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2140106</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公路养护</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1539.45</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1539.45</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47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2140112</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公路运输管理</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8.18</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8.18</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47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2140199</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其他公路水路运输支出</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421.68</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421.68</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63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kern w:val="0"/>
                <w:sz w:val="20"/>
                <w:szCs w:val="20"/>
              </w:rPr>
            </w:pPr>
            <w:r>
              <w:rPr>
                <w:rFonts w:hint="eastAsia" w:ascii="宋体" w:hAnsi="宋体" w:cs="宋体"/>
                <w:b/>
                <w:bCs/>
                <w:color w:val="000000"/>
                <w:kern w:val="0"/>
                <w:sz w:val="20"/>
                <w:szCs w:val="20"/>
              </w:rPr>
              <w:t>21404</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15"/>
                <w:szCs w:val="15"/>
              </w:rPr>
              <w:t>成品油价格改革对交通运输的补贴</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729.83</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729.83</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552"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2140401</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对城市公交的补贴</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102.38</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102.38</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47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2140402</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对农村道路客运的补贴</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627.45</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627.45</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476"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kern w:val="0"/>
                <w:sz w:val="20"/>
                <w:szCs w:val="20"/>
              </w:rPr>
            </w:pPr>
            <w:r>
              <w:rPr>
                <w:rFonts w:hint="eastAsia" w:ascii="宋体" w:hAnsi="宋体" w:cs="宋体"/>
                <w:b/>
                <w:bCs/>
                <w:color w:val="000000"/>
                <w:kern w:val="0"/>
                <w:sz w:val="20"/>
                <w:szCs w:val="20"/>
              </w:rPr>
              <w:t>21406</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20"/>
                <w:szCs w:val="20"/>
              </w:rPr>
              <w:t>车辆购置税支出</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200.00</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200.00</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555" w:hRule="exact"/>
          <w:jc w:val="center"/>
        </w:trPr>
        <w:tc>
          <w:tcPr>
            <w:tcW w:w="91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2140601</w:t>
            </w:r>
          </w:p>
        </w:tc>
        <w:tc>
          <w:tcPr>
            <w:tcW w:w="30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15"/>
                <w:szCs w:val="15"/>
              </w:rPr>
              <w:t xml:space="preserve"> 车辆购置税用于公路等基础设施建设支出</w:t>
            </w:r>
          </w:p>
        </w:tc>
        <w:tc>
          <w:tcPr>
            <w:tcW w:w="1268"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200.00</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200.00</w:t>
            </w: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481" w:hRule="atLeast"/>
          <w:jc w:val="center"/>
        </w:trPr>
        <w:tc>
          <w:tcPr>
            <w:tcW w:w="9764"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730" w:type="dxa"/>
        <w:tblInd w:w="-550" w:type="dxa"/>
        <w:tblLayout w:type="fixed"/>
        <w:tblCellMar>
          <w:top w:w="0" w:type="dxa"/>
          <w:left w:w="0" w:type="dxa"/>
          <w:bottom w:w="0" w:type="dxa"/>
          <w:right w:w="0" w:type="dxa"/>
        </w:tblCellMar>
      </w:tblPr>
      <w:tblGrid>
        <w:gridCol w:w="450"/>
        <w:gridCol w:w="300"/>
        <w:gridCol w:w="240"/>
        <w:gridCol w:w="2796"/>
        <w:gridCol w:w="90"/>
        <w:gridCol w:w="938"/>
        <w:gridCol w:w="180"/>
        <w:gridCol w:w="940"/>
        <w:gridCol w:w="180"/>
        <w:gridCol w:w="834"/>
        <w:gridCol w:w="104"/>
        <w:gridCol w:w="180"/>
        <w:gridCol w:w="309"/>
        <w:gridCol w:w="811"/>
        <w:gridCol w:w="114"/>
        <w:gridCol w:w="1084"/>
        <w:gridCol w:w="180"/>
      </w:tblGrid>
      <w:tr>
        <w:tblPrEx>
          <w:tblCellMar>
            <w:top w:w="0" w:type="dxa"/>
            <w:left w:w="0" w:type="dxa"/>
            <w:bottom w:w="0" w:type="dxa"/>
            <w:right w:w="0" w:type="dxa"/>
          </w:tblCellMar>
        </w:tblPrEx>
        <w:trPr>
          <w:gridAfter w:val="1"/>
          <w:wAfter w:w="180" w:type="dxa"/>
          <w:trHeight w:val="798" w:hRule="atLeast"/>
        </w:trPr>
        <w:tc>
          <w:tcPr>
            <w:tcW w:w="9550" w:type="dxa"/>
            <w:gridSpan w:val="1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4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0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79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gridAfter w:val="1"/>
          <w:wAfter w:w="180" w:type="dxa"/>
          <w:trHeight w:val="380" w:hRule="atLeast"/>
        </w:trPr>
        <w:tc>
          <w:tcPr>
            <w:tcW w:w="3786"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部门：无极县交通运输局</w:t>
            </w:r>
          </w:p>
        </w:tc>
        <w:tc>
          <w:tcPr>
            <w:tcW w:w="102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180" w:type="dxa"/>
          <w:trHeight w:val="480" w:hRule="atLeast"/>
        </w:trPr>
        <w:tc>
          <w:tcPr>
            <w:tcW w:w="378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1028" w:type="dxa"/>
            <w:gridSpan w:val="2"/>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本年支出合计</w:t>
            </w:r>
          </w:p>
        </w:tc>
        <w:tc>
          <w:tcPr>
            <w:tcW w:w="1120" w:type="dxa"/>
            <w:gridSpan w:val="2"/>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基本支出</w:t>
            </w:r>
          </w:p>
        </w:tc>
        <w:tc>
          <w:tcPr>
            <w:tcW w:w="1014" w:type="dxa"/>
            <w:gridSpan w:val="2"/>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593" w:type="dxa"/>
            <w:gridSpan w:val="3"/>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上缴上级支出</w:t>
            </w:r>
          </w:p>
        </w:tc>
        <w:tc>
          <w:tcPr>
            <w:tcW w:w="925" w:type="dxa"/>
            <w:gridSpan w:val="2"/>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经营支出</w:t>
            </w:r>
          </w:p>
        </w:tc>
        <w:tc>
          <w:tcPr>
            <w:tcW w:w="1084" w:type="dxa"/>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对附属单位补助支出</w:t>
            </w:r>
          </w:p>
        </w:tc>
      </w:tr>
      <w:tr>
        <w:tblPrEx>
          <w:tblCellMar>
            <w:top w:w="0" w:type="dxa"/>
            <w:left w:w="0" w:type="dxa"/>
            <w:bottom w:w="0" w:type="dxa"/>
            <w:right w:w="0" w:type="dxa"/>
          </w:tblCellMar>
        </w:tblPrEx>
        <w:trPr>
          <w:gridAfter w:val="1"/>
          <w:wAfter w:w="180" w:type="dxa"/>
          <w:trHeight w:val="399" w:hRule="atLeast"/>
        </w:trPr>
        <w:tc>
          <w:tcPr>
            <w:tcW w:w="99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功能分类科目编码</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科目名称</w:t>
            </w:r>
          </w:p>
        </w:tc>
        <w:tc>
          <w:tcPr>
            <w:tcW w:w="1028"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1120"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1014"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593" w:type="dxa"/>
            <w:gridSpan w:val="3"/>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925"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1084" w:type="dxa"/>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195" w:hRule="atLeast"/>
        </w:trPr>
        <w:tc>
          <w:tcPr>
            <w:tcW w:w="378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102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11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10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59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r>
      <w:tr>
        <w:tblPrEx>
          <w:tblCellMar>
            <w:top w:w="0" w:type="dxa"/>
            <w:left w:w="0" w:type="dxa"/>
            <w:bottom w:w="0" w:type="dxa"/>
            <w:right w:w="0" w:type="dxa"/>
          </w:tblCellMar>
        </w:tblPrEx>
        <w:trPr>
          <w:gridAfter w:val="1"/>
          <w:wAfter w:w="180" w:type="dxa"/>
          <w:trHeight w:val="457" w:hRule="exact"/>
        </w:trPr>
        <w:tc>
          <w:tcPr>
            <w:tcW w:w="378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rPr>
              <w:t>6417.36</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rPr>
              <w:t>1654.82</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rPr>
              <w:t>4762.54</w:t>
            </w: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208</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社会保障和就业支出</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91.80</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91.80</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20802</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民政管理事务</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0.61</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0.61</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2080201</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行政运行</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0.61</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0.61</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20805</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行政事业单位离退休</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60.51</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60.51</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2080505</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机关事业单位基本养老保险缴费支出</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60.51</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60.51</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20808</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抚恤</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6.83</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6.83</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2080801</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死亡抚恤</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6.83</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6.83</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20827</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财政对其他社会保险基金的补助</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0.60</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0.60</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2082702</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财政对工伤保险基金的补助</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0.60</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0.60</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20899</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其他社会保障和就业支出</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23.25</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23.25</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2089901</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其他社会保障和就业支出</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23.25</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23.25</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212</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城乡社区支出</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290.86</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1082"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21208</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国有土地使用权出让收入及对应专项债务收入安排的支出</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290.86</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2120801</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征地和拆迁补偿支出</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290.86</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p>
            <w:pPr>
              <w:widowControl/>
              <w:jc w:val="right"/>
              <w:textAlignment w:val="center"/>
              <w:rPr>
                <w:rFonts w:ascii="宋体" w:hAnsi="宋体" w:cs="宋体"/>
                <w:color w:val="000000"/>
                <w:sz w:val="18"/>
                <w:szCs w:val="18"/>
              </w:rPr>
            </w:pP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214</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交通运输支出</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6034.70</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1563.02</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21401</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公路水路运输</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5746.19</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1563.02</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2140101</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行政运行</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1326.79</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1278.13</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2140102</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一般行政管理事务</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43.67</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2140104</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公路建设</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2203.00</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2140106</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公路养护</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1557.58</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2140112</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公路运输管理</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12.00</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2140199</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其他公路水路运输支出</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603.15</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284.89</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21404</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成品油价格改革对交通运输的补贴</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288.51</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2140401</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对城市公交的补贴</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91.04</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2140402</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对农村道路客运的补贴</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127.45</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2140499</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成品油价格改革补贴其他支出</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70.02</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420" w:hRule="exact"/>
        </w:trPr>
        <w:tc>
          <w:tcPr>
            <w:tcW w:w="9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208</w:t>
            </w:r>
          </w:p>
        </w:tc>
        <w:tc>
          <w:tcPr>
            <w:tcW w:w="27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社会保障和就业支出</w:t>
            </w:r>
          </w:p>
        </w:tc>
        <w:tc>
          <w:tcPr>
            <w:tcW w:w="102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91.80</w:t>
            </w:r>
          </w:p>
        </w:tc>
        <w:tc>
          <w:tcPr>
            <w:tcW w:w="11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91.80</w:t>
            </w:r>
          </w:p>
        </w:tc>
        <w:tc>
          <w:tcPr>
            <w:tcW w:w="101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593"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80" w:type="dxa"/>
          <w:trHeight w:val="748" w:hRule="atLeast"/>
        </w:trPr>
        <w:tc>
          <w:tcPr>
            <w:tcW w:w="9550" w:type="dxa"/>
            <w:gridSpan w:val="1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764" w:type="dxa"/>
        <w:tblInd w:w="-442" w:type="dxa"/>
        <w:tblLayout w:type="fixed"/>
        <w:tblCellMar>
          <w:top w:w="0" w:type="dxa"/>
          <w:left w:w="0" w:type="dxa"/>
          <w:bottom w:w="0" w:type="dxa"/>
          <w:right w:w="0" w:type="dxa"/>
        </w:tblCellMar>
      </w:tblPr>
      <w:tblGrid>
        <w:gridCol w:w="2158"/>
        <w:gridCol w:w="379"/>
        <w:gridCol w:w="518"/>
        <w:gridCol w:w="968"/>
        <w:gridCol w:w="2100"/>
        <w:gridCol w:w="79"/>
        <w:gridCol w:w="439"/>
        <w:gridCol w:w="762"/>
        <w:gridCol w:w="226"/>
        <w:gridCol w:w="599"/>
        <w:gridCol w:w="609"/>
        <w:gridCol w:w="927"/>
      </w:tblGrid>
      <w:tr>
        <w:tblPrEx>
          <w:tblCellMar>
            <w:top w:w="0" w:type="dxa"/>
            <w:left w:w="0" w:type="dxa"/>
            <w:bottom w:w="0" w:type="dxa"/>
            <w:right w:w="0" w:type="dxa"/>
          </w:tblCellMar>
        </w:tblPrEx>
        <w:trPr>
          <w:trHeight w:val="152" w:hRule="atLeast"/>
        </w:trPr>
        <w:tc>
          <w:tcPr>
            <w:tcW w:w="9764"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21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147"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43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6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53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641"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部门：无极县交通运输局</w:t>
            </w:r>
          </w:p>
        </w:tc>
        <w:tc>
          <w:tcPr>
            <w:tcW w:w="76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361"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30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收     入</w:t>
            </w:r>
          </w:p>
        </w:tc>
        <w:tc>
          <w:tcPr>
            <w:tcW w:w="670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支     出</w:t>
            </w:r>
          </w:p>
        </w:tc>
      </w:tr>
      <w:tr>
        <w:tblPrEx>
          <w:tblCellMar>
            <w:top w:w="0" w:type="dxa"/>
            <w:left w:w="0" w:type="dxa"/>
            <w:bottom w:w="0" w:type="dxa"/>
            <w:right w:w="0" w:type="dxa"/>
          </w:tblCellMar>
        </w:tblPrEx>
        <w:trPr>
          <w:trHeight w:val="170" w:hRule="atLeast"/>
        </w:trPr>
        <w:tc>
          <w:tcPr>
            <w:tcW w:w="2537"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5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9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1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5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12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413" w:hRule="exact"/>
        </w:trPr>
        <w:tc>
          <w:tcPr>
            <w:tcW w:w="2537"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9017.80</w:t>
            </w: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537"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99" w:hRule="exac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91.80</w:t>
            </w: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91.80</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九、医疗卫生与计划生育支出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16" w:hRule="exac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290.86</w:t>
            </w: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0.00</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290.86</w:t>
            </w:r>
          </w:p>
        </w:tc>
      </w:tr>
      <w:tr>
        <w:tblPrEx>
          <w:tblCellMar>
            <w:top w:w="0" w:type="dxa"/>
            <w:left w:w="0" w:type="dxa"/>
            <w:bottom w:w="0" w:type="dxa"/>
            <w:right w:w="0" w:type="dxa"/>
          </w:tblCellMar>
        </w:tblPrEx>
        <w:trPr>
          <w:trHeight w:val="363" w:hRule="exac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01" w:hRule="exac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6034.70</w:t>
            </w: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6034.70</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53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91" w:hRule="exact"/>
        </w:trPr>
        <w:tc>
          <w:tcPr>
            <w:tcW w:w="2537"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9017.80</w:t>
            </w: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6417.36</w:t>
            </w: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6126.50</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290.86</w:t>
            </w:r>
          </w:p>
        </w:tc>
      </w:tr>
      <w:tr>
        <w:tblPrEx>
          <w:tblCellMar>
            <w:top w:w="0" w:type="dxa"/>
            <w:left w:w="0" w:type="dxa"/>
            <w:bottom w:w="0" w:type="dxa"/>
            <w:right w:w="0" w:type="dxa"/>
          </w:tblCellMar>
        </w:tblPrEx>
        <w:trPr>
          <w:trHeight w:val="415" w:hRule="exact"/>
        </w:trPr>
        <w:tc>
          <w:tcPr>
            <w:tcW w:w="2537"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1452.58</w:t>
            </w: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4053.02</w:t>
            </w: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4053.02</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p>
        </w:tc>
      </w:tr>
      <w:tr>
        <w:tblPrEx>
          <w:tblCellMar>
            <w:top w:w="0" w:type="dxa"/>
            <w:left w:w="0" w:type="dxa"/>
            <w:bottom w:w="0" w:type="dxa"/>
            <w:right w:w="0" w:type="dxa"/>
          </w:tblCellMar>
        </w:tblPrEx>
        <w:trPr>
          <w:trHeight w:val="456" w:hRule="exact"/>
        </w:trPr>
        <w:tc>
          <w:tcPr>
            <w:tcW w:w="2537"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1161.72</w:t>
            </w: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spacing w:after="0" w:line="240" w:lineRule="atLeast"/>
              <w:jc w:val="center"/>
              <w:rPr>
                <w:rFonts w:ascii="宋体" w:hAnsi="宋体" w:cs="宋体"/>
                <w:color w:val="000000"/>
                <w:sz w:val="18"/>
                <w:szCs w:val="18"/>
              </w:rPr>
            </w:pP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r>
      <w:tr>
        <w:tblPrEx>
          <w:tblCellMar>
            <w:top w:w="0" w:type="dxa"/>
            <w:left w:w="0" w:type="dxa"/>
            <w:bottom w:w="0" w:type="dxa"/>
            <w:right w:w="0" w:type="dxa"/>
          </w:tblCellMar>
        </w:tblPrEx>
        <w:trPr>
          <w:trHeight w:val="469" w:hRule="exact"/>
        </w:trPr>
        <w:tc>
          <w:tcPr>
            <w:tcW w:w="2537"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290.86</w:t>
            </w: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spacing w:after="0" w:line="240" w:lineRule="atLeast"/>
              <w:jc w:val="center"/>
              <w:rPr>
                <w:rFonts w:ascii="宋体" w:hAnsi="宋体" w:cs="宋体"/>
                <w:color w:val="000000"/>
                <w:sz w:val="18"/>
                <w:szCs w:val="18"/>
              </w:rPr>
            </w:pP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18"/>
                <w:szCs w:val="18"/>
              </w:rPr>
            </w:pPr>
          </w:p>
        </w:tc>
      </w:tr>
      <w:tr>
        <w:tblPrEx>
          <w:tblCellMar>
            <w:top w:w="0" w:type="dxa"/>
            <w:left w:w="0" w:type="dxa"/>
            <w:bottom w:w="0" w:type="dxa"/>
            <w:right w:w="0" w:type="dxa"/>
          </w:tblCellMar>
        </w:tblPrEx>
        <w:trPr>
          <w:trHeight w:val="401" w:hRule="exact"/>
        </w:trPr>
        <w:tc>
          <w:tcPr>
            <w:tcW w:w="2537"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10470.38</w:t>
            </w:r>
          </w:p>
        </w:tc>
        <w:tc>
          <w:tcPr>
            <w:tcW w:w="210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51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9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10470.38</w:t>
            </w:r>
          </w:p>
        </w:tc>
        <w:tc>
          <w:tcPr>
            <w:tcW w:w="12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10179.52</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290.86</w:t>
            </w:r>
          </w:p>
        </w:tc>
      </w:tr>
      <w:tr>
        <w:tblPrEx>
          <w:tblCellMar>
            <w:top w:w="0" w:type="dxa"/>
            <w:left w:w="0" w:type="dxa"/>
            <w:bottom w:w="0" w:type="dxa"/>
            <w:right w:w="0" w:type="dxa"/>
          </w:tblCellMar>
        </w:tblPrEx>
        <w:trPr>
          <w:trHeight w:val="155" w:hRule="atLeast"/>
        </w:trPr>
        <w:tc>
          <w:tcPr>
            <w:tcW w:w="9764"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1134" w:right="1474" w:bottom="113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701"/>
        <w:gridCol w:w="153"/>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701"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5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部门：无极县交通运输局</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69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项目</w:t>
            </w:r>
          </w:p>
        </w:tc>
        <w:tc>
          <w:tcPr>
            <w:tcW w:w="5166"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本年支出</w:t>
            </w:r>
          </w:p>
        </w:tc>
      </w:tr>
      <w:tr>
        <w:tblPrEx>
          <w:tblCellMar>
            <w:top w:w="0" w:type="dxa"/>
            <w:left w:w="0" w:type="dxa"/>
            <w:bottom w:w="0" w:type="dxa"/>
            <w:right w:w="0" w:type="dxa"/>
          </w:tblCellMar>
        </w:tblPrEx>
        <w:trPr>
          <w:trHeight w:val="334" w:hRule="exac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功能分类科目编码</w:t>
            </w:r>
          </w:p>
        </w:tc>
        <w:tc>
          <w:tcPr>
            <w:tcW w:w="2701"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科目名称</w:t>
            </w:r>
          </w:p>
        </w:tc>
        <w:tc>
          <w:tcPr>
            <w:tcW w:w="1327"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cs="宋体" w:asciiTheme="majorEastAsia" w:hAnsiTheme="majorEastAsia" w:eastAsiaTheme="majorEastAsia"/>
                <w:color w:val="000000"/>
                <w:szCs w:val="21"/>
              </w:rPr>
            </w:pPr>
          </w:p>
        </w:tc>
        <w:tc>
          <w:tcPr>
            <w:tcW w:w="270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cs="宋体" w:asciiTheme="majorEastAsia" w:hAnsiTheme="majorEastAsia" w:eastAsiaTheme="majorEastAsia"/>
                <w:color w:val="000000"/>
                <w:szCs w:val="21"/>
              </w:rPr>
            </w:pPr>
          </w:p>
        </w:tc>
        <w:tc>
          <w:tcPr>
            <w:tcW w:w="132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cs="宋体" w:asciiTheme="majorEastAsia" w:hAnsiTheme="majorEastAsia" w:eastAsiaTheme="majorEastAsia"/>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cs="宋体" w:asciiTheme="majorEastAsia" w:hAnsiTheme="majorEastAsia" w:eastAsiaTheme="majorEastAsia"/>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cs="宋体" w:asciiTheme="majorEastAsia" w:hAnsiTheme="majorEastAsia" w:eastAsiaTheme="majorEastAsia"/>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cs="宋体" w:asciiTheme="majorEastAsia" w:hAnsiTheme="majorEastAsia" w:eastAsiaTheme="majorEastAsia"/>
                <w:color w:val="000000"/>
                <w:szCs w:val="21"/>
              </w:rPr>
            </w:pPr>
          </w:p>
        </w:tc>
        <w:tc>
          <w:tcPr>
            <w:tcW w:w="270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cs="宋体" w:asciiTheme="majorEastAsia" w:hAnsiTheme="majorEastAsia" w:eastAsiaTheme="majorEastAsia"/>
                <w:color w:val="000000"/>
                <w:szCs w:val="21"/>
              </w:rPr>
            </w:pPr>
          </w:p>
        </w:tc>
        <w:tc>
          <w:tcPr>
            <w:tcW w:w="132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cs="宋体" w:asciiTheme="majorEastAsia" w:hAnsiTheme="majorEastAsia" w:eastAsiaTheme="majorEastAsia"/>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cs="宋体" w:asciiTheme="majorEastAsia" w:hAnsiTheme="majorEastAsia" w:eastAsiaTheme="majorEastAsia"/>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cs="宋体" w:asciiTheme="majorEastAsia" w:hAnsiTheme="majorEastAsia" w:eastAsiaTheme="majorEastAsia"/>
                <w:color w:val="000000"/>
                <w:szCs w:val="21"/>
              </w:rPr>
            </w:pPr>
          </w:p>
        </w:tc>
      </w:tr>
      <w:tr>
        <w:tblPrEx>
          <w:tblCellMar>
            <w:top w:w="0" w:type="dxa"/>
            <w:left w:w="0" w:type="dxa"/>
            <w:bottom w:w="0" w:type="dxa"/>
            <w:right w:w="0" w:type="dxa"/>
          </w:tblCellMar>
        </w:tblPrEx>
        <w:trPr>
          <w:trHeight w:val="256" w:hRule="atLeast"/>
        </w:trPr>
        <w:tc>
          <w:tcPr>
            <w:tcW w:w="369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栏次</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3</w:t>
            </w:r>
          </w:p>
        </w:tc>
      </w:tr>
      <w:tr>
        <w:tblPrEx>
          <w:tblCellMar>
            <w:top w:w="0" w:type="dxa"/>
            <w:left w:w="0" w:type="dxa"/>
            <w:bottom w:w="0" w:type="dxa"/>
            <w:right w:w="0" w:type="dxa"/>
          </w:tblCellMar>
        </w:tblPrEx>
        <w:trPr>
          <w:trHeight w:val="478" w:hRule="exact"/>
        </w:trPr>
        <w:tc>
          <w:tcPr>
            <w:tcW w:w="369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after="0" w:line="240" w:lineRule="atLeast"/>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合计</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b/>
                <w:color w:val="000000"/>
                <w:szCs w:val="21"/>
              </w:rPr>
            </w:pPr>
            <w:r>
              <w:rPr>
                <w:rFonts w:hint="eastAsia" w:cs="宋体" w:asciiTheme="majorEastAsia" w:hAnsiTheme="majorEastAsia" w:eastAsiaTheme="majorEastAsia"/>
                <w:b/>
                <w:color w:val="000000"/>
                <w:kern w:val="0"/>
                <w:szCs w:val="21"/>
              </w:rPr>
              <w:t>6126.50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b/>
                <w:color w:val="000000"/>
                <w:szCs w:val="21"/>
              </w:rPr>
            </w:pPr>
            <w:r>
              <w:rPr>
                <w:rFonts w:hint="eastAsia" w:cs="宋体" w:asciiTheme="majorEastAsia" w:hAnsiTheme="majorEastAsia" w:eastAsiaTheme="majorEastAsia"/>
                <w:b/>
                <w:color w:val="000000"/>
                <w:kern w:val="0"/>
                <w:szCs w:val="21"/>
              </w:rPr>
              <w:t>1654.82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b/>
                <w:color w:val="000000"/>
                <w:szCs w:val="21"/>
              </w:rPr>
            </w:pPr>
            <w:r>
              <w:rPr>
                <w:rFonts w:hint="eastAsia" w:cs="宋体" w:asciiTheme="majorEastAsia" w:hAnsiTheme="majorEastAsia" w:eastAsiaTheme="majorEastAsia"/>
                <w:b/>
                <w:color w:val="000000"/>
                <w:kern w:val="0"/>
                <w:szCs w:val="21"/>
              </w:rPr>
              <w:t>4471.69</w:t>
            </w: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208</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社会保障和就业支出</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91.80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91.80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20802</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民政管理事务</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0.61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0.61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2080201</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ind w:firstLine="210" w:firstLineChars="100"/>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行政运行</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0.61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0.61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20805</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行政事业单位离退休</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60.51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60.51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p>
        </w:tc>
      </w:tr>
      <w:tr>
        <w:tblPrEx>
          <w:tblCellMar>
            <w:top w:w="0" w:type="dxa"/>
            <w:left w:w="0" w:type="dxa"/>
            <w:bottom w:w="0" w:type="dxa"/>
            <w:right w:w="0" w:type="dxa"/>
          </w:tblCellMar>
        </w:tblPrEx>
        <w:trPr>
          <w:trHeight w:val="694"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2080505</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机关事业单位基本养老保险缴费支出</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60.51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60.51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20808</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抚恤</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6.83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6.83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2080801</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ind w:firstLine="210" w:firstLineChars="100"/>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死亡抚恤</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6.83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6.83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20827</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财政对其他社会保险基金的补助</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0.60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0.60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2082702</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财政对工伤保险基金的补助</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0.60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0.60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20899</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其他社会保障和就业支出</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23.25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23.25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2089901</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其他社会保障和就业支出</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23.25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23.25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214</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交通运输支出</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6034.70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1563.02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4471.69</w:t>
            </w: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21401</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公路水路运输</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5746.19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1563.02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4183.18</w:t>
            </w: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2140101</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ind w:firstLine="210" w:firstLineChars="100"/>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行政运行</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1326.79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1278.13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48.66</w:t>
            </w: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2140102</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ind w:firstLine="210" w:firstLineChars="100"/>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一般行政管理事务</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43.67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43.67</w:t>
            </w: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2140104</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ind w:firstLine="210" w:firstLineChars="100"/>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公路建设</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2203.00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2203.00</w:t>
            </w: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2140106</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ind w:firstLine="210" w:firstLineChars="100"/>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公路养护</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1557.58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1557.58</w:t>
            </w: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2140112</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ind w:firstLine="210" w:firstLineChars="100"/>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公路运输管理</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12.00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12.00</w:t>
            </w: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2140199</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ind w:firstLine="210" w:firstLineChars="100"/>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其他公路水路运输支出</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603.15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284.89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318.26</w:t>
            </w:r>
          </w:p>
        </w:tc>
      </w:tr>
      <w:tr>
        <w:tblPrEx>
          <w:tblCellMar>
            <w:top w:w="0" w:type="dxa"/>
            <w:left w:w="0" w:type="dxa"/>
            <w:bottom w:w="0" w:type="dxa"/>
            <w:right w:w="0" w:type="dxa"/>
          </w:tblCellMar>
        </w:tblPrEx>
        <w:trPr>
          <w:trHeight w:val="425"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jc w:val="center"/>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21404</w:t>
            </w:r>
          </w:p>
        </w:tc>
        <w:tc>
          <w:tcPr>
            <w:tcW w:w="2701"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textAlignment w:val="center"/>
              <w:rPr>
                <w:rFonts w:cs="宋体" w:asciiTheme="majorEastAsia" w:hAnsiTheme="majorEastAsia" w:eastAsiaTheme="majorEastAsia"/>
                <w:b/>
                <w:bCs/>
                <w:color w:val="000000"/>
                <w:szCs w:val="21"/>
              </w:rPr>
            </w:pPr>
            <w:r>
              <w:rPr>
                <w:rFonts w:hint="eastAsia" w:cs="宋体" w:asciiTheme="majorEastAsia" w:hAnsiTheme="majorEastAsia" w:eastAsiaTheme="majorEastAsia"/>
                <w:b/>
                <w:bCs/>
                <w:color w:val="000000"/>
                <w:kern w:val="0"/>
                <w:szCs w:val="21"/>
              </w:rPr>
              <w:t>成品油价格改革对交通运输的补贴</w:t>
            </w:r>
          </w:p>
        </w:tc>
        <w:tc>
          <w:tcPr>
            <w:tcW w:w="13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288.51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widowControl/>
              <w:jc w:val="right"/>
              <w:textAlignment w:val="center"/>
              <w:rPr>
                <w:rFonts w:cs="宋体" w:asciiTheme="majorEastAsia" w:hAnsiTheme="majorEastAsia" w:eastAsiaTheme="majorEastAsia"/>
                <w:color w:val="000000"/>
                <w:szCs w:val="21"/>
              </w:rPr>
            </w:pPr>
            <w:r>
              <w:rPr>
                <w:rFonts w:hint="eastAsia" w:cs="宋体" w:asciiTheme="majorEastAsia" w:hAnsiTheme="majorEastAsia" w:eastAsiaTheme="majorEastAsia"/>
                <w:color w:val="000000"/>
                <w:kern w:val="0"/>
                <w:szCs w:val="21"/>
              </w:rPr>
              <w:t>288.51</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980"/>
        <w:gridCol w:w="665"/>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部门：无极县交通运输局</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科目编码</w:t>
            </w:r>
          </w:p>
        </w:tc>
        <w:tc>
          <w:tcPr>
            <w:tcW w:w="19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科目名称</w:t>
            </w:r>
          </w:p>
        </w:tc>
        <w:tc>
          <w:tcPr>
            <w:tcW w:w="6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18"/>
                <w:szCs w:val="18"/>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18"/>
                <w:szCs w:val="18"/>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18"/>
                <w:szCs w:val="18"/>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18"/>
                <w:szCs w:val="18"/>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18"/>
                <w:szCs w:val="18"/>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18"/>
                <w:szCs w:val="18"/>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18"/>
                <w:szCs w:val="18"/>
              </w:rPr>
            </w:pPr>
          </w:p>
        </w:tc>
        <w:tc>
          <w:tcPr>
            <w:tcW w:w="19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18"/>
                <w:szCs w:val="18"/>
              </w:rPr>
            </w:pPr>
          </w:p>
        </w:tc>
        <w:tc>
          <w:tcPr>
            <w:tcW w:w="6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sz w:val="18"/>
                <w:szCs w:val="18"/>
              </w:rPr>
            </w:pPr>
            <w:r>
              <w:rPr>
                <w:rFonts w:hint="eastAsia" w:ascii="宋体" w:hAnsi="宋体" w:cs="宋体"/>
                <w:color w:val="000000"/>
                <w:kern w:val="0"/>
                <w:sz w:val="18"/>
                <w:szCs w:val="18"/>
              </w:rPr>
              <w:t>1285.24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278.11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307</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债务利息及费用支出</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806.15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44.14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30701</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国内债务付息</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49.71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8.37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30702</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国外债务付息</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85.88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资本性支出</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0.20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31001</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房屋建筑物购建</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148.92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1.56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31002</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办公设备购置</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89"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75.57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9.58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31003</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专用设备购置</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3.72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11.73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31005</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基础设施建设</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435"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3.98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37.55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31006</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大型修缮</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4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31007</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信息网络及软件购置更新</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4.93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2.41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31008</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物资储备</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8.11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31009</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土地补偿</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442"/>
              </w:tabs>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4.10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31010</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安置补助</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98.26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8.70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31011</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地上附着物和青苗补偿</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91.47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0.14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31012</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拆迁补偿</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1.46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0.31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31013</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公务用车购置</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43.88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31019</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其他交通工具购置</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5.70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31021</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文物和陈列品购置</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6.87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31022</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无形资产购置</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39.26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31099</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其他资本性支出</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10.57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399</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其他支出</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39906</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赠与</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8.68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39907</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国家赔偿费用支出</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400"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7.99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39908</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对民间非营利组织和群众性自治组织补贴</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3.99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39999</w:t>
            </w: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其他支出</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642"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39.72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72.66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c>
          <w:tcPr>
            <w:tcW w:w="19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306" w:hRule="exac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1376.71</w:t>
            </w:r>
          </w:p>
        </w:tc>
        <w:tc>
          <w:tcPr>
            <w:tcW w:w="5520"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公用经费合计</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textAlignment w:val="center"/>
              <w:rPr>
                <w:rFonts w:ascii="宋体" w:hAnsi="宋体" w:cs="宋体"/>
                <w:color w:val="000000"/>
                <w:kern w:val="0"/>
                <w:sz w:val="18"/>
                <w:szCs w:val="18"/>
              </w:rPr>
            </w:pPr>
            <w:r>
              <w:rPr>
                <w:rFonts w:hint="eastAsia" w:ascii="宋体" w:hAnsi="宋体" w:cs="宋体"/>
                <w:color w:val="000000"/>
                <w:kern w:val="0"/>
                <w:sz w:val="18"/>
                <w:szCs w:val="18"/>
              </w:rPr>
              <w:t>278.11</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部门：无极县交通运输局</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3.99</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3.99</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3.99</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597" w:type="dxa"/>
        <w:tblInd w:w="-737" w:type="dxa"/>
        <w:tblLayout w:type="fixed"/>
        <w:tblCellMar>
          <w:top w:w="0" w:type="dxa"/>
          <w:left w:w="0" w:type="dxa"/>
          <w:bottom w:w="0" w:type="dxa"/>
          <w:right w:w="0" w:type="dxa"/>
        </w:tblCellMar>
      </w:tblPr>
      <w:tblGrid>
        <w:gridCol w:w="415"/>
        <w:gridCol w:w="240"/>
        <w:gridCol w:w="240"/>
        <w:gridCol w:w="1477"/>
        <w:gridCol w:w="639"/>
        <w:gridCol w:w="1170"/>
        <w:gridCol w:w="915"/>
        <w:gridCol w:w="849"/>
        <w:gridCol w:w="1192"/>
        <w:gridCol w:w="1192"/>
        <w:gridCol w:w="1268"/>
      </w:tblGrid>
      <w:tr>
        <w:tblPrEx>
          <w:tblCellMar>
            <w:top w:w="0" w:type="dxa"/>
            <w:left w:w="0" w:type="dxa"/>
            <w:bottom w:w="0" w:type="dxa"/>
            <w:right w:w="0" w:type="dxa"/>
          </w:tblCellMar>
        </w:tblPrEx>
        <w:trPr>
          <w:trHeight w:val="707" w:hRule="atLeast"/>
        </w:trPr>
        <w:tc>
          <w:tcPr>
            <w:tcW w:w="9597"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415"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47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809"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915"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4181"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部门：无极县交通运输局</w:t>
            </w:r>
          </w:p>
        </w:tc>
        <w:tc>
          <w:tcPr>
            <w:tcW w:w="915"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3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70"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915"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233"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663" w:hRule="atLeast"/>
        </w:trPr>
        <w:tc>
          <w:tcPr>
            <w:tcW w:w="89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16"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70" w:type="dxa"/>
            <w:vMerge w:val="continue"/>
            <w:tcBorders>
              <w:left w:val="nil"/>
              <w:bottom w:val="nil"/>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15" w:type="dxa"/>
            <w:vMerge w:val="continue"/>
            <w:tcBorders>
              <w:left w:val="nil"/>
              <w:bottom w:val="nil"/>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left w:val="nil"/>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89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2116"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70"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15"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3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9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8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3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 w:val="22"/>
                <w:szCs w:val="22"/>
              </w:rPr>
              <w:t>合计</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290.86</w:t>
            </w:r>
          </w:p>
        </w:tc>
        <w:tc>
          <w:tcPr>
            <w:tcW w:w="9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p>
        </w:tc>
        <w:tc>
          <w:tcPr>
            <w:tcW w:w="8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290.86</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color w:val="000000"/>
                <w:kern w:val="0"/>
                <w:sz w:val="22"/>
                <w:szCs w:val="22"/>
              </w:rPr>
              <w:t>290.86</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p>
        </w:tc>
      </w:tr>
      <w:tr>
        <w:tblPrEx>
          <w:tblCellMar>
            <w:top w:w="0" w:type="dxa"/>
            <w:left w:w="0" w:type="dxa"/>
            <w:bottom w:w="0" w:type="dxa"/>
            <w:right w:w="0" w:type="dxa"/>
          </w:tblCellMar>
        </w:tblPrEx>
        <w:trPr>
          <w:trHeight w:val="590" w:hRule="exac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20"/>
                <w:szCs w:val="20"/>
              </w:rPr>
              <w:t>212</w:t>
            </w:r>
          </w:p>
        </w:tc>
        <w:tc>
          <w:tcPr>
            <w:tcW w:w="21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20"/>
                <w:szCs w:val="20"/>
              </w:rPr>
              <w:t>城乡社区支出</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290.86</w:t>
            </w:r>
          </w:p>
        </w:tc>
        <w:tc>
          <w:tcPr>
            <w:tcW w:w="9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p>
        </w:tc>
        <w:tc>
          <w:tcPr>
            <w:tcW w:w="8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290.86</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290.86</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1120" w:hRule="exac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20"/>
                <w:szCs w:val="20"/>
              </w:rPr>
              <w:t>21208</w:t>
            </w:r>
          </w:p>
        </w:tc>
        <w:tc>
          <w:tcPr>
            <w:tcW w:w="21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b/>
                <w:bCs/>
                <w:color w:val="000000"/>
                <w:sz w:val="20"/>
                <w:szCs w:val="20"/>
              </w:rPr>
            </w:pPr>
            <w:r>
              <w:rPr>
                <w:rFonts w:hint="eastAsia" w:ascii="宋体" w:hAnsi="宋体" w:cs="宋体"/>
                <w:b/>
                <w:bCs/>
                <w:color w:val="000000"/>
                <w:kern w:val="0"/>
                <w:sz w:val="15"/>
                <w:szCs w:val="15"/>
              </w:rPr>
              <w:t>国有土地使用权出让收入及对应专项债务收入安排的支出</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290.86</w:t>
            </w:r>
          </w:p>
        </w:tc>
        <w:tc>
          <w:tcPr>
            <w:tcW w:w="9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p>
        </w:tc>
        <w:tc>
          <w:tcPr>
            <w:tcW w:w="8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290.86</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290.86</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590" w:hRule="exac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2120801</w:t>
            </w:r>
          </w:p>
        </w:tc>
        <w:tc>
          <w:tcPr>
            <w:tcW w:w="21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征地和拆迁补偿支出</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290.86</w:t>
            </w:r>
          </w:p>
        </w:tc>
        <w:tc>
          <w:tcPr>
            <w:tcW w:w="9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p>
        </w:tc>
        <w:tc>
          <w:tcPr>
            <w:tcW w:w="8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290.86</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290.86</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p>
        </w:tc>
      </w:tr>
      <w:tr>
        <w:tblPrEx>
          <w:tblCellMar>
            <w:top w:w="0" w:type="dxa"/>
            <w:left w:w="0" w:type="dxa"/>
            <w:bottom w:w="0" w:type="dxa"/>
            <w:right w:w="0" w:type="dxa"/>
          </w:tblCellMar>
        </w:tblPrEx>
        <w:trPr>
          <w:trHeight w:val="324" w:hRule="atLeast"/>
        </w:trPr>
        <w:tc>
          <w:tcPr>
            <w:tcW w:w="9597"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785" w:type="dxa"/>
        <w:tblInd w:w="15" w:type="dxa"/>
        <w:tblLayout w:type="fixed"/>
        <w:tblCellMar>
          <w:top w:w="0" w:type="dxa"/>
          <w:left w:w="0" w:type="dxa"/>
          <w:bottom w:w="0" w:type="dxa"/>
          <w:right w:w="0" w:type="dxa"/>
        </w:tblCellMar>
      </w:tblPr>
      <w:tblGrid>
        <w:gridCol w:w="427"/>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785"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2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4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编制单位：无极县交通运输局</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09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1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090"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090"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1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1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1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1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1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1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785" w:type="dxa"/>
            <w:gridSpan w:val="11"/>
            <w:tcBorders>
              <w:top w:val="nil"/>
              <w:left w:val="nil"/>
              <w:bottom w:val="nil"/>
              <w:right w:val="nil"/>
            </w:tcBorders>
            <w:shd w:val="clear" w:color="auto" w:fill="auto"/>
            <w:tcMar>
              <w:top w:w="15" w:type="dxa"/>
              <w:left w:w="15" w:type="dxa"/>
              <w:right w:w="15" w:type="dxa"/>
            </w:tcMar>
            <w:vAlign w:val="center"/>
          </w:tcPr>
          <w:p>
            <w:pPr>
              <w:widowControl/>
              <w:jc w:val="left"/>
              <w:rPr>
                <w:rFonts w:ascii="宋体" w:hAnsi="宋体" w:cs="宋体"/>
                <w:color w:val="000000"/>
                <w:kern w:val="0"/>
                <w:szCs w:val="21"/>
              </w:rPr>
            </w:pPr>
            <w:r>
              <w:rPr>
                <w:rFonts w:hint="eastAsia" w:ascii="宋体" w:hAnsi="宋体" w:cs="宋体"/>
                <w:color w:val="000000"/>
                <w:kern w:val="0"/>
                <w:szCs w:val="21"/>
              </w:rPr>
              <w:t>注：本表反映部门本年度国有资本经营预算财政拨款支出情况。本部门本年度无相关支出情况，按要求以空表列式。</w:t>
            </w:r>
          </w:p>
          <w:p>
            <w:pPr>
              <w:widowControl/>
              <w:spacing w:after="0" w:line="240" w:lineRule="auto"/>
              <w:jc w:val="left"/>
              <w:textAlignment w:val="center"/>
              <w:rPr>
                <w:rFonts w:ascii="宋体" w:hAnsi="宋体" w:cs="宋体"/>
                <w:color w:val="000000"/>
                <w:sz w:val="22"/>
                <w:szCs w:val="22"/>
              </w:rPr>
            </w:pP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编制单位：无极县交通运输局</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76" w:hRule="exac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1288.99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1288.99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1288.99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 w:val="20"/>
                <w:szCs w:val="20"/>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76" w:hRule="exac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310.00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310.00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310.00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 w:val="20"/>
                <w:szCs w:val="20"/>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76" w:hRule="exac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838.99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838.99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838.99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 w:val="20"/>
                <w:szCs w:val="20"/>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76" w:hRule="exac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140.00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140.00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140.00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 w:val="20"/>
                <w:szCs w:val="20"/>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8" w:hRule="exac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1271.44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1271.44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1271.44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48" w:hRule="exac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302.90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302.90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302.90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48" w:hRule="exac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837.54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837.54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837.54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48" w:hRule="exac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131.00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131.00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kern w:val="0"/>
                <w:sz w:val="20"/>
                <w:szCs w:val="20"/>
              </w:rPr>
            </w:pPr>
            <w:r>
              <w:rPr>
                <w:rFonts w:hint="eastAsia" w:ascii="宋体" w:hAnsi="宋体" w:cs="宋体"/>
                <w:color w:val="000000"/>
                <w:kern w:val="0"/>
                <w:sz w:val="20"/>
                <w:szCs w:val="20"/>
              </w:rPr>
              <w:t>131.00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0"/>
                <w:szCs w:val="20"/>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rPr>
          <w:sz w:val="72"/>
        </w:rPr>
        <w:pict>
          <v:shape id="_x0000_s1028" o:spid="_x0000_s1028"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本部门2018年度收支总计（含结转和结余）10513.61万元。与2017年度决算相比，收支各增加4356.82万元，增长70.76%，主要原因是加大了公路工程建设力度。</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 w:hAnsi="仿宋" w:eastAsia="仿宋" w:cs="仿宋"/>
          <w:sz w:val="32"/>
          <w:szCs w:val="32"/>
        </w:rPr>
        <w:t>90</w:t>
      </w:r>
      <w:r>
        <w:rPr>
          <w:rFonts w:hint="eastAsia" w:ascii="仿宋_GB2312" w:eastAsia="仿宋_GB2312" w:cs="DengXian-Regular"/>
          <w:sz w:val="32"/>
          <w:szCs w:val="32"/>
        </w:rPr>
        <w:t>61.03万元，其中：财政拨款收入</w:t>
      </w:r>
      <w:r>
        <w:rPr>
          <w:rFonts w:hint="eastAsia" w:ascii="仿宋" w:hAnsi="仿宋" w:eastAsia="仿宋" w:cs="仿宋"/>
          <w:sz w:val="32"/>
          <w:szCs w:val="32"/>
        </w:rPr>
        <w:t>90</w:t>
      </w:r>
      <w:r>
        <w:rPr>
          <w:rFonts w:hint="eastAsia" w:ascii="仿宋_GB2312" w:eastAsia="仿宋_GB2312" w:cs="DengXian-Regular"/>
          <w:sz w:val="32"/>
          <w:szCs w:val="32"/>
        </w:rPr>
        <w:t>17.8万元，占</w:t>
      </w:r>
      <w:r>
        <w:rPr>
          <w:rFonts w:hint="eastAsia" w:ascii="仿宋" w:hAnsi="仿宋" w:eastAsia="仿宋" w:cs="仿宋"/>
          <w:sz w:val="32"/>
          <w:szCs w:val="32"/>
        </w:rPr>
        <w:t>99</w:t>
      </w:r>
      <w:r>
        <w:rPr>
          <w:rFonts w:hint="eastAsia" w:ascii="仿宋_GB2312" w:eastAsia="仿宋_GB2312" w:cs="DengXian-Regular"/>
          <w:sz w:val="32"/>
          <w:szCs w:val="32"/>
        </w:rPr>
        <w:t>.52%；事业收入0万元，占0%；经营收入0万元，占0%；其他收入43.22万元，占0.48%。如图所示：</w:t>
      </w:r>
    </w:p>
    <w:p>
      <w:pPr>
        <w:adjustRightInd w:val="0"/>
        <w:snapToGrid w:val="0"/>
        <w:spacing w:after="0" w:line="240" w:lineRule="auto"/>
        <w:ind w:firstLine="960" w:firstLineChars="300"/>
        <w:rPr>
          <w:rFonts w:ascii="仿宋_GB2312" w:eastAsia="仿宋_GB2312" w:cs="DengXian-Regular"/>
          <w:sz w:val="32"/>
          <w:szCs w:val="32"/>
        </w:rPr>
      </w:pPr>
      <w:r>
        <w:rPr>
          <w:rFonts w:hint="eastAsia" w:ascii="仿宋_GB2312" w:eastAsia="仿宋_GB2312" w:cs="DengXian-Regular"/>
          <w:sz w:val="32"/>
          <w:szCs w:val="32"/>
        </w:rPr>
        <w:drawing>
          <wp:inline distT="0" distB="0" distL="114300" distR="114300">
            <wp:extent cx="4019550" cy="2378075"/>
            <wp:effectExtent l="0" t="0" r="0" b="0"/>
            <wp:docPr id="18" name="图片 18"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片1"/>
                    <pic:cNvPicPr>
                      <a:picLocks noChangeAspect="1"/>
                    </pic:cNvPicPr>
                  </pic:nvPicPr>
                  <pic:blipFill>
                    <a:blip r:embed="rId6"/>
                    <a:stretch>
                      <a:fillRect/>
                    </a:stretch>
                  </pic:blipFill>
                  <pic:spPr>
                    <a:xfrm>
                      <a:off x="0" y="0"/>
                      <a:ext cx="4020510" cy="2378778"/>
                    </a:xfrm>
                    <a:prstGeom prst="rect">
                      <a:avLst/>
                    </a:prstGeom>
                  </pic:spPr>
                </pic:pic>
              </a:graphicData>
            </a:graphic>
          </wp:inline>
        </w:drawing>
      </w:r>
    </w:p>
    <w:p>
      <w:pPr>
        <w:pStyle w:val="3"/>
        <w:spacing w:before="0" w:after="0" w:line="580" w:lineRule="exact"/>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本部门2018年度本年支出合计6417.36万元，其中：基本支出1654.82万元，占25.</w:t>
      </w:r>
      <w:r>
        <w:rPr>
          <w:rFonts w:hint="eastAsia" w:ascii="仿宋" w:hAnsi="仿宋" w:eastAsia="仿宋" w:cs="仿宋"/>
          <w:sz w:val="32"/>
          <w:szCs w:val="32"/>
        </w:rPr>
        <w:t>79</w:t>
      </w:r>
      <w:r>
        <w:rPr>
          <w:rFonts w:hint="eastAsia" w:ascii="仿宋_GB2312" w:eastAsia="仿宋_GB2312" w:cs="DengXian-Regular"/>
          <w:sz w:val="32"/>
          <w:szCs w:val="32"/>
        </w:rPr>
        <w:t>%；项目支出4762.54万元，占74.21%；经营支出0万元，占0%。如图所示：</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inline distT="0" distB="0" distL="114300" distR="114300">
            <wp:extent cx="4316095" cy="2621280"/>
            <wp:effectExtent l="0" t="0" r="8255" b="7620"/>
            <wp:docPr id="19" name="图片 19"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图片2"/>
                    <pic:cNvPicPr>
                      <a:picLocks noChangeAspect="1"/>
                    </pic:cNvPicPr>
                  </pic:nvPicPr>
                  <pic:blipFill>
                    <a:blip r:embed="rId7"/>
                    <a:stretch>
                      <a:fillRect/>
                    </a:stretch>
                  </pic:blipFill>
                  <pic:spPr>
                    <a:xfrm>
                      <a:off x="0" y="0"/>
                      <a:ext cx="4316095" cy="2621280"/>
                    </a:xfrm>
                    <a:prstGeom prst="rect">
                      <a:avLst/>
                    </a:prstGeom>
                  </pic:spPr>
                </pic:pic>
              </a:graphicData>
            </a:graphic>
          </wp:inline>
        </w:drawing>
      </w:r>
    </w:p>
    <w:p>
      <w:pPr>
        <w:pStyle w:val="3"/>
        <w:spacing w:before="0" w:after="0" w:line="580" w:lineRule="exact"/>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仿宋" w:hAnsi="仿宋" w:eastAsia="仿宋" w:cs="仿宋"/>
          <w:sz w:val="32"/>
          <w:szCs w:val="32"/>
        </w:rPr>
        <w:t>90</w:t>
      </w:r>
      <w:r>
        <w:rPr>
          <w:rFonts w:hint="eastAsia" w:ascii="仿宋_GB2312" w:eastAsia="仿宋_GB2312" w:cs="DengXian-Regular"/>
          <w:sz w:val="32"/>
          <w:szCs w:val="32"/>
        </w:rPr>
        <w:t>17.8万元,比2017年度增加3621.62万元，增长54.15%，主要是加大了公路工程建设的投入；本年支出6417.36万元，增加2032.57万元，增长46.36%，主要是加大了公路工程建设力度。</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9017.8万元，比上年增加3621.62万元；主要是加大了公路工程建设力度和人员经费的增加；本年支出6417.36万元，比上年增加2032.57万元，增长46.36%，主要是加大了公路工程建设力度。政府性基金预算财政拨款本年收入0万元，比上年减少453.96万元，降低100%，主要原因是征地补偿款由财政局直接转给乡镇；本年支出6417.36万元，比上年增加2032.57万元，增长46.36%，主要是加大了公路工程建设力度。</w:t>
      </w:r>
    </w:p>
    <w:p>
      <w:pPr>
        <w:adjustRightInd w:val="0"/>
        <w:snapToGrid w:val="0"/>
        <w:spacing w:after="0" w:line="240" w:lineRule="auto"/>
        <w:ind w:firstLine="640" w:firstLineChars="200"/>
        <w:rPr>
          <w:rFonts w:ascii="仿宋_GB2312" w:eastAsia="仿宋_GB2312" w:cs="DengXian-Regular"/>
          <w:sz w:val="32"/>
          <w:szCs w:val="32"/>
        </w:rPr>
      </w:pP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inline distT="0" distB="0" distL="114300" distR="114300">
            <wp:extent cx="4105275" cy="2716530"/>
            <wp:effectExtent l="0" t="0" r="0" b="0"/>
            <wp:docPr id="1" name="图片 1"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图片1"/>
                    <pic:cNvPicPr>
                      <a:picLocks noChangeAspect="1"/>
                    </pic:cNvPicPr>
                  </pic:nvPicPr>
                  <pic:blipFill>
                    <a:blip r:embed="rId8"/>
                    <a:stretch>
                      <a:fillRect/>
                    </a:stretch>
                  </pic:blipFill>
                  <pic:spPr>
                    <a:xfrm>
                      <a:off x="0" y="0"/>
                      <a:ext cx="4111188" cy="2720854"/>
                    </a:xfrm>
                    <a:prstGeom prst="rect">
                      <a:avLst/>
                    </a:prstGeom>
                  </pic:spPr>
                </pic:pic>
              </a:graphicData>
            </a:graphic>
          </wp:inline>
        </w:drawing>
      </w:r>
    </w:p>
    <w:p>
      <w:pPr>
        <w:spacing w:after="0" w:line="580" w:lineRule="exact"/>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仿宋" w:hAnsi="仿宋" w:eastAsia="仿宋" w:cs="仿宋"/>
          <w:sz w:val="32"/>
          <w:szCs w:val="32"/>
        </w:rPr>
        <w:t>90</w:t>
      </w:r>
      <w:r>
        <w:rPr>
          <w:rFonts w:hint="eastAsia" w:ascii="仿宋_GB2312" w:eastAsia="仿宋_GB2312" w:cs="DengXian-Regular"/>
          <w:sz w:val="32"/>
          <w:szCs w:val="32"/>
        </w:rPr>
        <w:t>17.8万元，完成年初预算的268.66%,比年初预算增加5661.27万元，决算数大于预算数主要原因是加大了公路工程建设力度；本年支出6417.36万元，完成年初预算的1</w:t>
      </w:r>
      <w:r>
        <w:rPr>
          <w:rFonts w:hint="eastAsia" w:ascii="仿宋" w:hAnsi="仿宋" w:eastAsia="仿宋" w:cs="仿宋"/>
          <w:sz w:val="32"/>
          <w:szCs w:val="32"/>
        </w:rPr>
        <w:t>91.19</w:t>
      </w:r>
      <w:r>
        <w:rPr>
          <w:rFonts w:hint="eastAsia" w:ascii="仿宋_GB2312" w:eastAsia="仿宋_GB2312" w:cs="DengXian-Regular"/>
          <w:sz w:val="32"/>
          <w:szCs w:val="32"/>
        </w:rPr>
        <w:t>%,比年初预算增加3060.83万元，决算数大于预算数主要原因是加大了公路工程建设力度。</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w:t>
      </w:r>
      <w:r>
        <w:rPr>
          <w:rFonts w:hint="eastAsia" w:ascii="仿宋" w:hAnsi="仿宋" w:eastAsia="仿宋" w:cs="仿宋"/>
          <w:sz w:val="32"/>
          <w:szCs w:val="32"/>
        </w:rPr>
        <w:t>90</w:t>
      </w:r>
      <w:r>
        <w:rPr>
          <w:rFonts w:hint="eastAsia" w:ascii="仿宋_GB2312" w:eastAsia="仿宋_GB2312" w:cs="DengXian-Regular"/>
          <w:sz w:val="32"/>
          <w:szCs w:val="32"/>
        </w:rPr>
        <w:t>17.8万元，完成年初预算的268.66%,比年初预算增加5661.27万元，主要是加大了公路工程建设力度；支出6417.36万元，完成年初预算1</w:t>
      </w:r>
      <w:r>
        <w:rPr>
          <w:rFonts w:hint="eastAsia" w:ascii="仿宋" w:hAnsi="仿宋" w:eastAsia="仿宋" w:cs="仿宋"/>
          <w:sz w:val="32"/>
          <w:szCs w:val="32"/>
        </w:rPr>
        <w:t>91.19</w:t>
      </w:r>
      <w:r>
        <w:rPr>
          <w:rFonts w:hint="eastAsia" w:ascii="仿宋_GB2312" w:eastAsia="仿宋_GB2312" w:cs="DengXian-Regular"/>
          <w:sz w:val="32"/>
          <w:szCs w:val="32"/>
        </w:rPr>
        <w:t>%，比年初预算增加3060.83万元，主要是加大了公路工程建设力度。政府性基金预算财政拨款本年收入</w:t>
      </w:r>
      <w:r>
        <w:rPr>
          <w:rFonts w:ascii="仿宋_GB2312" w:eastAsia="仿宋_GB2312" w:cs="DengXian-Regular"/>
          <w:sz w:val="32"/>
          <w:szCs w:val="32"/>
        </w:rPr>
        <w:t>0</w:t>
      </w:r>
      <w:r>
        <w:rPr>
          <w:rFonts w:hint="eastAsia" w:ascii="仿宋_GB2312" w:eastAsia="仿宋_GB2312" w:cs="DengXian-Regular"/>
          <w:sz w:val="32"/>
          <w:szCs w:val="32"/>
        </w:rPr>
        <w:t>万元，完成年初预算1</w:t>
      </w:r>
      <w:r>
        <w:rPr>
          <w:rFonts w:ascii="仿宋_GB2312" w:eastAsia="仿宋_GB2312" w:cs="DengXian-Regular"/>
          <w:sz w:val="32"/>
          <w:szCs w:val="32"/>
        </w:rPr>
        <w:t>00</w:t>
      </w:r>
      <w:r>
        <w:rPr>
          <w:rFonts w:hint="eastAsia" w:ascii="仿宋_GB2312" w:eastAsia="仿宋_GB2312" w:cs="DengXian-Regular"/>
          <w:sz w:val="32"/>
          <w:szCs w:val="32"/>
        </w:rPr>
        <w:t>%，与年初预算持平，主要原因是征地补偿款由财政局直接转给乡镇；支出</w:t>
      </w:r>
      <w:r>
        <w:rPr>
          <w:rFonts w:ascii="仿宋_GB2312" w:eastAsia="仿宋_GB2312" w:cs="DengXian-Regular"/>
          <w:sz w:val="32"/>
          <w:szCs w:val="32"/>
        </w:rPr>
        <w:t>0</w:t>
      </w:r>
      <w:r>
        <w:rPr>
          <w:rFonts w:hint="eastAsia" w:ascii="仿宋_GB2312" w:eastAsia="仿宋_GB2312" w:cs="DengXian-Regular"/>
          <w:sz w:val="32"/>
          <w:szCs w:val="32"/>
        </w:rPr>
        <w:t>万元，完成年初预算</w:t>
      </w:r>
      <w:r>
        <w:rPr>
          <w:rFonts w:ascii="仿宋_GB2312" w:eastAsia="仿宋_GB2312" w:cs="DengXian-Regular"/>
          <w:sz w:val="32"/>
          <w:szCs w:val="32"/>
        </w:rPr>
        <w:t>100</w:t>
      </w:r>
      <w:r>
        <w:rPr>
          <w:rFonts w:hint="eastAsia" w:ascii="仿宋_GB2312" w:eastAsia="仿宋_GB2312" w:cs="DengXian-Regular"/>
          <w:sz w:val="32"/>
          <w:szCs w:val="32"/>
        </w:rPr>
        <w:t>%，与年初预算持平，主要原因是征地补偿款由财政局直接转给乡镇。</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240" w:lineRule="auto"/>
        <w:ind w:firstLine="2240" w:firstLineChars="700"/>
        <w:rPr>
          <w:rFonts w:ascii="仿宋_GB2312" w:eastAsia="仿宋_GB2312" w:cs="DengXian-Regular"/>
          <w:sz w:val="32"/>
          <w:szCs w:val="32"/>
          <w:highlight w:val="yellow"/>
        </w:rPr>
      </w:pPr>
      <w:r>
        <w:rPr>
          <w:rFonts w:hint="eastAsia" w:ascii="仿宋_GB2312" w:eastAsia="仿宋_GB2312" w:cs="DengXian-Regular"/>
          <w:sz w:val="32"/>
          <w:szCs w:val="32"/>
        </w:rPr>
        <w:drawing>
          <wp:inline distT="0" distB="0" distL="114300" distR="114300">
            <wp:extent cx="3505200" cy="2759075"/>
            <wp:effectExtent l="0" t="0" r="0" b="0"/>
            <wp:docPr id="24" name="图片 24"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图片4"/>
                    <pic:cNvPicPr>
                      <a:picLocks noChangeAspect="1"/>
                    </pic:cNvPicPr>
                  </pic:nvPicPr>
                  <pic:blipFill>
                    <a:blip r:embed="rId9"/>
                    <a:stretch>
                      <a:fillRect/>
                    </a:stretch>
                  </pic:blipFill>
                  <pic:spPr>
                    <a:xfrm>
                      <a:off x="0" y="0"/>
                      <a:ext cx="3518655" cy="2769853"/>
                    </a:xfrm>
                    <a:prstGeom prst="rect">
                      <a:avLst/>
                    </a:prstGeom>
                  </pic:spPr>
                </pic:pic>
              </a:graphicData>
            </a:graphic>
          </wp:inline>
        </w:drawing>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rPr>
          <w:rFonts w:ascii="楷体_GB2312" w:eastAsia="楷体_GB2312" w:cs="DengXian-Bold"/>
          <w:b/>
          <w:bCs/>
          <w:sz w:val="32"/>
          <w:szCs w:val="32"/>
        </w:rPr>
      </w:pPr>
      <w:r>
        <w:rPr>
          <w:rFonts w:hint="eastAsia" w:ascii="楷体_GB2312" w:eastAsia="楷体_GB2312" w:cs="DengXian-Bold"/>
          <w:b/>
          <w:bCs/>
          <w:sz w:val="32"/>
          <w:szCs w:val="32"/>
        </w:rPr>
        <w:t>（三）财政拨款支出决算结构情况。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年度财政拨款支出6417.36万元，主要用于以下方面：社会保障和就业支出</w:t>
      </w:r>
      <w:r>
        <w:rPr>
          <w:rFonts w:hint="eastAsia" w:ascii="仿宋" w:hAnsi="仿宋" w:eastAsia="仿宋" w:cs="仿宋"/>
          <w:sz w:val="32"/>
          <w:szCs w:val="32"/>
        </w:rPr>
        <w:t>9</w:t>
      </w:r>
      <w:r>
        <w:rPr>
          <w:rFonts w:hint="eastAsia" w:ascii="仿宋_GB2312" w:eastAsia="仿宋_GB2312" w:cs="DengXian-Regular"/>
          <w:sz w:val="32"/>
          <w:szCs w:val="32"/>
        </w:rPr>
        <w:t>1.8万元，占1.43%；城乡社区支出2</w:t>
      </w:r>
      <w:r>
        <w:rPr>
          <w:rFonts w:hint="eastAsia" w:ascii="仿宋" w:hAnsi="仿宋" w:eastAsia="仿宋" w:cs="仿宋"/>
          <w:sz w:val="32"/>
          <w:szCs w:val="32"/>
        </w:rPr>
        <w:t>9</w:t>
      </w:r>
      <w:r>
        <w:rPr>
          <w:rFonts w:hint="eastAsia" w:ascii="仿宋_GB2312" w:eastAsia="仿宋_GB2312" w:cs="DengXian-Regular"/>
          <w:sz w:val="32"/>
          <w:szCs w:val="32"/>
        </w:rPr>
        <w:t>0.86万元，占4.53%；交通运输支出6034.7万元，占</w:t>
      </w:r>
      <w:r>
        <w:rPr>
          <w:rFonts w:hint="eastAsia" w:ascii="仿宋" w:hAnsi="仿宋" w:eastAsia="仿宋" w:cs="仿宋"/>
          <w:sz w:val="32"/>
          <w:szCs w:val="32"/>
        </w:rPr>
        <w:t>9</w:t>
      </w:r>
      <w:r>
        <w:rPr>
          <w:rFonts w:hint="eastAsia" w:ascii="仿宋_GB2312" w:eastAsia="仿宋_GB2312" w:cs="DengXian-Regular"/>
          <w:sz w:val="32"/>
          <w:szCs w:val="32"/>
        </w:rPr>
        <w:t>4.04%。</w: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240" w:lineRule="auto"/>
        <w:ind w:firstLine="1928" w:firstLineChars="600"/>
        <w:rPr>
          <w:rFonts w:ascii="楷体_GB2312" w:eastAsia="楷体_GB2312" w:cs="DengXian-Bold"/>
          <w:b/>
          <w:bCs/>
          <w:sz w:val="32"/>
          <w:szCs w:val="32"/>
        </w:rPr>
      </w:pPr>
      <w:r>
        <w:rPr>
          <w:rFonts w:hint="eastAsia" w:ascii="楷体_GB2312" w:eastAsia="楷体_GB2312" w:cs="DengXian-Bold"/>
          <w:b/>
          <w:bCs/>
          <w:sz w:val="32"/>
          <w:szCs w:val="32"/>
        </w:rPr>
        <w:drawing>
          <wp:inline distT="0" distB="0" distL="114300" distR="114300">
            <wp:extent cx="2847975" cy="2189480"/>
            <wp:effectExtent l="0" t="0" r="0" b="0"/>
            <wp:docPr id="2" name="图片 2" descr="图片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5"/>
                    <pic:cNvPicPr>
                      <a:picLocks noChangeAspect="1"/>
                    </pic:cNvPicPr>
                  </pic:nvPicPr>
                  <pic:blipFill>
                    <a:blip r:embed="rId10"/>
                    <a:stretch>
                      <a:fillRect/>
                    </a:stretch>
                  </pic:blipFill>
                  <pic:spPr>
                    <a:xfrm>
                      <a:off x="0" y="0"/>
                      <a:ext cx="2854814" cy="2194876"/>
                    </a:xfrm>
                    <a:prstGeom prst="rect">
                      <a:avLst/>
                    </a:prstGeom>
                  </pic:spPr>
                </pic:pic>
              </a:graphicData>
            </a:graphic>
          </wp:inline>
        </w:drawing>
      </w:r>
    </w:p>
    <w:p>
      <w:pPr>
        <w:adjustRightInd w:val="0"/>
        <w:snapToGrid w:val="0"/>
        <w:spacing w:after="0" w:line="580" w:lineRule="exact"/>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1654.82万元，其中：人员经费1376.71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278.11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 w:hAnsi="仿宋" w:eastAsia="仿宋" w:cs="仿宋"/>
          <w:sz w:val="32"/>
          <w:szCs w:val="32"/>
        </w:rPr>
        <w:t>3.99万元，较年初预算减少2.01万元，降低33.5%，</w:t>
      </w:r>
      <w:r>
        <w:rPr>
          <w:rFonts w:hint="eastAsia" w:ascii="仿宋_GB2312" w:eastAsia="仿宋_GB2312" w:cs="DengXian-Regular"/>
          <w:sz w:val="32"/>
          <w:szCs w:val="32"/>
        </w:rPr>
        <w:t>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widowControl/>
        <w:ind w:firstLine="643" w:firstLineChars="200"/>
        <w:jc w:val="left"/>
        <w:rPr>
          <w:rFonts w:ascii="仿宋_GB2312" w:eastAsia="仿宋_GB2312" w:cs="DengXian-Bold"/>
          <w:b/>
          <w:bCs/>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w:t>
      </w:r>
      <w:r>
        <w:rPr>
          <w:rFonts w:ascii="仿宋_GB2312" w:hAnsi="宋体" w:eastAsia="仿宋_GB2312" w:cs="仿宋_GB2312"/>
          <w:color w:val="000000"/>
          <w:kern w:val="0"/>
          <w:sz w:val="31"/>
          <w:szCs w:val="31"/>
        </w:rPr>
        <w:t>未发生因公出国（境）费用</w:t>
      </w:r>
      <w:r>
        <w:rPr>
          <w:rFonts w:hint="eastAsia" w:ascii="仿宋_GB2312" w:hAnsi="宋体" w:eastAsia="仿宋_GB2312" w:cs="仿宋_GB2312"/>
          <w:color w:val="000000"/>
          <w:kern w:val="0"/>
          <w:sz w:val="31"/>
          <w:szCs w:val="31"/>
        </w:rPr>
        <w:t>，与年初预算持平，无增减变化。</w:t>
      </w:r>
    </w:p>
    <w:p>
      <w:pPr>
        <w:widowControl/>
        <w:ind w:firstLine="321" w:firstLineChars="100"/>
        <w:jc w:val="left"/>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（二）公务用车购置及运行维护费支出3.99万元。</w:t>
      </w:r>
      <w:r>
        <w:rPr>
          <w:rFonts w:hint="eastAsia" w:ascii="仿宋_GB2312" w:eastAsia="仿宋_GB2312" w:cs="DengXian-Regular"/>
          <w:sz w:val="32"/>
          <w:szCs w:val="32"/>
        </w:rPr>
        <w:t>本部门2018年度公务用车购置及运行维护费较年初预算减少2.01万元，降低33.5%,主要是公车改革，压缩开支。</w:t>
      </w:r>
      <w:r>
        <w:rPr>
          <w:rFonts w:hint="eastAsia" w:ascii="仿宋_GB2312" w:eastAsia="仿宋_GB2312" w:cs="DengXian-Bold"/>
          <w:b/>
          <w:bCs/>
          <w:sz w:val="32"/>
          <w:szCs w:val="32"/>
        </w:rPr>
        <w:t>其中：</w:t>
      </w:r>
    </w:p>
    <w:p>
      <w:pPr>
        <w:widowControl/>
        <w:ind w:firstLine="643" w:firstLineChars="200"/>
        <w:jc w:val="left"/>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本部门2018年度公务用车购置量0辆，未发生“公务用车购置”经费支出，与年初预算持平。</w:t>
      </w:r>
    </w:p>
    <w:p>
      <w:pPr>
        <w:widowControl/>
        <w:ind w:firstLine="643" w:firstLineChars="200"/>
        <w:jc w:val="left"/>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本部门2018年度单位公务用车保有量2辆。公车运行维护费支出3.99万元，较年初预算减少2.01万元，降低33.5%,主要是认真贯彻落实中央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w:t>
      </w:r>
      <w:r>
        <w:rPr>
          <w:rFonts w:ascii="仿宋_GB2312" w:eastAsia="仿宋_GB2312" w:cs="DengXian-Regular"/>
          <w:sz w:val="32"/>
          <w:szCs w:val="32"/>
        </w:rPr>
        <w:t>严控制“三公”经费开支</w:t>
      </w:r>
      <w:r>
        <w:rPr>
          <w:rFonts w:hint="eastAsia" w:ascii="楷体_GB2312" w:eastAsia="楷体_GB2312" w:cs="DengXian-Bold"/>
          <w:b/>
          <w:bCs/>
          <w:sz w:val="32"/>
          <w:szCs w:val="32"/>
        </w:rPr>
        <w:t>。</w:t>
      </w:r>
    </w:p>
    <w:p>
      <w:pPr>
        <w:widowControl/>
        <w:ind w:firstLine="643" w:firstLineChars="200"/>
        <w:jc w:val="left"/>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本部门2018年度公务接待共0批次、0人次。本年</w:t>
      </w:r>
      <w:r>
        <w:rPr>
          <w:rFonts w:ascii="仿宋_GB2312" w:hAnsi="宋体" w:eastAsia="仿宋_GB2312" w:cs="仿宋_GB2312"/>
          <w:color w:val="000000"/>
          <w:kern w:val="0"/>
          <w:sz w:val="31"/>
          <w:szCs w:val="31"/>
        </w:rPr>
        <w:t>未发生公务接待费</w:t>
      </w:r>
      <w:r>
        <w:rPr>
          <w:rFonts w:hint="eastAsia" w:ascii="仿宋_GB2312" w:hAnsi="宋体" w:eastAsia="仿宋_GB2312" w:cs="仿宋_GB2312"/>
          <w:color w:val="000000"/>
          <w:kern w:val="0"/>
          <w:sz w:val="31"/>
          <w:szCs w:val="31"/>
        </w:rPr>
        <w:t>，与年初预算持平。</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公路占地补偿、农村公路建设、无极县正无路至史村道路改建工程、农村路网改建工程等44个项目，涉及资金4471.</w:t>
      </w:r>
      <w:r>
        <w:rPr>
          <w:rFonts w:hint="eastAsia" w:ascii="仿宋" w:hAnsi="仿宋" w:eastAsia="仿宋" w:cs="仿宋"/>
          <w:sz w:val="32"/>
          <w:szCs w:val="32"/>
        </w:rPr>
        <w:t>69</w:t>
      </w:r>
      <w:r>
        <w:rPr>
          <w:rFonts w:hint="eastAsia" w:ascii="仿宋_GB2312" w:eastAsia="仿宋_GB2312" w:cs="DengXian-Regular"/>
          <w:sz w:val="32"/>
          <w:szCs w:val="32"/>
        </w:rPr>
        <w:t>万元。从评价情况看，评价结果为优秀的项目有4个，良好的项目有32个，一般的项目有8个。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本单位公路占地补偿项目绩效自评：根据年初设定的绩效目标，公路占地补偿项目自评结果为优秀。项目全年预算数为290.86万元。完成预算的100%。主要产出和效果是占地补偿款足额到位。</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本单位农村公路建设项目绩效自评：根据年初设定的绩效目标，农村公路建设项目自评结果为优秀。项目全年预算数为300万元。完成预算的60.73%。主要产出和效果是农村道路更加通畅，方便了出行。</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本单位无极县正无路至史村道路改建工程项目绩效自评：根据年初设定的绩效目标，农村公路建设项目自评结果为优秀。项目全年预算数为200万元。完成预算的100%。主要产出和效果是道路通畅，方便了出行。</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本单位农村路网改建工程项目绩效自评：根据年初设定的绩效目标，农村公路建设项目自评结果为优秀。项目全年预算数为750万元。完成预算的</w:t>
      </w:r>
      <w:r>
        <w:rPr>
          <w:rFonts w:hint="eastAsia" w:ascii="仿宋" w:hAnsi="仿宋" w:eastAsia="仿宋" w:cs="仿宋"/>
          <w:sz w:val="32"/>
          <w:szCs w:val="32"/>
        </w:rPr>
        <w:t>9</w:t>
      </w:r>
      <w:r>
        <w:rPr>
          <w:rFonts w:hint="eastAsia" w:ascii="仿宋_GB2312" w:eastAsia="仿宋_GB2312" w:cs="DengXian-Regular"/>
          <w:sz w:val="32"/>
          <w:szCs w:val="32"/>
        </w:rPr>
        <w:t>3.75%。主要产出和效果是为农村公路营造了“畅、洁、绿、美”的氛围。</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未发现其他问题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cs="DengXian-Regular"/>
          <w:sz w:val="32"/>
          <w:szCs w:val="32"/>
        </w:rPr>
        <w:t>本部门2018年度机关运行经费支出64.45万元，比年初预算数增加53.35万元，增长480.63%。主要原因是年初预算只做了公车补贴，</w:t>
      </w:r>
      <w:r>
        <w:rPr>
          <w:rFonts w:hint="eastAsia" w:ascii="仿宋_GB2312" w:eastAsia="仿宋_GB2312" w:hAnsiTheme="majorEastAsia"/>
          <w:color w:val="000000"/>
          <w:kern w:val="0"/>
          <w:sz w:val="32"/>
          <w:szCs w:val="32"/>
        </w:rPr>
        <w:t>办公及印刷费、邮电费、差旅费、会议费、福利费、日常维修费、专用材料以及一般设备购置费、办公用房水电费、办公用房取暖费、办公用房物业管理费、公务用车运行维护费以及其他费用未列入预算。</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hAnsi="仿宋_GB2312" w:eastAsia="仿宋_GB2312" w:cs="仿宋_GB2312"/>
          <w:color w:val="000000"/>
          <w:kern w:val="0"/>
          <w:sz w:val="32"/>
          <w:szCs w:val="32"/>
        </w:rPr>
      </w:pPr>
      <w:r>
        <w:rPr>
          <w:rFonts w:hint="eastAsia" w:ascii="仿宋_GB2312" w:eastAsia="仿宋_GB2312" w:cs="DengXian-Regular"/>
          <w:sz w:val="32"/>
          <w:szCs w:val="32"/>
        </w:rPr>
        <w:t>本部门2018年度政府采购支出总额1271.44万元，从采购类型来看，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30</w:t>
      </w:r>
      <w:r>
        <w:rPr>
          <w:rFonts w:hint="eastAsia" w:ascii="仿宋" w:hAnsi="仿宋" w:eastAsia="仿宋" w:cs="仿宋"/>
          <w:color w:val="000000"/>
          <w:kern w:val="0"/>
          <w:sz w:val="32"/>
          <w:szCs w:val="32"/>
        </w:rPr>
        <w:t>2.9</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837.54</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131</w:t>
      </w:r>
      <w:r>
        <w:rPr>
          <w:rFonts w:ascii="仿宋_GB2312" w:hAnsi="仿宋_GB2312" w:eastAsia="仿宋_GB2312" w:cs="仿宋_GB2312"/>
          <w:color w:val="000000"/>
          <w:kern w:val="0"/>
          <w:sz w:val="32"/>
          <w:szCs w:val="32"/>
        </w:rPr>
        <w:t xml:space="preserve"> 万元。</w:t>
      </w:r>
      <w:r>
        <w:rPr>
          <w:rFonts w:hint="eastAsia" w:ascii="仿宋" w:hAnsi="仿宋" w:eastAsia="仿宋" w:cs="微软雅黑"/>
          <w:sz w:val="32"/>
          <w:szCs w:val="32"/>
        </w:rPr>
        <w:t>授予</w:t>
      </w:r>
      <w:r>
        <w:rPr>
          <w:rFonts w:hint="eastAsia" w:ascii="仿宋" w:hAnsi="仿宋" w:eastAsia="仿宋" w:cs="___WRD_EMBED_SUB_48"/>
          <w:sz w:val="32"/>
          <w:szCs w:val="32"/>
        </w:rPr>
        <w:t>中小企业合</w:t>
      </w:r>
      <w:r>
        <w:rPr>
          <w:rFonts w:hint="eastAsia" w:ascii="仿宋" w:hAnsi="仿宋" w:eastAsia="仿宋" w:cs="微软雅黑"/>
          <w:sz w:val="32"/>
          <w:szCs w:val="32"/>
        </w:rPr>
        <w:t>同</w:t>
      </w:r>
      <w:r>
        <w:rPr>
          <w:rFonts w:hint="eastAsia" w:ascii="仿宋" w:hAnsi="仿宋" w:eastAsia="仿宋" w:cs="___WRD_EMBED_SUB_48"/>
          <w:sz w:val="32"/>
          <w:szCs w:val="32"/>
        </w:rPr>
        <w:t>金</w:t>
      </w:r>
      <w:r>
        <w:rPr>
          <w:rFonts w:hint="eastAsia" w:ascii="仿宋_GB2312" w:eastAsia="仿宋_GB2312" w:cs="DengXian-Regular"/>
          <w:sz w:val="32"/>
          <w:szCs w:val="32"/>
        </w:rPr>
        <w:t>1271.44</w:t>
      </w:r>
      <w:r>
        <w:rPr>
          <w:rFonts w:ascii="仿宋" w:hAnsi="仿宋" w:eastAsia="仿宋" w:cs="DengXian-Regular"/>
          <w:sz w:val="32"/>
          <w:szCs w:val="32"/>
        </w:rPr>
        <w:t>万元，占政府采购支出总额的100</w:t>
      </w:r>
      <w:r>
        <w:rPr>
          <w:rFonts w:hint="eastAsia" w:ascii="仿宋" w:hAnsi="仿宋" w:eastAsia="仿宋" w:cs="DengXian-Regular"/>
          <w:sz w:val="32"/>
          <w:szCs w:val="32"/>
        </w:rPr>
        <w:t>%，</w:t>
      </w:r>
      <w:r>
        <w:rPr>
          <w:rFonts w:ascii="仿宋" w:hAnsi="仿宋" w:eastAsia="仿宋" w:cs="DengXian-Regular"/>
          <w:sz w:val="32"/>
          <w:szCs w:val="32"/>
        </w:rPr>
        <w:t>其中</w:t>
      </w:r>
      <w:r>
        <w:rPr>
          <w:rFonts w:hint="eastAsia" w:ascii="仿宋" w:hAnsi="仿宋" w:eastAsia="仿宋" w:cs="微软雅黑"/>
          <w:sz w:val="32"/>
          <w:szCs w:val="32"/>
        </w:rPr>
        <w:t>授予</w:t>
      </w:r>
      <w:r>
        <w:rPr>
          <w:rFonts w:hint="eastAsia" w:ascii="仿宋" w:hAnsi="仿宋" w:eastAsia="仿宋" w:cs="___WRD_EMBED_SUB_48"/>
          <w:sz w:val="32"/>
          <w:szCs w:val="32"/>
        </w:rPr>
        <w:t>小</w:t>
      </w:r>
      <w:r>
        <w:rPr>
          <w:rFonts w:hint="eastAsia" w:ascii="仿宋" w:hAnsi="仿宋" w:eastAsia="仿宋" w:cs="微软雅黑"/>
          <w:sz w:val="32"/>
          <w:szCs w:val="32"/>
        </w:rPr>
        <w:t>微</w:t>
      </w:r>
      <w:r>
        <w:rPr>
          <w:rFonts w:hint="eastAsia" w:ascii="仿宋" w:hAnsi="仿宋" w:eastAsia="仿宋" w:cs="___WRD_EMBED_SUB_48"/>
          <w:sz w:val="32"/>
          <w:szCs w:val="32"/>
        </w:rPr>
        <w:t>企业</w:t>
      </w:r>
      <w:r>
        <w:rPr>
          <w:rFonts w:ascii="仿宋" w:hAnsi="仿宋" w:eastAsia="仿宋" w:cs="DengXian-Regular"/>
          <w:sz w:val="32"/>
          <w:szCs w:val="32"/>
        </w:rPr>
        <w:t>合</w:t>
      </w:r>
      <w:r>
        <w:rPr>
          <w:rFonts w:hint="eastAsia" w:ascii="仿宋" w:hAnsi="仿宋" w:eastAsia="仿宋" w:cs="微软雅黑"/>
          <w:sz w:val="32"/>
          <w:szCs w:val="32"/>
        </w:rPr>
        <w:t>同</w:t>
      </w:r>
      <w:r>
        <w:rPr>
          <w:rFonts w:hint="eastAsia" w:ascii="仿宋" w:hAnsi="仿宋" w:eastAsia="仿宋" w:cs="___WRD_EMBED_SUB_48"/>
          <w:sz w:val="32"/>
          <w:szCs w:val="32"/>
        </w:rPr>
        <w:t>金额</w:t>
      </w:r>
      <w:r>
        <w:rPr>
          <w:rFonts w:ascii="仿宋" w:hAnsi="仿宋" w:eastAsia="仿宋" w:cs="DengXian-Regular"/>
          <w:sz w:val="32"/>
          <w:szCs w:val="32"/>
        </w:rPr>
        <w:t>0万元，占政府采购支出总额的 0%。</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_GB2312" w:eastAsia="仿宋_GB2312" w:cs="DengXian-Regular"/>
          <w:sz w:val="32"/>
          <w:szCs w:val="32"/>
        </w:rPr>
        <w:t>截至2018年12月31日，本部门共有车辆</w:t>
      </w:r>
      <w:r>
        <w:rPr>
          <w:rFonts w:ascii="仿宋_GB2312" w:eastAsia="仿宋_GB2312" w:cs="DengXian-Regular"/>
          <w:sz w:val="32"/>
          <w:szCs w:val="32"/>
        </w:rPr>
        <w:t>23</w:t>
      </w:r>
      <w:r>
        <w:rPr>
          <w:rFonts w:hint="eastAsia" w:ascii="仿宋_GB2312" w:eastAsia="仿宋_GB2312" w:cs="DengXian-Regular"/>
          <w:sz w:val="32"/>
          <w:szCs w:val="32"/>
        </w:rPr>
        <w:t>辆，比上年增加2辆，主要是办公需求，购置其他车辆2辆。其中，</w:t>
      </w:r>
      <w:r>
        <w:rPr>
          <w:rFonts w:hint="eastAsia" w:ascii="仿宋" w:hAnsi="仿宋" w:eastAsia="仿宋" w:cs="DengXian-Regular"/>
          <w:sz w:val="32"/>
          <w:szCs w:val="32"/>
        </w:rPr>
        <w:t>副部（省）级及以上领导用车</w:t>
      </w:r>
      <w:r>
        <w:rPr>
          <w:rFonts w:ascii="仿宋" w:hAnsi="仿宋" w:eastAsia="仿宋" w:cs="DengXian-Regular"/>
          <w:sz w:val="32"/>
          <w:szCs w:val="32"/>
        </w:rPr>
        <w:t>0</w:t>
      </w:r>
      <w:r>
        <w:rPr>
          <w:rFonts w:hint="eastAsia" w:ascii="仿宋" w:hAnsi="仿宋" w:eastAsia="仿宋" w:cs="DengXian-Regular"/>
          <w:sz w:val="32"/>
          <w:szCs w:val="32"/>
        </w:rPr>
        <w:t>辆，主要领导干部用车</w:t>
      </w:r>
      <w:r>
        <w:rPr>
          <w:rFonts w:ascii="仿宋" w:hAnsi="仿宋" w:eastAsia="仿宋" w:cs="DengXian-Regular"/>
          <w:sz w:val="32"/>
          <w:szCs w:val="32"/>
        </w:rPr>
        <w:t>1</w:t>
      </w:r>
      <w:r>
        <w:rPr>
          <w:rFonts w:hint="eastAsia" w:ascii="仿宋" w:hAnsi="仿宋" w:eastAsia="仿宋" w:cs="DengXian-Regular"/>
          <w:sz w:val="32"/>
          <w:szCs w:val="32"/>
        </w:rPr>
        <w:t>辆，机要通信用车</w:t>
      </w:r>
      <w:r>
        <w:rPr>
          <w:rFonts w:ascii="仿宋" w:hAnsi="仿宋" w:eastAsia="仿宋" w:cs="DengXian-Regular"/>
          <w:sz w:val="32"/>
          <w:szCs w:val="32"/>
        </w:rPr>
        <w:t>0</w:t>
      </w:r>
      <w:r>
        <w:rPr>
          <w:rFonts w:hint="eastAsia" w:ascii="仿宋" w:hAnsi="仿宋" w:eastAsia="仿宋" w:cs="DengXian-Regular"/>
          <w:sz w:val="32"/>
          <w:szCs w:val="32"/>
        </w:rPr>
        <w:t>辆，应急保障用车</w:t>
      </w:r>
      <w:r>
        <w:rPr>
          <w:rFonts w:ascii="仿宋" w:hAnsi="仿宋" w:eastAsia="仿宋" w:cs="DengXian-Regular"/>
          <w:sz w:val="32"/>
          <w:szCs w:val="32"/>
        </w:rPr>
        <w:t>1</w:t>
      </w:r>
      <w:r>
        <w:rPr>
          <w:rFonts w:hint="eastAsia" w:ascii="仿宋" w:hAnsi="仿宋" w:eastAsia="仿宋" w:cs="DengXian-Regular"/>
          <w:sz w:val="32"/>
          <w:szCs w:val="32"/>
        </w:rPr>
        <w:t>辆，执法执勤用车</w:t>
      </w:r>
      <w:r>
        <w:rPr>
          <w:rFonts w:ascii="仿宋" w:hAnsi="仿宋" w:eastAsia="仿宋" w:cs="DengXian-Regular"/>
          <w:sz w:val="32"/>
          <w:szCs w:val="32"/>
        </w:rPr>
        <w:t>7</w:t>
      </w:r>
      <w:r>
        <w:rPr>
          <w:rFonts w:hint="eastAsia" w:ascii="仿宋" w:hAnsi="仿宋" w:eastAsia="仿宋" w:cs="DengXian-Regular"/>
          <w:sz w:val="32"/>
          <w:szCs w:val="32"/>
        </w:rPr>
        <w:t>辆，特种专业技术用车</w:t>
      </w:r>
      <w:r>
        <w:rPr>
          <w:rFonts w:ascii="仿宋" w:hAnsi="仿宋" w:eastAsia="仿宋" w:cs="DengXian-Regular"/>
          <w:sz w:val="32"/>
          <w:szCs w:val="32"/>
        </w:rPr>
        <w:t>0</w:t>
      </w:r>
      <w:r>
        <w:rPr>
          <w:rFonts w:hint="eastAsia" w:ascii="仿宋" w:hAnsi="仿宋" w:eastAsia="仿宋" w:cs="DengXian-Regular"/>
          <w:sz w:val="32"/>
          <w:szCs w:val="32"/>
        </w:rPr>
        <w:t>辆，离退休干部用车</w:t>
      </w:r>
      <w:r>
        <w:rPr>
          <w:rFonts w:ascii="仿宋" w:hAnsi="仿宋" w:eastAsia="仿宋" w:cs="DengXian-Regular"/>
          <w:sz w:val="32"/>
          <w:szCs w:val="32"/>
        </w:rPr>
        <w:t>0</w:t>
      </w:r>
      <w:r>
        <w:rPr>
          <w:rFonts w:hint="eastAsia" w:ascii="仿宋" w:hAnsi="仿宋" w:eastAsia="仿宋" w:cs="DengXian-Regular"/>
          <w:sz w:val="32"/>
          <w:szCs w:val="32"/>
        </w:rPr>
        <w:t>辆，其他用车</w:t>
      </w:r>
      <w:r>
        <w:rPr>
          <w:rFonts w:ascii="仿宋" w:hAnsi="仿宋" w:eastAsia="仿宋" w:cs="DengXian-Regular"/>
          <w:sz w:val="32"/>
          <w:szCs w:val="32"/>
        </w:rPr>
        <w:t>14</w:t>
      </w:r>
      <w:r>
        <w:rPr>
          <w:rFonts w:hint="eastAsia" w:ascii="仿宋" w:hAnsi="仿宋" w:eastAsia="仿宋" w:cs="DengXian-Regular"/>
          <w:sz w:val="32"/>
          <w:szCs w:val="32"/>
        </w:rPr>
        <w:t>辆，其他用车主要是机械施工车辆等。</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 w:hAnsi="仿宋" w:eastAsia="仿宋" w:cs="DengXian-Regular"/>
          <w:sz w:val="32"/>
          <w:szCs w:val="32"/>
        </w:rPr>
        <w:t>单位价值</w:t>
      </w:r>
      <w:r>
        <w:rPr>
          <w:rFonts w:hint="eastAsia" w:ascii="仿宋" w:hAnsi="仿宋" w:eastAsia="仿宋" w:cs="TimesNewRomanPSMT"/>
          <w:sz w:val="32"/>
          <w:szCs w:val="32"/>
        </w:rPr>
        <w:t>50</w:t>
      </w:r>
      <w:r>
        <w:rPr>
          <w:rFonts w:hint="eastAsia" w:ascii="仿宋" w:hAnsi="仿宋" w:eastAsia="仿宋" w:cs="DengXian-Regular"/>
          <w:sz w:val="32"/>
          <w:szCs w:val="32"/>
        </w:rPr>
        <w:t>万元以上通用设备</w:t>
      </w:r>
      <w:r>
        <w:rPr>
          <w:rFonts w:ascii="仿宋" w:hAnsi="仿宋" w:eastAsia="仿宋" w:cs="DengXian-Regular"/>
          <w:sz w:val="32"/>
          <w:szCs w:val="32"/>
        </w:rPr>
        <w:t>5</w:t>
      </w:r>
      <w:r>
        <w:rPr>
          <w:rFonts w:hint="eastAsia" w:ascii="仿宋" w:hAnsi="仿宋" w:eastAsia="仿宋" w:cs="DengXian-Regular"/>
          <w:sz w:val="32"/>
          <w:szCs w:val="32"/>
        </w:rPr>
        <w:t>台，</w:t>
      </w:r>
      <w:r>
        <w:rPr>
          <w:rFonts w:hint="eastAsia" w:ascii="仿宋_GB2312" w:eastAsia="仿宋_GB2312" w:cs="DengXian-Regular"/>
          <w:sz w:val="32"/>
          <w:szCs w:val="32"/>
        </w:rPr>
        <w:t>比上年增加3台，主要是机械施工车辆，单位价值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ascii="仿宋_GB2312" w:eastAsia="仿宋_GB2312" w:cs="DengXian-Regular"/>
          <w:sz w:val="32"/>
          <w:szCs w:val="32"/>
        </w:rPr>
        <w:t>0</w:t>
      </w:r>
      <w:r>
        <w:rPr>
          <w:rFonts w:hint="eastAsia" w:ascii="仿宋_GB2312" w:eastAsia="仿宋_GB2312" w:cs="DengXian-Regular"/>
          <w:sz w:val="32"/>
          <w:szCs w:val="32"/>
        </w:rPr>
        <w:t>台，与上年持平。</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widowControl/>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1、本部门2018年度</w:t>
      </w:r>
      <w:r>
        <w:rPr>
          <w:rFonts w:ascii="仿宋_GB2312" w:hAnsi="宋体" w:eastAsia="仿宋_GB2312" w:cs="仿宋_GB2312"/>
          <w:color w:val="000000"/>
          <w:kern w:val="0"/>
          <w:sz w:val="31"/>
          <w:szCs w:val="31"/>
        </w:rPr>
        <w:t>度国有资本经营财政拨款无收支及结转结余情况</w:t>
      </w:r>
      <w:r>
        <w:rPr>
          <w:rFonts w:hint="eastAsia" w:ascii="仿宋_GB2312" w:eastAsia="仿宋_GB2312" w:cs="DengXian-Regular"/>
          <w:sz w:val="32"/>
          <w:szCs w:val="32"/>
        </w:rPr>
        <w:t>，故</w:t>
      </w:r>
      <w:r>
        <w:rPr>
          <w:rFonts w:ascii="仿宋_GB2312" w:hAnsi="宋体" w:eastAsia="仿宋_GB2312" w:cs="仿宋_GB2312"/>
          <w:color w:val="000000"/>
          <w:kern w:val="0"/>
          <w:sz w:val="31"/>
          <w:szCs w:val="31"/>
        </w:rPr>
        <w:t>国有资本经营预算财政拨款支出决算表</w:t>
      </w:r>
      <w:r>
        <w:rPr>
          <w:rFonts w:hint="eastAsia" w:ascii="仿宋_GB2312" w:eastAsia="仿宋_GB2312" w:cs="DengXian-Regular"/>
          <w:sz w:val="32"/>
          <w:szCs w:val="32"/>
        </w:rPr>
        <w:t>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1"/>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AA84C3A-630A-4BA4-A450-6E58F9DAA00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2" w:fontKey="{A59A9155-831D-42CA-A749-99D7BD78C200}"/>
  </w:font>
  <w:font w:name="楷体">
    <w:panose1 w:val="02010609060101010101"/>
    <w:charset w:val="86"/>
    <w:family w:val="modern"/>
    <w:pitch w:val="default"/>
    <w:sig w:usb0="800002BF" w:usb1="38CF7CFA" w:usb2="00000016" w:usb3="00000000" w:csb0="00040001" w:csb1="00000000"/>
    <w:embedRegular r:id="rId3" w:fontKey="{5234088A-E1CE-4810-80CA-6CA16CB4B891}"/>
  </w:font>
  <w:font w:name="楷体_GB2312">
    <w:panose1 w:val="02010609030101010101"/>
    <w:charset w:val="86"/>
    <w:family w:val="modern"/>
    <w:pitch w:val="default"/>
    <w:sig w:usb0="00000001" w:usb1="080E0000" w:usb2="00000000" w:usb3="00000000" w:csb0="00040000" w:csb1="00000000"/>
    <w:embedRegular r:id="rId4" w:fontKey="{C197FE07-AC6D-4CA6-BB53-8CC8AF7C52EE}"/>
  </w:font>
  <w:font w:name="仿宋_GB2312">
    <w:panose1 w:val="02010609030101010101"/>
    <w:charset w:val="86"/>
    <w:family w:val="modern"/>
    <w:pitch w:val="default"/>
    <w:sig w:usb0="00000001" w:usb1="080E0000" w:usb2="00000000" w:usb3="00000000" w:csb0="00040000" w:csb1="00000000"/>
    <w:embedRegular r:id="rId5" w:fontKey="{110C7DFE-B5B5-4D19-B76F-BC294BC8B6D0}"/>
  </w:font>
  <w:font w:name="ArialUnicodeMS">
    <w:altName w:val="Malgun Gothic"/>
    <w:panose1 w:val="00000000000000000000"/>
    <w:charset w:val="81"/>
    <w:family w:val="auto"/>
    <w:pitch w:val="default"/>
    <w:sig w:usb0="00000000" w:usb1="00000000" w:usb2="00000010" w:usb3="00000000" w:csb0="00080001" w:csb1="00000000"/>
    <w:embedRegular r:id="rId6" w:fontKey="{ACC56C1C-7BCF-445E-8A86-CB4AD7264134}"/>
  </w:font>
  <w:font w:name="仿宋">
    <w:panose1 w:val="02010609060101010101"/>
    <w:charset w:val="86"/>
    <w:family w:val="modern"/>
    <w:pitch w:val="default"/>
    <w:sig w:usb0="800002BF" w:usb1="38CF7CFA" w:usb2="00000016" w:usb3="00000000" w:csb0="00040001" w:csb1="00000000"/>
    <w:embedRegular r:id="rId7" w:fontKey="{3BE8185F-EB02-4A4D-BB59-32929A7E0757}"/>
  </w:font>
  <w:font w:name="MS-UIGothic,Bold">
    <w:altName w:val="Malgun Gothic"/>
    <w:panose1 w:val="00000000000000000000"/>
    <w:charset w:val="81"/>
    <w:family w:val="auto"/>
    <w:pitch w:val="default"/>
    <w:sig w:usb0="00000000" w:usb1="00000000" w:usb2="00000010" w:usb3="00000000" w:csb0="00080000" w:csb1="00000000"/>
    <w:embedRegular r:id="rId8" w:fontKey="{9199D2EF-C4E1-47F5-98B8-4DA2F3307C56}"/>
  </w:font>
  <w:font w:name="Arial">
    <w:panose1 w:val="020B0604020202020204"/>
    <w:charset w:val="00"/>
    <w:family w:val="swiss"/>
    <w:pitch w:val="default"/>
    <w:sig w:usb0="E0002AFF" w:usb1="C0007843" w:usb2="00000009" w:usb3="00000000" w:csb0="400001FF" w:csb1="FFFF0000"/>
    <w:embedRegular r:id="rId9" w:fontKey="{4E32E572-3480-4556-8043-CB5A46364B18}"/>
  </w:font>
  <w:font w:name="DengXian-Regular">
    <w:altName w:val="宋体"/>
    <w:panose1 w:val="00000000000000000000"/>
    <w:charset w:val="86"/>
    <w:family w:val="auto"/>
    <w:pitch w:val="default"/>
    <w:sig w:usb0="00000000" w:usb1="00000000" w:usb2="00000010" w:usb3="00000000" w:csb0="00040001" w:csb1="00000000"/>
    <w:embedRegular r:id="rId10" w:fontKey="{07E89DFF-96D4-4C61-9E33-F8CD8CBCC9D6}"/>
  </w:font>
  <w:font w:name="DengXian-Bold">
    <w:altName w:val="宋体"/>
    <w:panose1 w:val="00000000000000000000"/>
    <w:charset w:val="86"/>
    <w:family w:val="auto"/>
    <w:pitch w:val="default"/>
    <w:sig w:usb0="00000000" w:usb1="00000000" w:usb2="00000010" w:usb3="00000000" w:csb0="00040001" w:csb1="00000000"/>
    <w:embedRegular r:id="rId11" w:fontKey="{FA084C76-9E86-49DC-8605-835F141C3CA3}"/>
  </w:font>
  <w:font w:name="微软雅黑">
    <w:panose1 w:val="020B0503020204020204"/>
    <w:charset w:val="86"/>
    <w:family w:val="swiss"/>
    <w:pitch w:val="default"/>
    <w:sig w:usb0="80000287" w:usb1="280F3C52" w:usb2="00000016" w:usb3="00000000" w:csb0="0004001F" w:csb1="00000000"/>
    <w:embedRegular r:id="rId12" w:fontKey="{7E6EA364-B4D8-4469-8CEC-AC0CA5354D37}"/>
  </w:font>
  <w:font w:name="___WRD_EMBED_SUB_48">
    <w:altName w:val="微软雅黑"/>
    <w:panose1 w:val="00000000000000000000"/>
    <w:charset w:val="86"/>
    <w:family w:val="modern"/>
    <w:pitch w:val="default"/>
    <w:sig w:usb0="00000000" w:usb1="00000000" w:usb2="00000010" w:usb3="00000000" w:csb0="00040000" w:csb1="00000000"/>
    <w:embedRegular r:id="rId13" w:fontKey="{0A73984E-0561-480A-81CD-E9E1E26F8021}"/>
  </w:font>
  <w:font w:name="TimesNewRomanPSMT">
    <w:altName w:val="Arial"/>
    <w:panose1 w:val="00000000000000000000"/>
    <w:charset w:val="00"/>
    <w:family w:val="swiss"/>
    <w:pitch w:val="default"/>
    <w:sig w:usb0="00000000"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02E57"/>
    <w:rsid w:val="00013939"/>
    <w:rsid w:val="00024E7F"/>
    <w:rsid w:val="000475A0"/>
    <w:rsid w:val="0005488C"/>
    <w:rsid w:val="000838C3"/>
    <w:rsid w:val="00090932"/>
    <w:rsid w:val="000B2446"/>
    <w:rsid w:val="000D26C3"/>
    <w:rsid w:val="000D48D1"/>
    <w:rsid w:val="000D7C65"/>
    <w:rsid w:val="000E2F81"/>
    <w:rsid w:val="000F1ABA"/>
    <w:rsid w:val="001011A4"/>
    <w:rsid w:val="00111ED7"/>
    <w:rsid w:val="00115EDD"/>
    <w:rsid w:val="00117946"/>
    <w:rsid w:val="00117E2C"/>
    <w:rsid w:val="00146C47"/>
    <w:rsid w:val="00152FB8"/>
    <w:rsid w:val="00174389"/>
    <w:rsid w:val="00176658"/>
    <w:rsid w:val="0018239E"/>
    <w:rsid w:val="001833D1"/>
    <w:rsid w:val="001A619B"/>
    <w:rsid w:val="001B3410"/>
    <w:rsid w:val="001C030D"/>
    <w:rsid w:val="001C4A84"/>
    <w:rsid w:val="001E5902"/>
    <w:rsid w:val="00203F74"/>
    <w:rsid w:val="00221B5E"/>
    <w:rsid w:val="00224E91"/>
    <w:rsid w:val="00233705"/>
    <w:rsid w:val="00245B96"/>
    <w:rsid w:val="00256D9C"/>
    <w:rsid w:val="00275CA2"/>
    <w:rsid w:val="002A65A5"/>
    <w:rsid w:val="002C04C4"/>
    <w:rsid w:val="002D08B0"/>
    <w:rsid w:val="002D1AE3"/>
    <w:rsid w:val="002F2ECE"/>
    <w:rsid w:val="002F42E9"/>
    <w:rsid w:val="00341C8F"/>
    <w:rsid w:val="0035463A"/>
    <w:rsid w:val="00391D9D"/>
    <w:rsid w:val="00391E1D"/>
    <w:rsid w:val="00392AE8"/>
    <w:rsid w:val="003B6C51"/>
    <w:rsid w:val="003C1413"/>
    <w:rsid w:val="003C549F"/>
    <w:rsid w:val="003D5A16"/>
    <w:rsid w:val="003E6C11"/>
    <w:rsid w:val="003E7DB3"/>
    <w:rsid w:val="003F7EC9"/>
    <w:rsid w:val="00431175"/>
    <w:rsid w:val="00490E80"/>
    <w:rsid w:val="004A32D0"/>
    <w:rsid w:val="004B6E37"/>
    <w:rsid w:val="004C32BA"/>
    <w:rsid w:val="004E3580"/>
    <w:rsid w:val="004F164F"/>
    <w:rsid w:val="00502871"/>
    <w:rsid w:val="00523D94"/>
    <w:rsid w:val="00575922"/>
    <w:rsid w:val="005A6C90"/>
    <w:rsid w:val="005B2288"/>
    <w:rsid w:val="005E3FB0"/>
    <w:rsid w:val="005F4B66"/>
    <w:rsid w:val="005F5208"/>
    <w:rsid w:val="00622C0B"/>
    <w:rsid w:val="0062535F"/>
    <w:rsid w:val="0063726F"/>
    <w:rsid w:val="00641318"/>
    <w:rsid w:val="0064405D"/>
    <w:rsid w:val="0068113D"/>
    <w:rsid w:val="00685302"/>
    <w:rsid w:val="0068583B"/>
    <w:rsid w:val="00695557"/>
    <w:rsid w:val="006C4336"/>
    <w:rsid w:val="006D4EA7"/>
    <w:rsid w:val="0070012A"/>
    <w:rsid w:val="0070664B"/>
    <w:rsid w:val="007071B8"/>
    <w:rsid w:val="007414DE"/>
    <w:rsid w:val="0074209C"/>
    <w:rsid w:val="00780595"/>
    <w:rsid w:val="007905A9"/>
    <w:rsid w:val="007D0B87"/>
    <w:rsid w:val="007D1C0F"/>
    <w:rsid w:val="007E5500"/>
    <w:rsid w:val="007E5D81"/>
    <w:rsid w:val="007F055B"/>
    <w:rsid w:val="0080644C"/>
    <w:rsid w:val="00811C2F"/>
    <w:rsid w:val="00833D46"/>
    <w:rsid w:val="00840A97"/>
    <w:rsid w:val="00886ADA"/>
    <w:rsid w:val="008C0149"/>
    <w:rsid w:val="008C689C"/>
    <w:rsid w:val="008D5DED"/>
    <w:rsid w:val="008E25CA"/>
    <w:rsid w:val="008F34FC"/>
    <w:rsid w:val="0093238B"/>
    <w:rsid w:val="00935058"/>
    <w:rsid w:val="00944CD7"/>
    <w:rsid w:val="009831B2"/>
    <w:rsid w:val="009A1ABE"/>
    <w:rsid w:val="009E21A4"/>
    <w:rsid w:val="009F22C6"/>
    <w:rsid w:val="00A07E50"/>
    <w:rsid w:val="00A15397"/>
    <w:rsid w:val="00A35CE0"/>
    <w:rsid w:val="00A4462E"/>
    <w:rsid w:val="00A44AA4"/>
    <w:rsid w:val="00A61623"/>
    <w:rsid w:val="00A84687"/>
    <w:rsid w:val="00A93088"/>
    <w:rsid w:val="00AB0A0E"/>
    <w:rsid w:val="00AD3B6E"/>
    <w:rsid w:val="00B12684"/>
    <w:rsid w:val="00B1751F"/>
    <w:rsid w:val="00B52A4A"/>
    <w:rsid w:val="00B56722"/>
    <w:rsid w:val="00B74D39"/>
    <w:rsid w:val="00B91DA4"/>
    <w:rsid w:val="00C12630"/>
    <w:rsid w:val="00C34562"/>
    <w:rsid w:val="00C3774E"/>
    <w:rsid w:val="00C5174C"/>
    <w:rsid w:val="00C57456"/>
    <w:rsid w:val="00C65387"/>
    <w:rsid w:val="00C87FAB"/>
    <w:rsid w:val="00C91FF7"/>
    <w:rsid w:val="00C94E53"/>
    <w:rsid w:val="00CC6838"/>
    <w:rsid w:val="00D0048E"/>
    <w:rsid w:val="00D11705"/>
    <w:rsid w:val="00D11EAB"/>
    <w:rsid w:val="00D23E7A"/>
    <w:rsid w:val="00D36A06"/>
    <w:rsid w:val="00D61063"/>
    <w:rsid w:val="00DB35AF"/>
    <w:rsid w:val="00DC2DC2"/>
    <w:rsid w:val="00DD2C44"/>
    <w:rsid w:val="00DD72D7"/>
    <w:rsid w:val="00DF5B88"/>
    <w:rsid w:val="00E0589E"/>
    <w:rsid w:val="00E21BEA"/>
    <w:rsid w:val="00E241FA"/>
    <w:rsid w:val="00E2595E"/>
    <w:rsid w:val="00E35374"/>
    <w:rsid w:val="00E50C19"/>
    <w:rsid w:val="00E54382"/>
    <w:rsid w:val="00E64655"/>
    <w:rsid w:val="00E73081"/>
    <w:rsid w:val="00E856C9"/>
    <w:rsid w:val="00E8744D"/>
    <w:rsid w:val="00EB6A8B"/>
    <w:rsid w:val="00EF38C6"/>
    <w:rsid w:val="00F044A8"/>
    <w:rsid w:val="00F10062"/>
    <w:rsid w:val="00F46015"/>
    <w:rsid w:val="00F64830"/>
    <w:rsid w:val="00F679C7"/>
    <w:rsid w:val="00F7711A"/>
    <w:rsid w:val="00F85218"/>
    <w:rsid w:val="00FA0D58"/>
    <w:rsid w:val="00FA56F4"/>
    <w:rsid w:val="00FB4EDA"/>
    <w:rsid w:val="00FD3BD5"/>
    <w:rsid w:val="00FE3DC8"/>
    <w:rsid w:val="00FF0DCA"/>
    <w:rsid w:val="015F05B7"/>
    <w:rsid w:val="01775330"/>
    <w:rsid w:val="02A97406"/>
    <w:rsid w:val="03780A9F"/>
    <w:rsid w:val="03F94424"/>
    <w:rsid w:val="04073F84"/>
    <w:rsid w:val="05191B63"/>
    <w:rsid w:val="05F37E40"/>
    <w:rsid w:val="06AF2DAB"/>
    <w:rsid w:val="07296555"/>
    <w:rsid w:val="078D1897"/>
    <w:rsid w:val="08840EF1"/>
    <w:rsid w:val="08C54853"/>
    <w:rsid w:val="09217434"/>
    <w:rsid w:val="099308CC"/>
    <w:rsid w:val="09CD5AF1"/>
    <w:rsid w:val="0A5B0A4F"/>
    <w:rsid w:val="0A7504F9"/>
    <w:rsid w:val="0B023D1D"/>
    <w:rsid w:val="0B60750A"/>
    <w:rsid w:val="0C1121AA"/>
    <w:rsid w:val="0C7F3F1B"/>
    <w:rsid w:val="0CFD364F"/>
    <w:rsid w:val="0D3E2BC3"/>
    <w:rsid w:val="0D592CE0"/>
    <w:rsid w:val="0E245400"/>
    <w:rsid w:val="0E7A05E6"/>
    <w:rsid w:val="0FFC50AD"/>
    <w:rsid w:val="10686488"/>
    <w:rsid w:val="10DF728A"/>
    <w:rsid w:val="11520626"/>
    <w:rsid w:val="1264200E"/>
    <w:rsid w:val="13771ABC"/>
    <w:rsid w:val="13A82D83"/>
    <w:rsid w:val="141C5B77"/>
    <w:rsid w:val="14C20C1B"/>
    <w:rsid w:val="150929C9"/>
    <w:rsid w:val="158B31AC"/>
    <w:rsid w:val="16102405"/>
    <w:rsid w:val="1670442F"/>
    <w:rsid w:val="16762AB0"/>
    <w:rsid w:val="181A2C41"/>
    <w:rsid w:val="18414CE3"/>
    <w:rsid w:val="18D8339D"/>
    <w:rsid w:val="18EF128F"/>
    <w:rsid w:val="194677EC"/>
    <w:rsid w:val="19D13C62"/>
    <w:rsid w:val="19D2296B"/>
    <w:rsid w:val="19D47F63"/>
    <w:rsid w:val="1A21388F"/>
    <w:rsid w:val="1A570D2F"/>
    <w:rsid w:val="1A580D17"/>
    <w:rsid w:val="1B560468"/>
    <w:rsid w:val="1B897874"/>
    <w:rsid w:val="1C4558B2"/>
    <w:rsid w:val="1C4B7687"/>
    <w:rsid w:val="1CC93958"/>
    <w:rsid w:val="1D021D48"/>
    <w:rsid w:val="21A70931"/>
    <w:rsid w:val="21CF28C7"/>
    <w:rsid w:val="226D35C1"/>
    <w:rsid w:val="226F0AEF"/>
    <w:rsid w:val="238812CD"/>
    <w:rsid w:val="2591019D"/>
    <w:rsid w:val="25A73B7D"/>
    <w:rsid w:val="25DA402E"/>
    <w:rsid w:val="26220E4C"/>
    <w:rsid w:val="263D208E"/>
    <w:rsid w:val="265F5C27"/>
    <w:rsid w:val="267726EE"/>
    <w:rsid w:val="27050461"/>
    <w:rsid w:val="271F7898"/>
    <w:rsid w:val="27E64F6E"/>
    <w:rsid w:val="281078DE"/>
    <w:rsid w:val="28AA7B73"/>
    <w:rsid w:val="28BF7203"/>
    <w:rsid w:val="28FB0B8D"/>
    <w:rsid w:val="2A3D0952"/>
    <w:rsid w:val="2A6A6522"/>
    <w:rsid w:val="2A9870FC"/>
    <w:rsid w:val="2AFE5C70"/>
    <w:rsid w:val="2B3D78EA"/>
    <w:rsid w:val="2B916845"/>
    <w:rsid w:val="2BA60C3A"/>
    <w:rsid w:val="2BB708A9"/>
    <w:rsid w:val="2C151D5A"/>
    <w:rsid w:val="2C3D2E6E"/>
    <w:rsid w:val="2D2332F7"/>
    <w:rsid w:val="2D2B7942"/>
    <w:rsid w:val="2D46481D"/>
    <w:rsid w:val="2D6A6896"/>
    <w:rsid w:val="2E32296E"/>
    <w:rsid w:val="2E733B28"/>
    <w:rsid w:val="2ED15972"/>
    <w:rsid w:val="2F1E3903"/>
    <w:rsid w:val="30334753"/>
    <w:rsid w:val="30425BF8"/>
    <w:rsid w:val="305F7BE2"/>
    <w:rsid w:val="31134C84"/>
    <w:rsid w:val="312C7852"/>
    <w:rsid w:val="31852B5A"/>
    <w:rsid w:val="31A9131A"/>
    <w:rsid w:val="32D01238"/>
    <w:rsid w:val="330B62C6"/>
    <w:rsid w:val="331A090E"/>
    <w:rsid w:val="34FF7017"/>
    <w:rsid w:val="35F0532C"/>
    <w:rsid w:val="3604198A"/>
    <w:rsid w:val="363668FE"/>
    <w:rsid w:val="36F92F6C"/>
    <w:rsid w:val="37C00C13"/>
    <w:rsid w:val="387F7FE3"/>
    <w:rsid w:val="389D2D6A"/>
    <w:rsid w:val="390F5544"/>
    <w:rsid w:val="39EA697B"/>
    <w:rsid w:val="3A2B2864"/>
    <w:rsid w:val="3A2B6DE6"/>
    <w:rsid w:val="3ACE24E6"/>
    <w:rsid w:val="3AFA1DF4"/>
    <w:rsid w:val="3B0B5CBD"/>
    <w:rsid w:val="3B321EBC"/>
    <w:rsid w:val="3B360820"/>
    <w:rsid w:val="3C73734E"/>
    <w:rsid w:val="3D2A5307"/>
    <w:rsid w:val="3D3002DC"/>
    <w:rsid w:val="3D770520"/>
    <w:rsid w:val="3DAB1529"/>
    <w:rsid w:val="3DC3323E"/>
    <w:rsid w:val="3DFC59A8"/>
    <w:rsid w:val="3ECF245E"/>
    <w:rsid w:val="3EFF3731"/>
    <w:rsid w:val="3F675D61"/>
    <w:rsid w:val="3FB96314"/>
    <w:rsid w:val="3FE439E5"/>
    <w:rsid w:val="3FF34538"/>
    <w:rsid w:val="3FFA12FE"/>
    <w:rsid w:val="40882AD5"/>
    <w:rsid w:val="42CD30E5"/>
    <w:rsid w:val="43EC7B08"/>
    <w:rsid w:val="450F20A8"/>
    <w:rsid w:val="452741EF"/>
    <w:rsid w:val="454A0FF1"/>
    <w:rsid w:val="457958C0"/>
    <w:rsid w:val="45EC5DE5"/>
    <w:rsid w:val="46B24DF3"/>
    <w:rsid w:val="487C4225"/>
    <w:rsid w:val="4914135B"/>
    <w:rsid w:val="493F103F"/>
    <w:rsid w:val="49577E1E"/>
    <w:rsid w:val="4A7D0B85"/>
    <w:rsid w:val="4AC025FC"/>
    <w:rsid w:val="4B734530"/>
    <w:rsid w:val="4B906DA0"/>
    <w:rsid w:val="4C602A14"/>
    <w:rsid w:val="4D494C3F"/>
    <w:rsid w:val="4EBC56B3"/>
    <w:rsid w:val="503B2AA6"/>
    <w:rsid w:val="50967E38"/>
    <w:rsid w:val="50C12419"/>
    <w:rsid w:val="51B17F9E"/>
    <w:rsid w:val="51BA143E"/>
    <w:rsid w:val="52022A10"/>
    <w:rsid w:val="522430BA"/>
    <w:rsid w:val="52D93376"/>
    <w:rsid w:val="52DB5036"/>
    <w:rsid w:val="53A44FAF"/>
    <w:rsid w:val="542530A8"/>
    <w:rsid w:val="55260003"/>
    <w:rsid w:val="569234C8"/>
    <w:rsid w:val="575E512D"/>
    <w:rsid w:val="58695552"/>
    <w:rsid w:val="594329EC"/>
    <w:rsid w:val="598F1C58"/>
    <w:rsid w:val="59B70BE1"/>
    <w:rsid w:val="5AEB7914"/>
    <w:rsid w:val="5B312F25"/>
    <w:rsid w:val="5BEE1540"/>
    <w:rsid w:val="5C5414C7"/>
    <w:rsid w:val="5DCC0EA2"/>
    <w:rsid w:val="5DE61A5D"/>
    <w:rsid w:val="5E462100"/>
    <w:rsid w:val="5E675340"/>
    <w:rsid w:val="5EC55B9F"/>
    <w:rsid w:val="5F6F410F"/>
    <w:rsid w:val="5F8F5AAC"/>
    <w:rsid w:val="5F943FA8"/>
    <w:rsid w:val="5FB22E94"/>
    <w:rsid w:val="605D06E5"/>
    <w:rsid w:val="61247881"/>
    <w:rsid w:val="6128525B"/>
    <w:rsid w:val="618A7201"/>
    <w:rsid w:val="622B579F"/>
    <w:rsid w:val="634A1969"/>
    <w:rsid w:val="63A61503"/>
    <w:rsid w:val="63C04243"/>
    <w:rsid w:val="63E21AAB"/>
    <w:rsid w:val="64790BBB"/>
    <w:rsid w:val="649C01C7"/>
    <w:rsid w:val="65330ABF"/>
    <w:rsid w:val="66187A6B"/>
    <w:rsid w:val="66494DB8"/>
    <w:rsid w:val="6692550A"/>
    <w:rsid w:val="66ED4044"/>
    <w:rsid w:val="684A1456"/>
    <w:rsid w:val="68B22156"/>
    <w:rsid w:val="69224EE4"/>
    <w:rsid w:val="69521DF5"/>
    <w:rsid w:val="699A3F60"/>
    <w:rsid w:val="6AE55CFB"/>
    <w:rsid w:val="6B247E23"/>
    <w:rsid w:val="6BE1615D"/>
    <w:rsid w:val="6C7812FE"/>
    <w:rsid w:val="6CC20558"/>
    <w:rsid w:val="6CD57A7C"/>
    <w:rsid w:val="6D41577C"/>
    <w:rsid w:val="6DCC35C6"/>
    <w:rsid w:val="6DF96B96"/>
    <w:rsid w:val="6E1B3AC1"/>
    <w:rsid w:val="6EBE6D9A"/>
    <w:rsid w:val="70A02EB6"/>
    <w:rsid w:val="70B80B9A"/>
    <w:rsid w:val="71C011F5"/>
    <w:rsid w:val="725122BA"/>
    <w:rsid w:val="72900FCC"/>
    <w:rsid w:val="72902E62"/>
    <w:rsid w:val="72E96900"/>
    <w:rsid w:val="73C61104"/>
    <w:rsid w:val="74D023DF"/>
    <w:rsid w:val="75E512EC"/>
    <w:rsid w:val="76B91276"/>
    <w:rsid w:val="76E70FD2"/>
    <w:rsid w:val="76F434E5"/>
    <w:rsid w:val="771505D3"/>
    <w:rsid w:val="776452EA"/>
    <w:rsid w:val="77B57330"/>
    <w:rsid w:val="790A35B4"/>
    <w:rsid w:val="79AA4C09"/>
    <w:rsid w:val="7B1C1A40"/>
    <w:rsid w:val="7B670B43"/>
    <w:rsid w:val="7BB5429A"/>
    <w:rsid w:val="7D692DE6"/>
    <w:rsid w:val="7D987397"/>
    <w:rsid w:val="7DC663B9"/>
    <w:rsid w:val="7FCC6756"/>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mbria" w:hAnsi="Cambria" w:eastAsia="黑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image" Target="media/image8.jpeg"/><Relationship Id="rId10" Type="http://schemas.openxmlformats.org/officeDocument/2006/relationships/image" Target="media/image7.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D349740-2FAE-43D7-9CD3-910FBE7E9C5F}">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35</Pages>
  <Words>2086</Words>
  <Characters>11895</Characters>
  <Lines>99</Lines>
  <Paragraphs>27</Paragraphs>
  <TotalTime>11</TotalTime>
  <ScaleCrop>false</ScaleCrop>
  <LinksUpToDate>false</LinksUpToDate>
  <CharactersWithSpaces>13954</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2019-09-07T11:21:00Z</cp:lastPrinted>
  <dcterms:modified xsi:type="dcterms:W3CDTF">2024-01-03T07:47:19Z</dcterms:modified>
  <dc:subject>石家庄市xxx部门</dc:subject>
  <dc:title>2017年度部门决算</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