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文本框 8" o:spid="_x0000_s1026" o:spt="202" type="#_x0000_t202" style="position:absolute;left:0pt;margin-left:-83.1pt;margin-top:43.25pt;height:166.25pt;width:596.2pt;z-index:25163878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QrXgAIAACgFAAAOAAAAZHJzL2Uyb0RvYy54bWysVM1uEzEQviPxDpbvZHfTpGmjbKrQKgip&#10;ohUBcXa8drPC9hjbyW54gPIGnLhw57n6HIy9SRoVLkVcdseeb/6+mfHkotWKbITzNZiSFr2cEmE4&#10;VLW5K+nHD/NXZ5T4wEzFFBhR0q3w9GL68sWksWPRhxWoSjiCTowfN7akqxDsOMs8XwnNfA+sMKiU&#10;4DQLeHR3WeVYg961yvp5fpo14CrrgAvv8faqU9Jp8i+l4OFGSi8CUSXF3EL6uvRdxm82nbDxnWN2&#10;VfNdGuwfstCsNhj04OqKBUbWrv7Dla65Aw8y9DjoDKSsuUg1YDVF/qSaxYpZkWpBcrw90OT/n1v+&#10;bnPrSF2VFBtlmMYWPXz/9vDj18PPe3IW6WmsHyNqYREX2tfQYpv39x4vY9WtdDr+sR4S9YOTYZEj&#10;3duS9ofFeT4YdkSLNhCOgNFwVIwGCOARURTFySghskdX1vnwRoAmUSipw04mgtnm2gdMC6F7SIxs&#10;YF4rlbqpDGlKenoyzJPBQYMWyqBhLKhLPElhq0T0oMx7IZEJTK8zTDMoLpUjG4bTwzgXJqTSkydE&#10;RzOJYZ9juMNHU5Hm8znGB4sUGUw4GOvagEv1Pkm7+rxPWXb4PQNd3ZGC0C7bXaOXUG2xzw66RfGW&#10;z2vk/5r5cMscbgb2DLc93OBHKkCeYSdRsgL39W/3EY8Di1pKGty0kvova+YEJeqtwVE+LwZxFEI6&#10;DIajPh7csWZ5rDFrfQnYjgLfFcuTGPFB7UXpQH/CR2EWo6KKGY6xSxr24mXo9h8fFS5mswTCZbQs&#10;XJuF5dF1pNfAbB1A1mnYIk0dNzv6cB3TDO6ejrjvx+eEenzgpr8BAAD//wMAUEsDBBQABgAIAAAA&#10;IQBqMb114gAAAAwBAAAPAAAAZHJzL2Rvd25yZXYueG1sTI/BTsMwDIbvSLxDZCRuW9KKVaVrOk2V&#10;JiQEh41duLlN1lZrnNJkW+HpSU9wtP3p9/fnm8n07KpH11mSEC0FME21VR01Eo4fu0UKzHkkhb0l&#10;LeFbO9gU93c5ZsreaK+vB9+wEEIuQwmt90PGuatbbdAt7aAp3E52NOjDODZcjXgL4abnsRAJN9hR&#10;+NDioMtW1+fDxUh4LXfvuK9ik/705cvbaTt8HT9XUj4+TNs1MK8n/wfDrB/UoQhOlb2QcqyXsIiS&#10;JA6shDRZAZsJEc+bSsJT9CyAFzn/X6L4BQAA//8DAFBLAQItABQABgAIAAAAIQC2gziS/gAAAOEB&#10;AAATAAAAAAAAAAAAAAAAAAAAAABbQ29udGVudF9UeXBlc10ueG1sUEsBAi0AFAAGAAgAAAAhADj9&#10;If/WAAAAlAEAAAsAAAAAAAAAAAAAAAAALwEAAF9yZWxzLy5yZWxzUEsBAi0AFAAGAAgAAAAhAGnd&#10;CteAAgAAKAUAAA4AAAAAAAAAAAAAAAAALgIAAGRycy9lMm9Eb2MueG1sUEsBAi0AFAAGAAgAAAAh&#10;AGoxvXXiAAAADAEAAA8AAAAAAAAAAAAAAAAA2gQAAGRycy9kb3ducmV2LnhtbFBLBQYAAAAABAAE&#10;APMAAADp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无极县工业和信息化局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工业和信息化局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文本框 118" o:spid="_x0000_s1027" o:spt="202" type="#_x0000_t202" style="position:absolute;left:0pt;margin-left:-97.3pt;margin-top:259.1pt;height:81.7pt;width:613.65pt;z-index:25165209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mMUegIAACcFAAAOAAAAZHJzL2Uyb0RvYy54bWysVM1uEzEQviPxDpbvZPPTNCTqpgqpgpAq&#10;WhEQZ8drNytsj7Gd7IYHgDfgxIU7z9XnYOzNbqPCpYjLrj3zzd83M764rLUie+F8CSang16fEmE4&#10;FKW5y+mH96sXLynxgZmCKTAipwfh6eX8+bOLys7EELagCuEIOjF+VtmcbkOwsyzzfCs08z2wwqBS&#10;gtMs4NXdZYVjFXrXKhv2++dZBa6wDrjwHqVXjZLOk38pBQ83UnoRiMop5hbS16XvJn6z+QWb3Tlm&#10;tyU/psH+IQvNSoNBO1dXLDCyc+UfrnTJHXiQocdBZyBlyUWqAasZ9B9Vs94yK1ItSI63HU3+/7nl&#10;b/e3jpQF9m6ArTJMY5Puv3+7//Hr/udXEoVIUWX9DJFri9hQv4Ia4a3cozBWXkun4x9rIqhHsg8d&#10;waIOhKNwMpmORuMxJRx1g/5oMp6mFmQP5tb58FqAJvGQU4cdTMSy/bUPmApCW0iMZmBVKpW6qAyp&#10;cno+GveTQadBC2XQMBbRJJtO4aBE9KDMOyGRgZRzFKTZE0vlyJ7h1DDOhQmp3OQJ0RElMexTDI/4&#10;aCrSXD7FuLNIkcGEzliXBlyq91Haxac2ZdngWwaauiMFod7UTevbXm6gOGCLHTR74i1fldiGa+bD&#10;LXO4GNhVXPZwgx+pAOmG44mSLbgvf5NHPM4raimpcNFy6j/vmBOUqDcGJ3k6ODuLm5kuZ+PJEC/u&#10;VLM51ZidXgJ2ZYDPiuXpGPFBtUfpQH/EN2ERo6KKGY6xcxra4zI0649vCheLRQLhLloWrs3a8ug6&#10;smxgsQsgyzRzka2GmyOLuI1pFI8vR1z303tCPbxv898AAAD//wMAUEsDBBQABgAIAAAAIQCjIIQQ&#10;5AAAAA0BAAAPAAAAZHJzL2Rvd25yZXYueG1sTI9NT4NAFEX3Jv6HyTNx1w6gRUSGpiFpTIwuWrtx&#10;92BegTgfyExb7K/vdKXLl3ty73nFctKKHWl0vTUC4nkEjExjZW9aAbvP9SwD5jwaicoaEvBLDpbl&#10;7U2BubQns6Hj1rcslBiXo4DO+yHn3DUdaXRzO5AJ2d6OGn04x5bLEU+hXCueRFHKNfYmLHQ4UNVR&#10;8709aAFv1foDN3Wis7OqXt/3q+Fn97UQ4v5uWr0A8zT5Pxiu+kEdyuBU24ORjikBs/j5MQ2sgEWc&#10;JcCuSPSQPAGrBaRZnAIvC/7/i/ICAAD//wMAUEsBAi0AFAAGAAgAAAAhALaDOJL+AAAA4QEAABMA&#10;AAAAAAAAAAAAAAAAAAAAAFtDb250ZW50X1R5cGVzXS54bWxQSwECLQAUAAYACAAAACEAOP0h/9YA&#10;AACUAQAACwAAAAAAAAAAAAAAAAAvAQAAX3JlbHMvLnJlbHNQSwECLQAUAAYACAAAACEAZkJjFHoC&#10;AAAnBQAADgAAAAAAAAAAAAAAAAAuAgAAZHJzL2Uyb0RvYy54bWxQSwECLQAUAAYACAAAACEAoyCE&#10;EOQAAAANAQAADwAAAAAAAAAAAAAAAADUBAAAZHJzL2Rvd25yZXYueG1sUEsFBgAAAAAEAAQA8wAA&#10;AOUFA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wordWrap w:val="0"/>
        <w:spacing w:after="240" w:line="680" w:lineRule="exact"/>
        <w:ind w:left="1"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1、提出全县新型工业化发展战略和政策，协调解决新型工业化进程中的重大问题，推进产业结构战略性调整和优化升级，推进信息化和工业化融合，促进民营经济发展。</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2、制订并组织实施全县工业行业和信息化规划、计划和产业政策，提出优化产业布局、结构的政策建议，推进现代产业体系建设，起草地方性法规、规章草案，组织实施行业技术规范和标准，指导行业质量管理工作；协调推进工业系统名牌战略工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3、监测、分析全县工业运行态势，统计并发布相关信息，进行预测预警和信息引导，协调解决行业运行发展中的有关问题并提出政策建议，负责工业应急管理、产业安全有关工作。</w:t>
      </w:r>
    </w:p>
    <w:p>
      <w:pPr>
        <w:wordWrap w:val="0"/>
        <w:spacing w:after="240" w:line="680" w:lineRule="exact"/>
        <w:ind w:left="1"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负责提出全县工业和信息化固定资产投资规模和方向（含利用外资和境外投资）、国家和省、市、县财政性建设资金安排的意见；按县政府规定权限审批、核准、审核、申报国家和省、市、县规划内及年度计划规模内固定资产投资项目。</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5、负责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       </w:t>
      </w:r>
    </w:p>
    <w:p>
      <w:pPr>
        <w:wordWrap w:val="0"/>
        <w:spacing w:after="240" w:line="680" w:lineRule="exact"/>
        <w:ind w:left="1"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6、拟订和组织实施中小企业发展专项资金年度计划和固定资产投资计划，提出县级中小企业发展专项资金年度预算建议，实施对专项企业专项资金使用的监督检查；监督中小企业专项资金的设立和使用；提出中小企业融资的政策措施并组织实施；推动建立中小企业创业风险投资引导资金，确定资金使用方向；组织推进中小企业信用担保体系建设和信用制度建设；推动建立完善中小企业服务体系，引导各类中介组织为中小企业提供服务。</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7、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8、承担全县振兴装备制造业、原材料工业、消费品工业、电子信息产业等行业的组织协调管理责任，负责冶金矿产品生产经营管理，贯彻执行国家、省、市、县重大技术装备发展和自主创新规划、政策，依托国家、省、市、县重点工程建设，协调有关重大专项的实施，推进重大技术装备国产化，指导引进重大技术装备的消化创新。</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9、根据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10、拟订并组织实施全县工业能源节约和资源综合利用、清洁生产促进政策，参与拟订能源节约和资源综合利用、清洁生产促进规划，组织协调相关重大示范工程和新产品、新技术、新设备、新材料的推广应用。</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11、推进全县工业体制改革和管理创新，提高行业综合素质和核心竞争力，指导相关行业加强安全生产管理。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12、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pPr>
        <w:wordWrap w:val="0"/>
        <w:spacing w:after="240" w:line="680" w:lineRule="exact"/>
        <w:ind w:left="1"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14、组织开展工业、信息化的对外合作与交流，会同有关部门组织开展工业和信息化利用外资工作。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15、承担民爆器材行业生产流通的监督管理和安全生产工作。</w:t>
      </w:r>
    </w:p>
    <w:p>
      <w:pPr>
        <w:wordWrap w:val="0"/>
        <w:spacing w:after="240" w:line="680" w:lineRule="exact"/>
        <w:ind w:left="1" w:firstLine="508" w:firstLineChars="159"/>
        <w:rPr>
          <w:rFonts w:ascii="仿宋_GB2312" w:hAnsi="仿宋_GB2312" w:eastAsia="仿宋_GB2312" w:cs="仿宋_GB2312"/>
          <w:sz w:val="32"/>
          <w:szCs w:val="32"/>
        </w:rPr>
      </w:pPr>
      <w:r>
        <w:rPr>
          <w:rFonts w:hint="eastAsia" w:ascii="仿宋_GB2312" w:hAnsi="仿宋_GB2312" w:eastAsia="仿宋_GB2312" w:cs="仿宋_GB2312"/>
          <w:sz w:val="32"/>
          <w:szCs w:val="32"/>
        </w:rPr>
        <w:t>16、国有企业资产保值增值及管理工作。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17、承办县政府交办的其他事项。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ascii="仿宋_GB2312" w:eastAsia="仿宋_GB2312" w:cs="ArialUnicodeMS" w:hAnsiTheme="minorHAnsi"/>
          <w:kern w:val="0"/>
          <w:sz w:val="32"/>
          <w:szCs w:val="32"/>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32"/>
                <w:szCs w:val="32"/>
              </w:rPr>
              <w:t>无</w:t>
            </w:r>
            <w:r>
              <w:rPr>
                <w:rFonts w:hint="eastAsia" w:ascii="仿宋_GB2312" w:eastAsia="仿宋_GB2312" w:cs="ArialUnicodeMS" w:hAnsiTheme="minorHAnsi"/>
                <w:kern w:val="0"/>
                <w:sz w:val="28"/>
                <w:szCs w:val="28"/>
              </w:rPr>
              <w:t>极县工业和信息化</w:t>
            </w:r>
            <w:r>
              <w:rPr>
                <w:rFonts w:hint="eastAsia" w:ascii="微软雅黑" w:hAnsi="微软雅黑" w:eastAsia="微软雅黑" w:cs="微软雅黑"/>
                <w:kern w:val="0"/>
                <w:sz w:val="28"/>
                <w:szCs w:val="28"/>
              </w:rPr>
              <w:t>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文本框 17" o:spid="_x0000_s1028" o:spt="202" type="#_x0000_t202" style="position:absolute;left:0pt;margin-left:-74.2pt;margin-top:120.3pt;height:159.1pt;width:596.2pt;z-index:25164185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8kReAIAACUFAAAOAAAAZHJzL2Uyb0RvYy54bWysVM1uEzEQviPxDpbvdDehaSDqpgqtipAq&#10;WlEQZ8drNytsj7En2Q0PAG/AiQt3nqvPwdibTavCpYjLrj3zzd83Mz4+6axhGxViA67io4OSM+Uk&#10;1I27qfiH9+fPXnAWUbhaGHCq4lsV+cn86ZPj1s/UGFZgahUYOXFx1vqKrxD9rCiiXCkr4gF45Uip&#10;IViBdA03RR1ES96tKcZleVS0EGofQKoYSXrWK/k8+9daSbzUOipkpuKUG+ZvyN9l+hbzYzG7CcKv&#10;GrlLQ/xDFlY0joLuXZ0JFGwdmj9c2UYGiKDxQIItQOtGqlwDVTMqH1RzvRJe5VqInOj3NMX/51a+&#10;3VwF1tTUuylnTljq0e33b7c/ft3+/MpIRgS1Ps4Id+0Jid0r6Ag8yCMJU92dDjb9qSJGeqJ6u6dX&#10;dcgkCaeT6Wh6SCpJunE5LifT3IDiztyHiK8VWJYOFQ/Uv0yr2FxEpFQIOkBSNAfnjTG5h8axtuJH&#10;zydlNthryMI4MkxF9MnmE26NSh6Me6c01Z9zToI8eerUBLYRNDNCSuUwl5s9ETqhNIV9jOEOn0xV&#10;nsrHGO8tcmRwuDe2jYOQ632Qdv1pSFn3+IGBvu5EAXbLLjd+PPRyCfWWWhyg35Lo5XlDbbgQEa9E&#10;oLWg1tGq4yV9tAGiG3YnzlYQvvxNnvA0raTlrKU1q3j8vBZBcWbeOJrjl6PDNBGYL4eT6Zgu4b5m&#10;eV/j1vYUqCsjelS8zMeERzMcdQD7kV6ERYpKKuEkxa44DsdT7JefXhSpFosMok30Ai/ctZfJdWLZ&#10;wWKNoJs8c4mtnpsdi7SLeRR370Za9vv3jLp73ea/AQAA//8DAFBLAwQUAAYACAAAACEARcF6aeMA&#10;AAANAQAADwAAAGRycy9kb3ducmV2LnhtbEyPy2rDMBBF94X+g5hCd4kUIwfhWg7BEAqlXSTNprux&#10;pdimeriWkrj9+iqrdjnM4d5zy81sDbnoKQzeSVgtGRDtWq8G10k4vu8WAkiI6BQa77SEbx1gU93f&#10;lVgof3V7fTnEjqQQFwqU0Mc4FpSGttcWw9KP2qXfyU8WYzqnjqoJryncGpoxtqYWB5caehx13ev2&#10;83C2El7q3Rvum8yKH1M/v56249fxI5fy8WHePgGJeo5/MNz0kzpUyanxZ6cCMRIWKy54YiVknK2B&#10;3BDGedrXSMhzIYBWJf2/ovoFAAD//wMAUEsBAi0AFAAGAAgAAAAhALaDOJL+AAAA4QEAABMAAAAA&#10;AAAAAAAAAAAAAAAAAFtDb250ZW50X1R5cGVzXS54bWxQSwECLQAUAAYACAAAACEAOP0h/9YAAACU&#10;AQAACwAAAAAAAAAAAAAAAAAvAQAAX3JlbHMvLnJlbHNQSwECLQAUAAYACAAAACEAMuPJEXgCAAAl&#10;BQAADgAAAAAAAAAAAAAAAAAuAgAAZHJzL2Uyb0RvYy54bWxQSwECLQAUAAYACAAAACEARcF6aeMA&#10;AAANAQAADwAAAAAAAAAAAAAAAADSBAAAZHJzL2Rvd25yZXYueG1sUEsFBgAAAAAEAAQA8wAAAOIF&#10;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Cs w:val="21"/>
              </w:rPr>
              <w:t>部门：工业和信息化局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w:t>
            </w:r>
            <w:r>
              <w:rPr>
                <w:rFonts w:ascii="宋体" w:hAnsi="宋体" w:cs="宋体"/>
                <w:color w:val="000000"/>
                <w:sz w:val="20"/>
                <w:szCs w:val="20"/>
              </w:rPr>
              <w:t>644.86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38.05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w:t>
            </w:r>
            <w:r>
              <w:rPr>
                <w:rFonts w:ascii="宋体" w:hAnsi="宋体" w:cs="宋体"/>
                <w:color w:val="000000"/>
                <w:sz w:val="20"/>
                <w:szCs w:val="20"/>
              </w:rPr>
              <w:t>592.21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w:t>
            </w:r>
            <w:r>
              <w:rPr>
                <w:rFonts w:ascii="宋体" w:hAnsi="宋体" w:cs="宋体"/>
                <w:color w:val="000000"/>
                <w:sz w:val="20"/>
                <w:szCs w:val="20"/>
              </w:rPr>
              <w:t>43.8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w:t>
            </w:r>
            <w:r>
              <w:rPr>
                <w:rFonts w:ascii="宋体" w:hAnsi="宋体" w:cs="宋体"/>
                <w:color w:val="000000"/>
                <w:sz w:val="20"/>
                <w:szCs w:val="20"/>
              </w:rPr>
              <w:t>63.26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3</w:t>
            </w:r>
            <w:r>
              <w:rPr>
                <w:rFonts w:ascii="宋体" w:hAnsi="宋体" w:cs="宋体"/>
                <w:color w:val="000000"/>
                <w:sz w:val="18"/>
                <w:szCs w:val="18"/>
              </w:rPr>
              <w:t>644.86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w:t>
            </w:r>
            <w:r>
              <w:rPr>
                <w:rFonts w:ascii="宋体" w:hAnsi="宋体" w:cs="宋体"/>
                <w:color w:val="000000"/>
                <w:sz w:val="20"/>
                <w:szCs w:val="20"/>
              </w:rPr>
              <w:t>237.32</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w:t>
            </w:r>
            <w:r>
              <w:rPr>
                <w:rFonts w:ascii="宋体" w:hAnsi="宋体" w:cs="宋体"/>
                <w:color w:val="000000"/>
                <w:sz w:val="18"/>
                <w:szCs w:val="18"/>
              </w:rPr>
              <w:t>13.84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w:t>
            </w:r>
            <w:r>
              <w:rPr>
                <w:rFonts w:ascii="宋体" w:hAnsi="宋体" w:cs="宋体"/>
                <w:color w:val="000000"/>
                <w:sz w:val="20"/>
                <w:szCs w:val="20"/>
              </w:rPr>
              <w:t>021.38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w:t>
            </w:r>
            <w:r>
              <w:rPr>
                <w:rFonts w:ascii="宋体" w:hAnsi="宋体" w:cs="宋体"/>
                <w:color w:val="000000"/>
                <w:sz w:val="18"/>
                <w:szCs w:val="18"/>
              </w:rPr>
              <w:t>258.7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w:t>
            </w:r>
            <w:r>
              <w:rPr>
                <w:rFonts w:ascii="宋体" w:hAnsi="宋体" w:cs="宋体"/>
                <w:color w:val="000000"/>
                <w:sz w:val="20"/>
                <w:szCs w:val="20"/>
              </w:rPr>
              <w:t>258.7</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851"/>
        <w:gridCol w:w="260"/>
        <w:gridCol w:w="235"/>
        <w:gridCol w:w="50"/>
        <w:gridCol w:w="260"/>
        <w:gridCol w:w="270"/>
        <w:gridCol w:w="402"/>
        <w:gridCol w:w="143"/>
        <w:gridCol w:w="271"/>
        <w:gridCol w:w="447"/>
        <w:gridCol w:w="97"/>
        <w:gridCol w:w="271"/>
        <w:gridCol w:w="483"/>
        <w:gridCol w:w="61"/>
        <w:gridCol w:w="271"/>
        <w:gridCol w:w="235"/>
        <w:gridCol w:w="567"/>
        <w:gridCol w:w="992"/>
        <w:gridCol w:w="329"/>
        <w:gridCol w:w="271"/>
      </w:tblGrid>
      <w:tr>
        <w:tblPrEx>
          <w:tblCellMar>
            <w:top w:w="0" w:type="dxa"/>
            <w:left w:w="0" w:type="dxa"/>
            <w:bottom w:w="0" w:type="dxa"/>
            <w:right w:w="0" w:type="dxa"/>
          </w:tblCellMar>
        </w:tblPrEx>
        <w:trPr>
          <w:trHeight w:val="770" w:hRule="atLeast"/>
          <w:jc w:val="center"/>
        </w:trPr>
        <w:tc>
          <w:tcPr>
            <w:tcW w:w="8800" w:type="dxa"/>
            <w:gridSpan w:val="23"/>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gridAfter w:val="1"/>
          <w:wAfter w:w="271" w:type="dxa"/>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4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228" w:hRule="atLeast"/>
          <w:jc w:val="center"/>
        </w:trPr>
        <w:tc>
          <w:tcPr>
            <w:tcW w:w="2885"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部门：工业和信息化局</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3380"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82" w:type="dxa"/>
            <w:gridSpan w:val="4"/>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61"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851"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567" w:type="dxa"/>
            <w:gridSpan w:val="3"/>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567"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92"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600" w:type="dxa"/>
            <w:gridSpan w:val="2"/>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346" w:type="dxa"/>
            <w:gridSpan w:val="3"/>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82" w:type="dxa"/>
            <w:gridSpan w:val="4"/>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61"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51"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gridSpan w:val="3"/>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92"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600" w:type="dxa"/>
            <w:gridSpan w:val="2"/>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338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8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6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5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5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6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3380"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8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w:t>
            </w:r>
            <w:r>
              <w:rPr>
                <w:rFonts w:ascii="宋体" w:hAnsi="宋体" w:cs="宋体"/>
                <w:b/>
                <w:color w:val="000000"/>
                <w:sz w:val="18"/>
                <w:szCs w:val="18"/>
              </w:rPr>
              <w:t>644.86</w:t>
            </w:r>
          </w:p>
        </w:tc>
        <w:tc>
          <w:tcPr>
            <w:tcW w:w="86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ascii="宋体" w:hAnsi="宋体" w:cs="宋体"/>
                <w:b/>
                <w:color w:val="000000"/>
                <w:sz w:val="18"/>
                <w:szCs w:val="18"/>
              </w:rPr>
              <w:t>3644.86</w:t>
            </w:r>
          </w:p>
        </w:tc>
        <w:tc>
          <w:tcPr>
            <w:tcW w:w="85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9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60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35.93</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35.93</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0.48</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0.48</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080505</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 w:val="13"/>
                <w:szCs w:val="13"/>
              </w:rPr>
              <w:t>机关事业单位基本养老保险缴费支出</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0.48</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0.48</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080801</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0899</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089901</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11</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005.59</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005.59</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1103</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005.59</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005.59</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110301</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005.59</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w:t>
            </w:r>
            <w:r>
              <w:rPr>
                <w:rFonts w:ascii="宋体" w:hAnsi="宋体" w:cs="宋体"/>
                <w:color w:val="000000"/>
                <w:szCs w:val="21"/>
              </w:rPr>
              <w:t>005.59</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12</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1208</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国有土地使用权出让收入及对应专项债务收入安排的支出</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120809</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支付破产或改制企业职工安置费</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15</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资源勘探信息等支出</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59.54</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59.54</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1505</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工业和信息产业监管</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59.54</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59.54</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150501</w:t>
            </w:r>
          </w:p>
        </w:tc>
        <w:tc>
          <w:tcPr>
            <w:tcW w:w="2346"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8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59.54</w:t>
            </w:r>
          </w:p>
        </w:tc>
        <w:tc>
          <w:tcPr>
            <w:tcW w:w="86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59.54</w:t>
            </w:r>
          </w:p>
        </w:tc>
        <w:tc>
          <w:tcPr>
            <w:tcW w:w="85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2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88" w:type="dxa"/>
        <w:tblInd w:w="0" w:type="dxa"/>
        <w:tblLayout w:type="fixed"/>
        <w:tblCellMar>
          <w:top w:w="0" w:type="dxa"/>
          <w:left w:w="0" w:type="dxa"/>
          <w:bottom w:w="0" w:type="dxa"/>
          <w:right w:w="0" w:type="dxa"/>
        </w:tblCellMar>
      </w:tblPr>
      <w:tblGrid>
        <w:gridCol w:w="289"/>
        <w:gridCol w:w="288"/>
        <w:gridCol w:w="431"/>
        <w:gridCol w:w="2136"/>
        <w:gridCol w:w="415"/>
        <w:gridCol w:w="473"/>
        <w:gridCol w:w="230"/>
        <w:gridCol w:w="289"/>
        <w:gridCol w:w="599"/>
        <w:gridCol w:w="232"/>
        <w:gridCol w:w="180"/>
        <w:gridCol w:w="872"/>
        <w:gridCol w:w="145"/>
        <w:gridCol w:w="323"/>
        <w:gridCol w:w="548"/>
        <w:gridCol w:w="1110"/>
        <w:gridCol w:w="268"/>
        <w:gridCol w:w="249"/>
        <w:gridCol w:w="11"/>
      </w:tblGrid>
      <w:tr>
        <w:tblPrEx>
          <w:tblCellMar>
            <w:top w:w="0" w:type="dxa"/>
            <w:left w:w="0" w:type="dxa"/>
            <w:bottom w:w="0" w:type="dxa"/>
            <w:right w:w="0" w:type="dxa"/>
          </w:tblCellMar>
        </w:tblPrEx>
        <w:trPr>
          <w:gridAfter w:val="1"/>
          <w:wAfter w:w="11" w:type="dxa"/>
          <w:trHeight w:val="798" w:hRule="atLeast"/>
        </w:trPr>
        <w:tc>
          <w:tcPr>
            <w:tcW w:w="9077" w:type="dxa"/>
            <w:gridSpan w:val="1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gridAfter w:val="2"/>
          <w:wAfter w:w="260" w:type="dxa"/>
          <w:trHeight w:val="404" w:hRule="atLeast"/>
        </w:trPr>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431"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47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28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016"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gridAfter w:val="1"/>
          <w:wAfter w:w="11" w:type="dxa"/>
          <w:trHeight w:val="380" w:hRule="atLeast"/>
        </w:trPr>
        <w:tc>
          <w:tcPr>
            <w:tcW w:w="3144"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部门：工业和信息化局</w:t>
            </w:r>
          </w:p>
        </w:tc>
        <w:tc>
          <w:tcPr>
            <w:tcW w:w="1118"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97"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38" w:hRule="atLeast"/>
        </w:trPr>
        <w:tc>
          <w:tcPr>
            <w:tcW w:w="355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项目</w:t>
            </w:r>
          </w:p>
        </w:tc>
        <w:tc>
          <w:tcPr>
            <w:tcW w:w="992"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11"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872"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468"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658"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528"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330"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功能分类科目编码</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科目名称</w:t>
            </w:r>
          </w:p>
        </w:tc>
        <w:tc>
          <w:tcPr>
            <w:tcW w:w="992"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11"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72"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68"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658"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528"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55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355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w:t>
            </w:r>
            <w:r>
              <w:rPr>
                <w:rFonts w:ascii="宋体" w:hAnsi="宋体" w:cs="宋体"/>
                <w:b/>
                <w:color w:val="000000"/>
                <w:szCs w:val="21"/>
              </w:rPr>
              <w:t>237.32</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w:t>
            </w:r>
            <w:r>
              <w:rPr>
                <w:rFonts w:ascii="宋体" w:hAnsi="宋体" w:cs="宋体"/>
                <w:b/>
                <w:color w:val="000000"/>
                <w:szCs w:val="21"/>
              </w:rPr>
              <w:t>01.31</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w:t>
            </w:r>
            <w:r>
              <w:rPr>
                <w:rFonts w:ascii="宋体" w:hAnsi="宋体" w:cs="宋体"/>
                <w:b/>
                <w:color w:val="000000"/>
                <w:szCs w:val="21"/>
              </w:rPr>
              <w:t>836.01</w:t>
            </w: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38.05</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38.05</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2.6</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2.6</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080505</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 w:val="13"/>
                <w:szCs w:val="13"/>
              </w:rPr>
              <w:t>机关事业单位基本养老保险缴费支出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2.6</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2.6</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080801</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0899</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089901</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11</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1103</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110301</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12</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1208</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国有土地使用权出让收入及对应专项债务收入安排的支出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120809</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支付破产或改制企业职工安置费</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43.8</w:t>
            </w: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15</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资源勘探信息等支出</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1505</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工业和信息产业监管</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150501</w:t>
            </w:r>
          </w:p>
        </w:tc>
        <w:tc>
          <w:tcPr>
            <w:tcW w:w="25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92"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101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4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65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2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11" w:type="dxa"/>
          <w:trHeight w:val="454" w:hRule="atLeast"/>
        </w:trPr>
        <w:tc>
          <w:tcPr>
            <w:tcW w:w="9077" w:type="dxa"/>
            <w:gridSpan w:val="1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Cs w:val="21"/>
              </w:rPr>
              <w:t>部门：工业和信息化局</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3401.6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243.8</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138.05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138.05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2592.21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2592.21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243.8</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263.26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263.26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3644.86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3237.32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2993.52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243.8</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613.84</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1021.38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1021.38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613.84</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4258.7</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4258.7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4014.9</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243.8</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部门：工业和信息化局</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2993.52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401.31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2592.21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38.05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38.05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2.6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2.6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 w:val="13"/>
                <w:szCs w:val="13"/>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2.6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w:t>
            </w:r>
            <w:r>
              <w:rPr>
                <w:rFonts w:ascii="宋体" w:hAnsi="宋体" w:cs="宋体"/>
                <w:color w:val="000000"/>
                <w:szCs w:val="21"/>
              </w:rPr>
              <w:t>2.6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080801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5.23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089901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w:t>
            </w:r>
            <w:r>
              <w:rPr>
                <w:rFonts w:ascii="宋体" w:hAnsi="宋体" w:cs="宋体"/>
                <w:color w:val="000000"/>
                <w:szCs w:val="21"/>
              </w:rPr>
              <w:t>0.23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1103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110301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592.21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资源勘探信息等支出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工业和信息产业监管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150501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63.26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Cs w:val="21"/>
              </w:rPr>
              <w:t>工业和信息化局</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234.86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72.83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75.25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13.85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5.27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59.54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32.61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60.23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18.25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6.82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93.61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21.01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65.23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23.69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328.47</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72.83</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Cs w:val="21"/>
              </w:rPr>
              <w:t>工业和信息化局</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2.5</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0.5</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2.34</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2.34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2.34</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部门：工业和信息化局</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243.8</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243.8</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243.8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12</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243.8</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243.8</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243.8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1208</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国有土地使用权出让收入及对应专项债务收入安排的支出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243.8</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243.8</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243.8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w:t>
            </w:r>
            <w:r>
              <w:rPr>
                <w:rFonts w:ascii="宋体" w:hAnsi="宋体" w:cs="宋体"/>
                <w:color w:val="000000"/>
                <w:szCs w:val="21"/>
              </w:rPr>
              <w:t>120809</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rPr>
              <w:t>支付破产或改制企业职工安置费</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243.8</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243.8</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243.8</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编制单位：工业和信息化局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本部门本年度无相关支出情况，按要求空表列示</w:t>
            </w:r>
            <w:r>
              <w:rPr>
                <w:rFonts w:hint="eastAsia" w:ascii="宋体" w:hAnsi="宋体" w:cs="宋体"/>
                <w:color w:val="000000"/>
                <w:kern w:val="0"/>
                <w:sz w:val="22"/>
                <w:szCs w:val="22"/>
              </w:rPr>
              <w:t>。</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2"/>
                <w:szCs w:val="22"/>
              </w:rPr>
              <w:t>工业和信息化局</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注：本部门本年度无相关支出情况，按要求空表列示。</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-1328420</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29" o:spid="_x0000_s1029" o:spt="202" type="#_x0000_t202" style="position:absolute;left:0pt;margin-left:-78.7pt;margin-top:232.8pt;height:159.1pt;width:596.2pt;z-index:25164390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KzpeAIAACMFAAAOAAAAZHJzL2Uyb0RvYy54bWysVM1uEzEQviPxDpbvdDdpQyDqpgqtipAq&#10;WlEQZ8drNytsj7En2Q0PAG/AiQt3nqvPwdibTavCpYjLrj3zzd83Mz4+6axhGxViA67io4OSM+Uk&#10;1I27qfiH9+fPXnAWUbhaGHCq4lsV+cn86ZPj1s/UGFZgahUYOXFx1vqKrxD9rCiiXCkr4gF45Uip&#10;IViBdA03RR1ES96tKcZl+bxoIdQ+gFQxkvSsV/J59q+1knipdVTITMUpN8zfkL/L9C3mx2J2E4Rf&#10;NXKXhviHLKxoHAXduzoTKNg6NH+4so0MEEHjgQRbgNaNVLkGqmZUPqjmeiW8yrUQOdHvaYr/z618&#10;u7kKrKkrPuHMCUstuv3+7fbHr9ufX9kk0dP6OCPUtSccdq+gozYP8kjCVHWng01/qoeRnoje7slV&#10;HTJJwulkOpoekUqSblyOy8k001/cmfsQ8bUCy9Kh4oG6l0kVm4uIlApBB0iK5uC8MSZ30DjWVvz5&#10;4aTMBnsNWRhHhqmIPtl8wq1RyYNx75Sm6nPOSZDnTp2awDaCJkZIqRzmcrMnQieUprCPMdzhk6nK&#10;M/kY471FjgwO98a2cRByvQ/Srj8NKesePzDQ150owG7Z5bYfDr1cQr2lFgfodyR6ed5QGy5ExCsR&#10;aCmodbToeEkfbYDoht2JsxWEL3+TJzzNKmk5a2nJKh4/r0VQnJk3jqb45egoTQTmy9FkOqZLuK9Z&#10;3te4tT0F6sqInhQv8zHh0QxHHcB+pPdgkaKSSjhJsSuOw/EU+9Wn90SqxSKDaA+9wAt37WVynVh2&#10;sFgj6CbPXGKr52bHIm1iHsXdq5FW/f49o+7etvlvAAAA//8DAFBLAwQUAAYACAAAACEA0szZNeQA&#10;AAANAQAADwAAAGRycy9kb3ducmV2LnhtbEyPy27CMBBF95X6D9ZU6g4cHglRyAShSKhS1S6gbLqb&#10;xCaJ8CONDaT9+ppVuxzN0b3n5ptRK3aVg+usQZhNI2DS1FZ0pkE4fuwmKTDnyQhS1kiEb+lgUzw+&#10;5JQJezN7eT34hoUQ4zJCaL3vM85d3UpNbmp7acLvZAdNPpxDw8VAtxCuFZ9HUcI1dSY0tNTLspX1&#10;+XDRCK/l7p321VynP6p8eTtt+6/jZ4z4/DRu18C8HP0fDHf9oA5FcKrsxQjHFMJkFq+WgUVYJnEC&#10;7I5EizjsqxBW6SIFXuT8/4riFwAA//8DAFBLAQItABQABgAIAAAAIQC2gziS/gAAAOEBAAATAAAA&#10;AAAAAAAAAAAAAAAAAABbQ29udGVudF9UeXBlc10ueG1sUEsBAi0AFAAGAAgAAAAhADj9If/WAAAA&#10;lAEAAAsAAAAAAAAAAAAAAAAALwEAAF9yZWxzLy5yZWxzUEsBAi0AFAAGAAgAAAAhAKIorOl4AgAA&#10;IwUAAA4AAAAAAAAAAAAAAAAALgIAAGRycy9lMm9Eb2MueG1sUEsBAi0AFAAGAAgAAAAhANLM2TXk&#10;AAAADQEAAA8AAAAAAAAAAAAAAAAA0gQAAGRycy9kb3ducmV2LnhtbFBLBQYAAAAABAAEAPMAAADj&#10;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bookmarkStart w:id="0" w:name="_Hlk19088296"/>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eastAsia="仿宋_GB2312" w:cs="DengXian-Regular"/>
          <w:sz w:val="32"/>
          <w:szCs w:val="32"/>
        </w:rPr>
        <w:t>本部门2018年度收支总计（含结转和结余）4258.7万元。与2017年度决算相比，收支各增加2</w:t>
      </w:r>
      <w:r>
        <w:rPr>
          <w:rFonts w:ascii="仿宋_GB2312" w:eastAsia="仿宋_GB2312" w:cs="DengXian-Regular"/>
          <w:sz w:val="32"/>
          <w:szCs w:val="32"/>
        </w:rPr>
        <w:t>634.14</w:t>
      </w:r>
      <w:r>
        <w:rPr>
          <w:rFonts w:hint="eastAsia" w:ascii="仿宋_GB2312" w:eastAsia="仿宋_GB2312" w:cs="DengXian-Regular"/>
          <w:sz w:val="32"/>
          <w:szCs w:val="32"/>
        </w:rPr>
        <w:t>万元，增长1</w:t>
      </w:r>
      <w:r>
        <w:rPr>
          <w:rFonts w:ascii="仿宋_GB2312" w:eastAsia="仿宋_GB2312" w:cs="DengXian-Regular"/>
          <w:sz w:val="32"/>
          <w:szCs w:val="32"/>
        </w:rPr>
        <w:t>62.1</w:t>
      </w:r>
      <w:r>
        <w:rPr>
          <w:rFonts w:hint="eastAsia" w:ascii="仿宋_GB2312" w:eastAsia="仿宋_GB2312" w:cs="DengXian-Regular"/>
          <w:sz w:val="32"/>
          <w:szCs w:val="32"/>
        </w:rPr>
        <w:t>%，主要原因是</w:t>
      </w:r>
      <w:r>
        <w:rPr>
          <w:rFonts w:hint="eastAsia" w:ascii="仿宋_GB2312" w:hAnsi="仿宋_GB2312" w:eastAsia="仿宋_GB2312" w:cs="仿宋_GB2312"/>
          <w:sz w:val="32"/>
          <w:szCs w:val="32"/>
        </w:rPr>
        <w:t>大气污染防治支出增加。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本部门2018年度本年收入合计3644.86万元，其中：财政拨款收入3644.86万元，占100%；事业收入0万元，占0%；经营收入0万元，占0%；其他收入0万元，占0%。如图所示：</w:t>
      </w:r>
    </w:p>
    <w:p>
      <w:pPr>
        <w:pStyle w:val="3"/>
        <w:spacing w:before="0" w:after="0" w:line="240" w:lineRule="auto"/>
        <w:rPr>
          <w:rFonts w:ascii="黑体" w:eastAsia="黑体"/>
        </w:rPr>
      </w:pPr>
    </w:p>
    <w:p>
      <w:pPr>
        <w:pStyle w:val="3"/>
        <w:spacing w:before="0" w:after="0" w:line="240" w:lineRule="auto"/>
        <w:ind w:firstLine="643" w:firstLineChars="200"/>
        <w:rPr>
          <w:rFonts w:ascii="黑体" w:eastAsia="黑体"/>
        </w:rPr>
      </w:pPr>
      <w:r>
        <w:drawing>
          <wp:inline distT="0" distB="0" distL="0" distR="0">
            <wp:extent cx="4391025" cy="2552700"/>
            <wp:effectExtent l="57150" t="0" r="47625" b="11430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本部门2018年度本年支出合计3237.32万元，其中：基本支出401.31万元，占</w:t>
      </w:r>
      <w:r>
        <w:rPr>
          <w:rFonts w:ascii="仿宋_GB2312" w:eastAsia="仿宋_GB2312" w:cs="DengXian-Regular"/>
          <w:sz w:val="32"/>
          <w:szCs w:val="32"/>
        </w:rPr>
        <w:t>12.4</w:t>
      </w:r>
      <w:r>
        <w:rPr>
          <w:rFonts w:hint="eastAsia" w:ascii="仿宋_GB2312" w:eastAsia="仿宋_GB2312" w:cs="DengXian-Regular"/>
          <w:sz w:val="32"/>
          <w:szCs w:val="32"/>
        </w:rPr>
        <w:t>%；项目支出2836.01万元，占</w:t>
      </w:r>
      <w:r>
        <w:rPr>
          <w:rFonts w:ascii="仿宋_GB2312" w:eastAsia="仿宋_GB2312" w:cs="DengXian-Regular"/>
          <w:sz w:val="32"/>
          <w:szCs w:val="32"/>
        </w:rPr>
        <w:t>87.6</w:t>
      </w:r>
      <w:r>
        <w:rPr>
          <w:rFonts w:hint="eastAsia" w:ascii="仿宋_GB2312" w:eastAsia="仿宋_GB2312" w:cs="DengXian-Regular"/>
          <w:sz w:val="32"/>
          <w:szCs w:val="32"/>
        </w:rPr>
        <w:t>%；经营支出0万元，占0%。如图所示：</w:t>
      </w:r>
    </w:p>
    <w:p>
      <w:pPr>
        <w:pStyle w:val="3"/>
        <w:spacing w:before="0" w:after="0" w:line="240" w:lineRule="auto"/>
        <w:ind w:firstLine="643" w:firstLineChars="200"/>
        <w:rPr>
          <w:rFonts w:ascii="黑体" w:eastAsia="黑体"/>
          <w:b w:val="0"/>
          <w:bCs w:val="0"/>
        </w:rPr>
      </w:pPr>
      <w:r>
        <w:drawing>
          <wp:inline distT="0" distB="0" distL="0" distR="0">
            <wp:extent cx="4219575" cy="2514600"/>
            <wp:effectExtent l="57150" t="0" r="47625" b="11430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ascii="仿宋_GB2312" w:eastAsia="仿宋_GB2312" w:cs="DengXian-Regular"/>
          <w:sz w:val="32"/>
          <w:szCs w:val="32"/>
        </w:rPr>
        <w:t>3644.86</w:t>
      </w:r>
      <w:r>
        <w:rPr>
          <w:rFonts w:hint="eastAsia" w:ascii="仿宋_GB2312" w:eastAsia="仿宋_GB2312" w:cs="DengXian-Regular"/>
          <w:sz w:val="32"/>
          <w:szCs w:val="32"/>
        </w:rPr>
        <w:t>万元,比2017年度增加2</w:t>
      </w:r>
      <w:r>
        <w:rPr>
          <w:rFonts w:ascii="仿宋_GB2312" w:eastAsia="仿宋_GB2312" w:cs="DengXian-Regular"/>
          <w:sz w:val="32"/>
          <w:szCs w:val="32"/>
        </w:rPr>
        <w:t>020.3</w:t>
      </w:r>
      <w:r>
        <w:rPr>
          <w:rFonts w:hint="eastAsia" w:ascii="仿宋_GB2312" w:eastAsia="仿宋_GB2312" w:cs="DengXian-Regular"/>
          <w:sz w:val="32"/>
          <w:szCs w:val="32"/>
        </w:rPr>
        <w:t>万元，增长1</w:t>
      </w:r>
      <w:r>
        <w:rPr>
          <w:rFonts w:ascii="仿宋_GB2312" w:eastAsia="仿宋_GB2312" w:cs="DengXian-Regular"/>
          <w:sz w:val="32"/>
          <w:szCs w:val="32"/>
        </w:rPr>
        <w:t>24.4</w:t>
      </w:r>
      <w:r>
        <w:rPr>
          <w:rFonts w:hint="eastAsia" w:ascii="仿宋_GB2312" w:eastAsia="仿宋_GB2312" w:cs="DengXian-Regular"/>
          <w:sz w:val="32"/>
          <w:szCs w:val="32"/>
        </w:rPr>
        <w:t>%，主要是节能</w:t>
      </w:r>
      <w:r>
        <w:rPr>
          <w:rFonts w:hint="eastAsia" w:ascii="仿宋_GB2312" w:hAnsi="仿宋_GB2312" w:eastAsia="仿宋_GB2312" w:cs="仿宋_GB2312"/>
          <w:sz w:val="32"/>
          <w:szCs w:val="32"/>
        </w:rPr>
        <w:t>环保支出增加；</w:t>
      </w:r>
      <w:r>
        <w:rPr>
          <w:rFonts w:hint="eastAsia" w:ascii="仿宋_GB2312" w:eastAsia="仿宋_GB2312" w:cs="DengXian-Regular"/>
          <w:sz w:val="32"/>
          <w:szCs w:val="32"/>
        </w:rPr>
        <w:t>本年支出</w:t>
      </w:r>
      <w:r>
        <w:rPr>
          <w:rFonts w:ascii="仿宋_GB2312" w:eastAsia="仿宋_GB2312" w:cs="DengXian-Regular"/>
          <w:sz w:val="32"/>
          <w:szCs w:val="32"/>
        </w:rPr>
        <w:t>3237.32</w:t>
      </w:r>
      <w:r>
        <w:rPr>
          <w:rFonts w:hint="eastAsia" w:ascii="仿宋_GB2312" w:eastAsia="仿宋_GB2312" w:cs="DengXian-Regular"/>
          <w:sz w:val="32"/>
          <w:szCs w:val="32"/>
        </w:rPr>
        <w:t>万元，增加2</w:t>
      </w:r>
      <w:r>
        <w:rPr>
          <w:rFonts w:ascii="仿宋_GB2312" w:eastAsia="仿宋_GB2312" w:cs="DengXian-Regular"/>
          <w:sz w:val="32"/>
          <w:szCs w:val="32"/>
        </w:rPr>
        <w:t>226.6</w:t>
      </w:r>
      <w:r>
        <w:rPr>
          <w:rFonts w:hint="eastAsia" w:ascii="仿宋_GB2312" w:eastAsia="仿宋_GB2312" w:cs="DengXian-Regular"/>
          <w:sz w:val="32"/>
          <w:szCs w:val="32"/>
        </w:rPr>
        <w:t>万元，增长2</w:t>
      </w:r>
      <w:r>
        <w:rPr>
          <w:rFonts w:ascii="仿宋_GB2312" w:eastAsia="仿宋_GB2312" w:cs="DengXian-Regular"/>
          <w:sz w:val="32"/>
          <w:szCs w:val="32"/>
        </w:rPr>
        <w:t>20.3</w:t>
      </w:r>
      <w:r>
        <w:rPr>
          <w:rFonts w:hint="eastAsia" w:ascii="仿宋_GB2312" w:eastAsia="仿宋_GB2312" w:cs="DengXian-Regular"/>
          <w:sz w:val="32"/>
          <w:szCs w:val="32"/>
        </w:rPr>
        <w:t>%，主要是节能</w:t>
      </w:r>
      <w:r>
        <w:rPr>
          <w:rFonts w:hint="eastAsia" w:ascii="仿宋_GB2312" w:hAnsi="仿宋_GB2312" w:eastAsia="仿宋_GB2312" w:cs="仿宋_GB2312"/>
          <w:sz w:val="32"/>
          <w:szCs w:val="32"/>
        </w:rPr>
        <w:t>环保支出增加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eastAsia="仿宋_GB2312" w:cs="DengXian-Regular"/>
          <w:sz w:val="32"/>
          <w:szCs w:val="32"/>
        </w:rPr>
        <w:t>其中：一般公共预算财政拨款本年收入</w:t>
      </w:r>
      <w:r>
        <w:rPr>
          <w:rFonts w:ascii="仿宋_GB2312" w:eastAsia="仿宋_GB2312" w:cs="DengXian-Regular"/>
          <w:sz w:val="32"/>
          <w:szCs w:val="32"/>
        </w:rPr>
        <w:t>3401.06</w:t>
      </w:r>
      <w:r>
        <w:rPr>
          <w:rFonts w:hint="eastAsia" w:ascii="仿宋_GB2312" w:eastAsia="仿宋_GB2312" w:cs="DengXian-Regular"/>
          <w:sz w:val="32"/>
          <w:szCs w:val="32"/>
        </w:rPr>
        <w:t>万元，比上年增加</w:t>
      </w:r>
      <w:r>
        <w:rPr>
          <w:rFonts w:hint="eastAsia" w:ascii="仿宋_GB2312" w:hAnsi="仿宋_GB2312" w:eastAsia="仿宋_GB2312" w:cs="仿宋_GB2312"/>
          <w:sz w:val="32"/>
          <w:szCs w:val="32"/>
        </w:rPr>
        <w:t>1849.69</w:t>
      </w:r>
      <w:r>
        <w:rPr>
          <w:rFonts w:hint="eastAsia" w:ascii="仿宋_GB2312" w:eastAsia="仿宋_GB2312" w:cs="DengXian-Regular"/>
          <w:sz w:val="32"/>
          <w:szCs w:val="32"/>
        </w:rPr>
        <w:t>万元；主要是节能</w:t>
      </w:r>
      <w:r>
        <w:rPr>
          <w:rFonts w:hint="eastAsia" w:ascii="仿宋_GB2312" w:hAnsi="仿宋_GB2312" w:eastAsia="仿宋_GB2312" w:cs="仿宋_GB2312"/>
          <w:sz w:val="32"/>
          <w:szCs w:val="32"/>
        </w:rPr>
        <w:t>环保收入增加</w:t>
      </w:r>
      <w:r>
        <w:rPr>
          <w:rFonts w:hint="eastAsia" w:ascii="仿宋_GB2312" w:eastAsia="仿宋_GB2312" w:cs="DengXian-Regular"/>
          <w:sz w:val="32"/>
          <w:szCs w:val="32"/>
        </w:rPr>
        <w:t>；本年支出</w:t>
      </w:r>
      <w:r>
        <w:rPr>
          <w:rFonts w:hint="eastAsia" w:ascii="仿宋_GB2312" w:hAnsi="仿宋_GB2312" w:eastAsia="仿宋_GB2312" w:cs="仿宋_GB2312"/>
          <w:sz w:val="32"/>
          <w:szCs w:val="32"/>
        </w:rPr>
        <w:t>2993.52</w:t>
      </w:r>
      <w:r>
        <w:rPr>
          <w:rFonts w:hint="eastAsia" w:ascii="仿宋_GB2312" w:eastAsia="仿宋_GB2312" w:cs="DengXian-Regular"/>
          <w:sz w:val="32"/>
          <w:szCs w:val="32"/>
        </w:rPr>
        <w:t>万元，比上年增加</w:t>
      </w:r>
      <w:r>
        <w:rPr>
          <w:rFonts w:hint="eastAsia" w:ascii="仿宋_GB2312" w:hAnsi="仿宋_GB2312" w:eastAsia="仿宋_GB2312" w:cs="仿宋_GB2312"/>
          <w:sz w:val="32"/>
          <w:szCs w:val="32"/>
        </w:rPr>
        <w:t>2055.98</w:t>
      </w:r>
      <w:r>
        <w:rPr>
          <w:rFonts w:hint="eastAsia" w:ascii="仿宋_GB2312" w:eastAsia="仿宋_GB2312" w:cs="DengXian-Regular"/>
          <w:sz w:val="32"/>
          <w:szCs w:val="32"/>
        </w:rPr>
        <w:t>万元，增长</w:t>
      </w:r>
      <w:r>
        <w:rPr>
          <w:rFonts w:hint="eastAsia" w:ascii="仿宋_GB2312" w:hAnsi="仿宋_GB2312" w:eastAsia="仿宋_GB2312" w:cs="仿宋_GB2312"/>
          <w:sz w:val="32"/>
          <w:szCs w:val="32"/>
        </w:rPr>
        <w:t>219.3%</w:t>
      </w:r>
      <w:r>
        <w:rPr>
          <w:rFonts w:hint="eastAsia" w:ascii="仿宋_GB2312" w:eastAsia="仿宋_GB2312" w:cs="DengXian-Regular"/>
          <w:sz w:val="32"/>
          <w:szCs w:val="32"/>
        </w:rPr>
        <w:t>，主要是节能</w:t>
      </w:r>
      <w:r>
        <w:rPr>
          <w:rFonts w:hint="eastAsia" w:ascii="仿宋_GB2312" w:hAnsi="仿宋_GB2312" w:eastAsia="仿宋_GB2312" w:cs="仿宋_GB2312"/>
          <w:sz w:val="32"/>
          <w:szCs w:val="32"/>
        </w:rPr>
        <w:t>环保支出增加</w:t>
      </w:r>
      <w:r>
        <w:rPr>
          <w:rFonts w:hint="eastAsia" w:ascii="仿宋_GB2312" w:eastAsia="仿宋_GB2312" w:cs="DengXian-Regular"/>
          <w:sz w:val="32"/>
          <w:szCs w:val="32"/>
        </w:rPr>
        <w:t>。政府性基金预算财政拨款本年收入</w:t>
      </w:r>
      <w:r>
        <w:rPr>
          <w:rFonts w:ascii="仿宋_GB2312" w:eastAsia="仿宋_GB2312" w:cs="DengXian-Regular"/>
          <w:sz w:val="32"/>
          <w:szCs w:val="32"/>
        </w:rPr>
        <w:t>243.8</w:t>
      </w:r>
      <w:r>
        <w:rPr>
          <w:rFonts w:hint="eastAsia" w:ascii="仿宋_GB2312" w:eastAsia="仿宋_GB2312" w:cs="DengXian-Regular"/>
          <w:sz w:val="32"/>
          <w:szCs w:val="32"/>
        </w:rPr>
        <w:t>万元，比上年增加1</w:t>
      </w:r>
      <w:r>
        <w:rPr>
          <w:rFonts w:ascii="仿宋_GB2312" w:eastAsia="仿宋_GB2312" w:cs="DengXian-Regular"/>
          <w:sz w:val="32"/>
          <w:szCs w:val="32"/>
        </w:rPr>
        <w:t>70.61</w:t>
      </w:r>
      <w:r>
        <w:rPr>
          <w:rFonts w:hint="eastAsia" w:ascii="仿宋_GB2312" w:eastAsia="仿宋_GB2312" w:cs="DengXian-Regular"/>
          <w:sz w:val="32"/>
          <w:szCs w:val="32"/>
        </w:rPr>
        <w:t>万元，增长2</w:t>
      </w:r>
      <w:r>
        <w:rPr>
          <w:rFonts w:ascii="仿宋_GB2312" w:eastAsia="仿宋_GB2312" w:cs="DengXian-Regular"/>
          <w:sz w:val="32"/>
          <w:szCs w:val="32"/>
        </w:rPr>
        <w:t>33.1</w:t>
      </w:r>
      <w:r>
        <w:rPr>
          <w:rFonts w:hint="eastAsia" w:ascii="仿宋_GB2312" w:eastAsia="仿宋_GB2312" w:cs="DengXian-Regular"/>
          <w:sz w:val="32"/>
          <w:szCs w:val="32"/>
        </w:rPr>
        <w:t>%，主要原因是增加</w:t>
      </w:r>
      <w:r>
        <w:rPr>
          <w:rFonts w:hint="eastAsia" w:ascii="仿宋_GB2312" w:hAnsi="仿宋_GB2312" w:eastAsia="仿宋_GB2312" w:cs="仿宋_GB2312"/>
          <w:sz w:val="32"/>
          <w:szCs w:val="32"/>
        </w:rPr>
        <w:t>破产或改制企业职工安置费</w:t>
      </w:r>
      <w:r>
        <w:rPr>
          <w:rFonts w:hint="eastAsia" w:ascii="仿宋_GB2312" w:eastAsia="仿宋_GB2312" w:cs="DengXian-Regular"/>
          <w:sz w:val="32"/>
          <w:szCs w:val="32"/>
        </w:rPr>
        <w:t>；本年支出</w:t>
      </w:r>
      <w:r>
        <w:rPr>
          <w:rFonts w:ascii="仿宋_GB2312" w:eastAsia="仿宋_GB2312" w:cs="DengXian-Regular"/>
          <w:sz w:val="32"/>
          <w:szCs w:val="32"/>
        </w:rPr>
        <w:t>243.8</w:t>
      </w:r>
      <w:r>
        <w:rPr>
          <w:rFonts w:hint="eastAsia" w:ascii="仿宋_GB2312" w:eastAsia="仿宋_GB2312" w:cs="DengXian-Regular"/>
          <w:sz w:val="32"/>
          <w:szCs w:val="32"/>
        </w:rPr>
        <w:t>万元，比上年增加1</w:t>
      </w:r>
      <w:r>
        <w:rPr>
          <w:rFonts w:ascii="仿宋_GB2312" w:eastAsia="仿宋_GB2312" w:cs="DengXian-Regular"/>
          <w:sz w:val="32"/>
          <w:szCs w:val="32"/>
        </w:rPr>
        <w:t>70.61</w:t>
      </w:r>
      <w:r>
        <w:rPr>
          <w:rFonts w:hint="eastAsia" w:ascii="仿宋_GB2312" w:eastAsia="仿宋_GB2312" w:cs="DengXian-Regular"/>
          <w:sz w:val="32"/>
          <w:szCs w:val="32"/>
        </w:rPr>
        <w:t>万元，增长2</w:t>
      </w:r>
      <w:r>
        <w:rPr>
          <w:rFonts w:ascii="仿宋_GB2312" w:eastAsia="仿宋_GB2312" w:cs="DengXian-Regular"/>
          <w:sz w:val="32"/>
          <w:szCs w:val="32"/>
        </w:rPr>
        <w:t>33.1</w:t>
      </w:r>
      <w:r>
        <w:rPr>
          <w:rFonts w:hint="eastAsia" w:ascii="仿宋_GB2312" w:eastAsia="仿宋_GB2312" w:cs="DengXian-Regular"/>
          <w:sz w:val="32"/>
          <w:szCs w:val="32"/>
        </w:rPr>
        <w:t>%，主要是增加</w:t>
      </w:r>
      <w:r>
        <w:rPr>
          <w:rFonts w:hint="eastAsia" w:ascii="仿宋_GB2312" w:hAnsi="仿宋_GB2312" w:eastAsia="仿宋_GB2312" w:cs="仿宋_GB2312"/>
          <w:sz w:val="32"/>
          <w:szCs w:val="32"/>
        </w:rPr>
        <w:t>破产或改制企业职工安置费。</w:t>
      </w: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0" distR="0">
            <wp:extent cx="4572000" cy="2981325"/>
            <wp:effectExtent l="57150" t="0" r="57150" b="10477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ascii="仿宋_GB2312" w:eastAsia="仿宋_GB2312" w:cs="DengXian-Regular"/>
          <w:sz w:val="32"/>
          <w:szCs w:val="32"/>
        </w:rPr>
        <w:t>3644.86</w:t>
      </w:r>
      <w:r>
        <w:rPr>
          <w:rFonts w:hint="eastAsia" w:ascii="仿宋_GB2312" w:eastAsia="仿宋_GB2312" w:cs="DengXian-Regular"/>
          <w:sz w:val="32"/>
          <w:szCs w:val="32"/>
        </w:rPr>
        <w:t>万元，完成年初预算的</w:t>
      </w:r>
      <w:r>
        <w:rPr>
          <w:rFonts w:ascii="仿宋_GB2312" w:eastAsia="仿宋_GB2312" w:cs="DengXian-Regular"/>
          <w:sz w:val="32"/>
          <w:szCs w:val="32"/>
        </w:rPr>
        <w:t>167</w:t>
      </w:r>
      <w:r>
        <w:rPr>
          <w:rFonts w:hint="eastAsia" w:ascii="仿宋_GB2312" w:eastAsia="仿宋_GB2312" w:cs="DengXian-Regular"/>
          <w:sz w:val="32"/>
          <w:szCs w:val="32"/>
        </w:rPr>
        <w:t>%,比年初预算增加</w:t>
      </w:r>
      <w:r>
        <w:rPr>
          <w:rFonts w:hint="eastAsia" w:ascii="仿宋_GB2312" w:hAnsi="仿宋_GB2312" w:eastAsia="仿宋_GB2312" w:cs="仿宋_GB2312"/>
          <w:sz w:val="32"/>
          <w:szCs w:val="32"/>
        </w:rPr>
        <w:t>2279.79万</w:t>
      </w:r>
      <w:r>
        <w:rPr>
          <w:rFonts w:hint="eastAsia" w:ascii="仿宋_GB2312" w:eastAsia="仿宋_GB2312" w:cs="DengXian-Regular"/>
          <w:sz w:val="32"/>
          <w:szCs w:val="32"/>
        </w:rPr>
        <w:t>元，决算数大于预算数主要原因是节能</w:t>
      </w:r>
      <w:r>
        <w:rPr>
          <w:rFonts w:hint="eastAsia" w:ascii="仿宋_GB2312" w:hAnsi="仿宋_GB2312" w:eastAsia="仿宋_GB2312" w:cs="仿宋_GB2312"/>
          <w:sz w:val="32"/>
          <w:szCs w:val="32"/>
        </w:rPr>
        <w:t>环保支出增加；</w:t>
      </w:r>
      <w:r>
        <w:rPr>
          <w:rFonts w:hint="eastAsia" w:ascii="仿宋_GB2312" w:eastAsia="仿宋_GB2312" w:cs="DengXian-Regular"/>
          <w:sz w:val="32"/>
          <w:szCs w:val="32"/>
        </w:rPr>
        <w:t>本年支出</w:t>
      </w:r>
      <w:r>
        <w:rPr>
          <w:rFonts w:ascii="仿宋_GB2312" w:eastAsia="仿宋_GB2312" w:cs="DengXian-Regular"/>
          <w:sz w:val="32"/>
          <w:szCs w:val="32"/>
        </w:rPr>
        <w:t>3237.32</w:t>
      </w:r>
      <w:r>
        <w:rPr>
          <w:rFonts w:hint="eastAsia" w:ascii="仿宋_GB2312" w:eastAsia="仿宋_GB2312" w:cs="DengXian-Regular"/>
          <w:sz w:val="32"/>
          <w:szCs w:val="32"/>
        </w:rPr>
        <w:t>万元，完成年初预算的</w:t>
      </w:r>
      <w:r>
        <w:rPr>
          <w:rFonts w:ascii="仿宋_GB2312" w:eastAsia="仿宋_GB2312" w:cs="DengXian-Regular"/>
          <w:sz w:val="32"/>
          <w:szCs w:val="32"/>
        </w:rPr>
        <w:t>137.2</w:t>
      </w:r>
      <w:r>
        <w:rPr>
          <w:rFonts w:hint="eastAsia" w:ascii="仿宋_GB2312" w:eastAsia="仿宋_GB2312" w:cs="DengXian-Regular"/>
          <w:sz w:val="32"/>
          <w:szCs w:val="32"/>
        </w:rPr>
        <w:t>%,比年初预算增加1</w:t>
      </w:r>
      <w:r>
        <w:rPr>
          <w:rFonts w:ascii="仿宋_GB2312" w:eastAsia="仿宋_GB2312" w:cs="DengXian-Regular"/>
          <w:sz w:val="32"/>
          <w:szCs w:val="32"/>
        </w:rPr>
        <w:t>872.25</w:t>
      </w:r>
      <w:r>
        <w:rPr>
          <w:rFonts w:hint="eastAsia" w:ascii="仿宋_GB2312" w:eastAsia="仿宋_GB2312" w:cs="DengXian-Regular"/>
          <w:sz w:val="32"/>
          <w:szCs w:val="32"/>
        </w:rPr>
        <w:t>万元，决算数大于预算数主要原因是主要是节能</w:t>
      </w:r>
      <w:r>
        <w:rPr>
          <w:rFonts w:hint="eastAsia" w:ascii="仿宋_GB2312" w:hAnsi="仿宋_GB2312" w:eastAsia="仿宋_GB2312" w:cs="仿宋_GB2312"/>
          <w:sz w:val="32"/>
          <w:szCs w:val="32"/>
        </w:rPr>
        <w:t>环保支出增加。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ascii="仿宋_GB2312" w:eastAsia="仿宋_GB2312" w:cs="DengXian-Regular"/>
          <w:sz w:val="32"/>
          <w:szCs w:val="32"/>
        </w:rPr>
        <w:t>3401.06</w:t>
      </w:r>
      <w:r>
        <w:rPr>
          <w:rFonts w:hint="eastAsia" w:ascii="仿宋_GB2312" w:eastAsia="仿宋_GB2312" w:cs="DengXian-Regular"/>
          <w:sz w:val="32"/>
          <w:szCs w:val="32"/>
        </w:rPr>
        <w:t>万元，完成年初预算</w:t>
      </w:r>
      <w:r>
        <w:rPr>
          <w:rFonts w:ascii="仿宋_GB2312" w:eastAsia="仿宋_GB2312" w:cs="DengXian-Regular"/>
          <w:sz w:val="32"/>
          <w:szCs w:val="32"/>
        </w:rPr>
        <w:t>14</w:t>
      </w:r>
      <w:r>
        <w:rPr>
          <w:rFonts w:hint="eastAsia" w:ascii="仿宋_GB2312" w:hAnsi="仿宋_GB2312" w:eastAsia="仿宋_GB2312" w:cs="仿宋_GB2312"/>
          <w:sz w:val="32"/>
          <w:szCs w:val="32"/>
        </w:rPr>
        <w:t>9.1</w:t>
      </w:r>
      <w:r>
        <w:rPr>
          <w:rFonts w:hint="eastAsia" w:ascii="仿宋_GB2312" w:eastAsia="仿宋_GB2312" w:cs="DengXian-Regular"/>
          <w:sz w:val="32"/>
          <w:szCs w:val="32"/>
        </w:rPr>
        <w:t>%，比年初预算增加</w:t>
      </w:r>
      <w:r>
        <w:rPr>
          <w:rFonts w:ascii="仿宋_GB2312" w:eastAsia="仿宋_GB2312" w:cs="DengXian-Regular"/>
          <w:sz w:val="32"/>
          <w:szCs w:val="32"/>
        </w:rPr>
        <w:t>2035.</w:t>
      </w:r>
      <w:r>
        <w:rPr>
          <w:rFonts w:hint="eastAsia" w:ascii="仿宋_GB2312" w:hAnsi="仿宋_GB2312" w:eastAsia="仿宋_GB2312" w:cs="仿宋_GB2312"/>
          <w:sz w:val="32"/>
          <w:szCs w:val="32"/>
        </w:rPr>
        <w:t>99</w:t>
      </w:r>
      <w:r>
        <w:rPr>
          <w:rFonts w:hint="eastAsia" w:ascii="仿宋_GB2312" w:eastAsia="仿宋_GB2312" w:cs="DengXian-Regular"/>
          <w:sz w:val="32"/>
          <w:szCs w:val="32"/>
        </w:rPr>
        <w:t>万元，主要是节能</w:t>
      </w:r>
      <w:r>
        <w:rPr>
          <w:rFonts w:hint="eastAsia" w:ascii="仿宋_GB2312" w:hAnsi="仿宋_GB2312" w:eastAsia="仿宋_GB2312" w:cs="仿宋_GB2312"/>
          <w:sz w:val="32"/>
          <w:szCs w:val="32"/>
        </w:rPr>
        <w:t>环保支出增加</w:t>
      </w:r>
      <w:r>
        <w:rPr>
          <w:rFonts w:hint="eastAsia" w:ascii="仿宋_GB2312" w:eastAsia="仿宋_GB2312" w:cs="DengXian-Regular"/>
          <w:sz w:val="32"/>
          <w:szCs w:val="32"/>
        </w:rPr>
        <w:t>；支出</w:t>
      </w:r>
      <w:r>
        <w:rPr>
          <w:rFonts w:hint="eastAsia" w:ascii="仿宋_GB2312" w:hAnsi="仿宋_GB2312" w:eastAsia="仿宋_GB2312" w:cs="仿宋_GB2312"/>
          <w:sz w:val="32"/>
          <w:szCs w:val="32"/>
        </w:rPr>
        <w:t>2993.52</w:t>
      </w:r>
      <w:r>
        <w:rPr>
          <w:rFonts w:hint="eastAsia" w:ascii="仿宋_GB2312" w:eastAsia="仿宋_GB2312" w:cs="DengXian-Regular"/>
          <w:sz w:val="32"/>
          <w:szCs w:val="32"/>
        </w:rPr>
        <w:t>万元，完成年初预算</w:t>
      </w:r>
      <w:r>
        <w:rPr>
          <w:rFonts w:hint="eastAsia" w:ascii="仿宋_GB2312" w:hAnsi="仿宋_GB2312" w:eastAsia="仿宋_GB2312" w:cs="仿宋_GB2312"/>
          <w:sz w:val="32"/>
          <w:szCs w:val="32"/>
        </w:rPr>
        <w:t>119.3%</w:t>
      </w:r>
      <w:r>
        <w:rPr>
          <w:rFonts w:hint="eastAsia" w:ascii="仿宋_GB2312" w:eastAsia="仿宋_GB2312" w:cs="DengXian-Regular"/>
          <w:sz w:val="32"/>
          <w:szCs w:val="32"/>
        </w:rPr>
        <w:t>，比年初预算增加1</w:t>
      </w:r>
      <w:r>
        <w:rPr>
          <w:rFonts w:ascii="仿宋_GB2312" w:eastAsia="仿宋_GB2312" w:cs="DengXian-Regular"/>
          <w:sz w:val="32"/>
          <w:szCs w:val="32"/>
        </w:rPr>
        <w:t>628.45</w:t>
      </w:r>
      <w:r>
        <w:rPr>
          <w:rFonts w:hint="eastAsia" w:ascii="仿宋_GB2312" w:eastAsia="仿宋_GB2312" w:cs="DengXian-Regular"/>
          <w:sz w:val="32"/>
          <w:szCs w:val="32"/>
        </w:rPr>
        <w:t>万元，主要是节能</w:t>
      </w:r>
      <w:r>
        <w:rPr>
          <w:rFonts w:hint="eastAsia" w:ascii="仿宋_GB2312" w:hAnsi="仿宋_GB2312" w:eastAsia="仿宋_GB2312" w:cs="仿宋_GB2312"/>
          <w:sz w:val="32"/>
          <w:szCs w:val="32"/>
        </w:rPr>
        <w:t>环保支出增加</w:t>
      </w:r>
      <w:r>
        <w:rPr>
          <w:rFonts w:hint="eastAsia" w:ascii="仿宋_GB2312" w:eastAsia="仿宋_GB2312" w:cs="DengXian-Regular"/>
          <w:sz w:val="32"/>
          <w:szCs w:val="32"/>
        </w:rPr>
        <w:t>。政府性基金预算财政拨款本年收入</w:t>
      </w:r>
      <w:r>
        <w:rPr>
          <w:rFonts w:ascii="仿宋_GB2312" w:eastAsia="仿宋_GB2312" w:cs="DengXian-Regular"/>
          <w:sz w:val="32"/>
          <w:szCs w:val="32"/>
        </w:rPr>
        <w:t>243.8</w:t>
      </w:r>
      <w:r>
        <w:rPr>
          <w:rFonts w:hint="eastAsia" w:ascii="仿宋_GB2312" w:eastAsia="仿宋_GB2312" w:cs="DengXian-Regular"/>
          <w:sz w:val="32"/>
          <w:szCs w:val="32"/>
        </w:rPr>
        <w:t>万元，完成年初预算</w:t>
      </w:r>
      <w:r>
        <w:rPr>
          <w:rFonts w:ascii="仿宋_GB2312" w:eastAsia="仿宋_GB2312" w:cs="DengXian-Regular"/>
          <w:sz w:val="32"/>
          <w:szCs w:val="32"/>
        </w:rPr>
        <w:t>100</w:t>
      </w:r>
      <w:r>
        <w:rPr>
          <w:rFonts w:hint="eastAsia" w:ascii="仿宋_GB2312" w:eastAsia="仿宋_GB2312" w:cs="DengXian-Regular"/>
          <w:sz w:val="32"/>
          <w:szCs w:val="32"/>
        </w:rPr>
        <w:t>%，比年初预算增加2</w:t>
      </w:r>
      <w:r>
        <w:rPr>
          <w:rFonts w:ascii="仿宋_GB2312" w:eastAsia="仿宋_GB2312" w:cs="DengXian-Regular"/>
          <w:sz w:val="32"/>
          <w:szCs w:val="32"/>
        </w:rPr>
        <w:t>43.8</w:t>
      </w:r>
      <w:r>
        <w:rPr>
          <w:rFonts w:hint="eastAsia" w:ascii="仿宋_GB2312" w:eastAsia="仿宋_GB2312" w:cs="DengXian-Regular"/>
          <w:sz w:val="32"/>
          <w:szCs w:val="32"/>
        </w:rPr>
        <w:t>万元，主要是增加支</w:t>
      </w:r>
      <w:r>
        <w:rPr>
          <w:rFonts w:hint="eastAsia" w:ascii="仿宋_GB2312" w:hAnsi="仿宋_GB2312" w:eastAsia="仿宋_GB2312" w:cs="仿宋_GB2312"/>
          <w:sz w:val="32"/>
          <w:szCs w:val="32"/>
        </w:rPr>
        <w:t>付破产或改制企业职工安置费</w:t>
      </w:r>
      <w:r>
        <w:rPr>
          <w:rFonts w:hint="eastAsia" w:ascii="仿宋_GB2312" w:eastAsia="仿宋_GB2312" w:cs="DengXian-Regular"/>
          <w:sz w:val="32"/>
          <w:szCs w:val="32"/>
        </w:rPr>
        <w:t>；支出</w:t>
      </w:r>
      <w:r>
        <w:rPr>
          <w:rFonts w:ascii="仿宋_GB2312" w:eastAsia="仿宋_GB2312" w:cs="DengXian-Regular"/>
          <w:sz w:val="32"/>
          <w:szCs w:val="32"/>
        </w:rPr>
        <w:t>243.8</w:t>
      </w:r>
      <w:r>
        <w:rPr>
          <w:rFonts w:hint="eastAsia" w:ascii="仿宋_GB2312" w:eastAsia="仿宋_GB2312" w:cs="DengXian-Regular"/>
          <w:sz w:val="32"/>
          <w:szCs w:val="32"/>
        </w:rPr>
        <w:t>万元，完成年初预算</w:t>
      </w:r>
      <w:r>
        <w:rPr>
          <w:rFonts w:ascii="仿宋_GB2312" w:eastAsia="仿宋_GB2312" w:cs="DengXian-Regular"/>
          <w:sz w:val="32"/>
          <w:szCs w:val="32"/>
        </w:rPr>
        <w:t>100</w:t>
      </w:r>
      <w:r>
        <w:rPr>
          <w:rFonts w:hint="eastAsia" w:ascii="仿宋_GB2312" w:eastAsia="仿宋_GB2312" w:cs="DengXian-Regular"/>
          <w:sz w:val="32"/>
          <w:szCs w:val="32"/>
        </w:rPr>
        <w:t>%，比年初预算增加2</w:t>
      </w:r>
      <w:r>
        <w:rPr>
          <w:rFonts w:ascii="仿宋_GB2312" w:eastAsia="仿宋_GB2312" w:cs="DengXian-Regular"/>
          <w:sz w:val="32"/>
          <w:szCs w:val="32"/>
        </w:rPr>
        <w:t>43.8</w:t>
      </w:r>
      <w:r>
        <w:rPr>
          <w:rFonts w:hint="eastAsia" w:ascii="仿宋_GB2312" w:eastAsia="仿宋_GB2312" w:cs="DengXian-Regular"/>
          <w:sz w:val="32"/>
          <w:szCs w:val="32"/>
        </w:rPr>
        <w:t>万元，主要是增加支</w:t>
      </w:r>
      <w:r>
        <w:rPr>
          <w:rFonts w:hint="eastAsia" w:ascii="微软雅黑" w:hAnsi="微软雅黑" w:eastAsia="微软雅黑" w:cs="微软雅黑"/>
          <w:sz w:val="32"/>
          <w:szCs w:val="32"/>
        </w:rPr>
        <w:t>付破</w:t>
      </w:r>
      <w:r>
        <w:rPr>
          <w:rFonts w:hint="eastAsia" w:ascii="___WRD_EMBED_SUB_49" w:hAnsi="___WRD_EMBED_SUB_49" w:eastAsia="___WRD_EMBED_SUB_49" w:cs="___WRD_EMBED_SUB_49"/>
          <w:sz w:val="32"/>
          <w:szCs w:val="32"/>
        </w:rPr>
        <w:t>产或改制企业职工安置费</w:t>
      </w:r>
      <w:r>
        <w:rPr>
          <w:rFonts w:hint="eastAsia" w:ascii="仿宋_GB2312" w:eastAsia="仿宋_GB2312" w:cs="DengXian-Regular"/>
          <w:sz w:val="32"/>
          <w:szCs w:val="32"/>
        </w:rPr>
        <w:t>。</w:t>
      </w:r>
    </w:p>
    <w:p>
      <w:pPr>
        <w:adjustRightInd w:val="0"/>
        <w:snapToGrid w:val="0"/>
        <w:spacing w:after="0" w:line="240" w:lineRule="auto"/>
        <w:ind w:firstLine="420" w:firstLineChars="200"/>
        <w:rPr>
          <w:rFonts w:ascii="仿宋_GB2312" w:eastAsia="仿宋_GB2312" w:cs="DengXian-Regular"/>
          <w:sz w:val="32"/>
          <w:szCs w:val="32"/>
          <w:highlight w:val="yellow"/>
        </w:rPr>
      </w:pPr>
      <w:r>
        <w:drawing>
          <wp:inline distT="0" distB="0" distL="0" distR="0">
            <wp:extent cx="4572000" cy="3486150"/>
            <wp:effectExtent l="57150" t="0" r="57150" b="11430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ascii="仿宋_GB2312" w:eastAsia="仿宋_GB2312" w:cs="DengXian-Regular"/>
          <w:sz w:val="32"/>
          <w:szCs w:val="32"/>
        </w:rPr>
        <w:t>3237.32</w:t>
      </w:r>
      <w:r>
        <w:rPr>
          <w:rFonts w:hint="eastAsia" w:ascii="仿宋_GB2312" w:eastAsia="仿宋_GB2312" w:cs="DengXian-Regular"/>
          <w:sz w:val="32"/>
          <w:szCs w:val="32"/>
        </w:rPr>
        <w:t>万元，主要用于以下方面节能</w:t>
      </w:r>
      <w:r>
        <w:rPr>
          <w:rFonts w:hint="eastAsia" w:ascii="仿宋_GB2312" w:hAnsi="仿宋_GB2312" w:eastAsia="仿宋_GB2312" w:cs="仿宋_GB2312"/>
          <w:sz w:val="32"/>
          <w:szCs w:val="32"/>
        </w:rPr>
        <w:t>环保</w:t>
      </w:r>
      <w:r>
        <w:rPr>
          <w:rFonts w:hint="eastAsia" w:ascii="仿宋_GB2312" w:eastAsia="仿宋_GB2312" w:cs="DengXian-Regular"/>
          <w:sz w:val="32"/>
          <w:szCs w:val="32"/>
        </w:rPr>
        <w:t>（类）支出</w:t>
      </w:r>
      <w:r>
        <w:rPr>
          <w:rFonts w:hint="eastAsia" w:ascii="仿宋_GB2312" w:hAnsi="仿宋_GB2312" w:eastAsia="仿宋_GB2312" w:cs="仿宋_GB2312"/>
          <w:sz w:val="32"/>
          <w:szCs w:val="32"/>
        </w:rPr>
        <w:t>2592.21</w:t>
      </w:r>
      <w:r>
        <w:rPr>
          <w:rFonts w:hint="eastAsia" w:ascii="仿宋_GB2312" w:eastAsia="仿宋_GB2312" w:cs="DengXian-Regular"/>
          <w:sz w:val="32"/>
          <w:szCs w:val="32"/>
        </w:rPr>
        <w:t>万元，占</w:t>
      </w:r>
      <w:r>
        <w:rPr>
          <w:rFonts w:ascii="仿宋_GB2312" w:eastAsia="仿宋_GB2312" w:cs="DengXian-Regular"/>
          <w:sz w:val="32"/>
          <w:szCs w:val="32"/>
        </w:rPr>
        <w:t>80.07</w:t>
      </w:r>
      <w:r>
        <w:rPr>
          <w:rFonts w:hint="eastAsia" w:ascii="仿宋_GB2312" w:eastAsia="仿宋_GB2312" w:cs="DengXian-Regular"/>
          <w:sz w:val="32"/>
          <w:szCs w:val="32"/>
        </w:rPr>
        <w:t>%；城乡社区（类）支出</w:t>
      </w:r>
      <w:r>
        <w:rPr>
          <w:rFonts w:ascii="仿宋_GB2312" w:eastAsia="仿宋_GB2312" w:cs="DengXian-Regular"/>
          <w:sz w:val="32"/>
          <w:szCs w:val="32"/>
        </w:rPr>
        <w:t>243.8</w:t>
      </w:r>
      <w:r>
        <w:rPr>
          <w:rFonts w:hint="eastAsia" w:ascii="仿宋_GB2312" w:eastAsia="仿宋_GB2312" w:cs="DengXian-Regular"/>
          <w:sz w:val="32"/>
          <w:szCs w:val="32"/>
        </w:rPr>
        <w:t>万元，占</w:t>
      </w:r>
      <w:r>
        <w:rPr>
          <w:rFonts w:ascii="仿宋_GB2312" w:eastAsia="仿宋_GB2312" w:cs="DengXian-Regular"/>
          <w:sz w:val="32"/>
          <w:szCs w:val="32"/>
        </w:rPr>
        <w:t>7.53</w:t>
      </w:r>
      <w:r>
        <w:rPr>
          <w:rFonts w:hint="eastAsia" w:ascii="仿宋_GB2312" w:eastAsia="仿宋_GB2312" w:cs="DengXian-Regular"/>
          <w:sz w:val="32"/>
          <w:szCs w:val="32"/>
        </w:rPr>
        <w:t>%；一般公共服务（类）支出</w:t>
      </w:r>
      <w:r>
        <w:rPr>
          <w:rFonts w:ascii="仿宋_GB2312" w:eastAsia="仿宋_GB2312" w:cs="DengXian-Regular"/>
          <w:sz w:val="32"/>
          <w:szCs w:val="32"/>
        </w:rPr>
        <w:t>263.26</w:t>
      </w:r>
      <w:r>
        <w:rPr>
          <w:rFonts w:hint="eastAsia" w:ascii="仿宋_GB2312" w:eastAsia="仿宋_GB2312" w:cs="DengXian-Regular"/>
          <w:sz w:val="32"/>
          <w:szCs w:val="32"/>
        </w:rPr>
        <w:t>万元，占</w:t>
      </w:r>
      <w:r>
        <w:rPr>
          <w:rFonts w:ascii="仿宋_GB2312" w:eastAsia="仿宋_GB2312" w:cs="DengXian-Regular"/>
          <w:sz w:val="32"/>
          <w:szCs w:val="32"/>
        </w:rPr>
        <w:t>8.13</w:t>
      </w:r>
      <w:r>
        <w:rPr>
          <w:rFonts w:hint="eastAsia" w:ascii="仿宋_GB2312" w:eastAsia="仿宋_GB2312" w:cs="DengXian-Regular"/>
          <w:sz w:val="32"/>
          <w:szCs w:val="32"/>
        </w:rPr>
        <w:t>%；社会保障和就业（类）支出</w:t>
      </w:r>
      <w:r>
        <w:rPr>
          <w:rFonts w:ascii="仿宋_GB2312" w:eastAsia="仿宋_GB2312" w:cs="DengXian-Regular"/>
          <w:sz w:val="32"/>
          <w:szCs w:val="32"/>
        </w:rPr>
        <w:t>138.05</w:t>
      </w:r>
      <w:r>
        <w:rPr>
          <w:rFonts w:hint="eastAsia" w:ascii="仿宋_GB2312" w:eastAsia="仿宋_GB2312" w:cs="DengXian-Regular"/>
          <w:sz w:val="32"/>
          <w:szCs w:val="32"/>
        </w:rPr>
        <w:t>万元，占</w:t>
      </w:r>
      <w:r>
        <w:rPr>
          <w:rFonts w:ascii="仿宋_GB2312" w:eastAsia="仿宋_GB2312" w:cs="DengXian-Regular"/>
          <w:sz w:val="32"/>
          <w:szCs w:val="32"/>
        </w:rPr>
        <w:t>4.26</w:t>
      </w:r>
      <w:r>
        <w:rPr>
          <w:rFonts w:hint="eastAsia" w:ascii="仿宋_GB2312" w:eastAsia="仿宋_GB2312" w:cs="DengXian-Regular"/>
          <w:sz w:val="32"/>
          <w:szCs w:val="32"/>
        </w:rPr>
        <w:t>%。</w:t>
      </w:r>
    </w:p>
    <w:p>
      <w:pPr>
        <w:adjustRightInd w:val="0"/>
        <w:snapToGrid w:val="0"/>
        <w:spacing w:after="0" w:line="240" w:lineRule="auto"/>
        <w:rPr>
          <w:rFonts w:ascii="楷体_GB2312" w:eastAsia="楷体_GB2312" w:cs="DengXian-Bold"/>
          <w:b/>
          <w:bCs/>
          <w:sz w:val="32"/>
          <w:szCs w:val="32"/>
        </w:rPr>
      </w:pPr>
      <w:r>
        <w:drawing>
          <wp:inline distT="0" distB="0" distL="0" distR="0">
            <wp:extent cx="4572000" cy="3228975"/>
            <wp:effectExtent l="57150" t="0" r="57150" b="6667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ascii="仿宋_GB2312" w:eastAsia="仿宋_GB2312" w:cs="DengXian-Regular"/>
          <w:sz w:val="32"/>
          <w:szCs w:val="32"/>
        </w:rPr>
        <w:t>401.3</w:t>
      </w:r>
      <w:r>
        <w:rPr>
          <w:rFonts w:hint="eastAsia" w:ascii="仿宋_GB2312" w:eastAsia="仿宋_GB2312" w:cs="DengXian-Regular"/>
          <w:sz w:val="32"/>
          <w:szCs w:val="32"/>
        </w:rPr>
        <w:t>万元，其中：人员经费</w:t>
      </w:r>
      <w:r>
        <w:rPr>
          <w:rFonts w:ascii="仿宋_GB2312" w:eastAsia="仿宋_GB2312" w:cs="DengXian-Regular"/>
          <w:sz w:val="32"/>
          <w:szCs w:val="32"/>
        </w:rPr>
        <w:t>328.47</w:t>
      </w:r>
      <w:r>
        <w:rPr>
          <w:rFonts w:hint="eastAsia" w:ascii="仿宋_GB2312" w:eastAsia="仿宋_GB2312" w:cs="DengXian-Regular"/>
          <w:sz w:val="32"/>
          <w:szCs w:val="32"/>
        </w:rPr>
        <w:t>万元，主要包括基本工资、津贴补贴、奖金、绩效工资、机关事业单位基本养老保险缴费、职业年金缴费、职工基本医疗保险缴费、其他社会保障缴费、离休费、退休费、抚恤金、生活补助；公用经费</w:t>
      </w:r>
      <w:r>
        <w:rPr>
          <w:rFonts w:ascii="仿宋_GB2312" w:eastAsia="仿宋_GB2312" w:cs="DengXian-Regular"/>
          <w:sz w:val="32"/>
          <w:szCs w:val="32"/>
        </w:rPr>
        <w:t>72.83</w:t>
      </w:r>
      <w:r>
        <w:rPr>
          <w:rFonts w:hint="eastAsia" w:ascii="仿宋_GB2312" w:eastAsia="仿宋_GB2312" w:cs="DengXian-Regular"/>
          <w:sz w:val="32"/>
          <w:szCs w:val="32"/>
        </w:rPr>
        <w:t>万元，主要包括办公费、水费、电费、邮电费、差旅费、维修（护）费、劳务费、公务用车运行维护费、其他交通费用。</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w:t>
      </w:r>
      <w:r>
        <w:rPr>
          <w:rFonts w:ascii="仿宋_GB2312" w:eastAsia="仿宋_GB2312" w:cs="DengXian-Regular"/>
          <w:sz w:val="32"/>
          <w:szCs w:val="32"/>
        </w:rPr>
        <w:t>2.34</w:t>
      </w:r>
      <w:r>
        <w:rPr>
          <w:rFonts w:hint="eastAsia" w:ascii="仿宋_GB2312" w:eastAsia="仿宋_GB2312" w:cs="DengXian-Regular"/>
          <w:sz w:val="32"/>
          <w:szCs w:val="32"/>
        </w:rPr>
        <w:t>万元，出国出境经费0万元，公务用车运行维护费</w:t>
      </w:r>
      <w:r>
        <w:rPr>
          <w:rFonts w:ascii="仿宋_GB2312" w:eastAsia="仿宋_GB2312" w:cs="DengXian-Regular"/>
          <w:sz w:val="32"/>
          <w:szCs w:val="32"/>
        </w:rPr>
        <w:t>2.34</w:t>
      </w:r>
      <w:r>
        <w:rPr>
          <w:rFonts w:hint="eastAsia" w:ascii="仿宋_GB2312" w:eastAsia="仿宋_GB2312" w:cs="DengXian-Regular"/>
          <w:sz w:val="32"/>
          <w:szCs w:val="32"/>
        </w:rPr>
        <w:t>万元，公务接待费0万元。较年初预算减少0</w:t>
      </w:r>
      <w:r>
        <w:rPr>
          <w:rFonts w:ascii="仿宋_GB2312" w:eastAsia="仿宋_GB2312" w:cs="DengXian-Regular"/>
          <w:sz w:val="32"/>
          <w:szCs w:val="32"/>
        </w:rPr>
        <w:t>.66</w:t>
      </w:r>
      <w:r>
        <w:rPr>
          <w:rFonts w:hint="eastAsia" w:ascii="仿宋_GB2312" w:eastAsia="仿宋_GB2312" w:cs="DengXian-Regular"/>
          <w:sz w:val="32"/>
          <w:szCs w:val="32"/>
        </w:rPr>
        <w:t>万元，降低2</w:t>
      </w:r>
      <w:r>
        <w:rPr>
          <w:rFonts w:ascii="仿宋_GB2312" w:eastAsia="仿宋_GB2312" w:cs="DengXian-Regular"/>
          <w:sz w:val="32"/>
          <w:szCs w:val="32"/>
        </w:rPr>
        <w:t>2</w:t>
      </w:r>
      <w:r>
        <w:rPr>
          <w:rFonts w:hint="eastAsia" w:ascii="仿宋_GB2312" w:eastAsia="仿宋_GB2312" w:cs="DengXian-Regular"/>
          <w:sz w:val="32"/>
          <w:szCs w:val="32"/>
        </w:rPr>
        <w:t>%，主要是认真贯彻落实中央</w:t>
      </w:r>
      <w:bookmarkStart w:id="3" w:name="_GoBack"/>
      <w:bookmarkEnd w:id="3"/>
      <w:r>
        <w:rPr>
          <w:rFonts w:hint="eastAsia" w:ascii="仿宋_GB2312" w:eastAsia="仿宋_GB2312" w:cs="DengXian-Regular"/>
          <w:sz w:val="32"/>
          <w:szCs w:val="32"/>
        </w:rPr>
        <w:t>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ascii="Calibri" w:hAnsi="Calibri" w:eastAsia="楷体_GB2312" w:cs="Calibri"/>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人。与年初预算持平，无增减变化。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Calibri" w:hAnsi="Calibri" w:eastAsia="楷体_GB2312" w:cs="Calibri"/>
          <w:b/>
          <w:bCs/>
          <w:sz w:val="32"/>
          <w:szCs w:val="32"/>
        </w:rPr>
        <w:t>2.34</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本部门2018年度公务用车购置及运行维护费支出2</w:t>
      </w:r>
      <w:r>
        <w:rPr>
          <w:rFonts w:ascii="仿宋_GB2312" w:eastAsia="仿宋_GB2312" w:cs="DengXian-Regular"/>
          <w:sz w:val="32"/>
          <w:szCs w:val="32"/>
        </w:rPr>
        <w:t>.34</w:t>
      </w:r>
      <w:r>
        <w:rPr>
          <w:rFonts w:hint="eastAsia" w:ascii="仿宋_GB2312" w:eastAsia="仿宋_GB2312" w:cs="DengXian-Regular"/>
          <w:sz w:val="32"/>
          <w:szCs w:val="32"/>
        </w:rPr>
        <w:t>万元，较年初预算减少</w:t>
      </w:r>
      <w:r>
        <w:rPr>
          <w:rFonts w:ascii="仿宋_GB2312" w:eastAsia="仿宋_GB2312" w:cs="DengXian-Regular"/>
          <w:sz w:val="32"/>
          <w:szCs w:val="32"/>
        </w:rPr>
        <w:t>0.16</w:t>
      </w:r>
      <w:r>
        <w:rPr>
          <w:rFonts w:hint="eastAsia" w:ascii="仿宋_GB2312" w:eastAsia="仿宋_GB2312" w:cs="DengXian-Regular"/>
          <w:sz w:val="32"/>
          <w:szCs w:val="32"/>
        </w:rPr>
        <w:t>万元，降低</w:t>
      </w:r>
      <w:r>
        <w:rPr>
          <w:rFonts w:ascii="仿宋_GB2312" w:eastAsia="仿宋_GB2312" w:cs="DengXian-Regular"/>
          <w:sz w:val="32"/>
          <w:szCs w:val="32"/>
        </w:rPr>
        <w:t>6.4</w:t>
      </w:r>
      <w:r>
        <w:rPr>
          <w:rFonts w:hint="eastAsia" w:ascii="仿宋_GB2312" w:eastAsia="仿宋_GB2312" w:cs="DengXian-Regular"/>
          <w:sz w:val="32"/>
          <w:szCs w:val="32"/>
        </w:rPr>
        <w:t>%,主要是公车改革减少公务用车费用。</w:t>
      </w:r>
      <w:r>
        <w:rPr>
          <w:rFonts w:hint="eastAsia" w:ascii="仿宋_GB2312" w:eastAsia="仿宋_GB2312" w:cs="DengXian-Bold"/>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ascii="仿宋_GB2312" w:eastAsia="仿宋_GB2312" w:cs="DengXian-Regular"/>
          <w:sz w:val="32"/>
          <w:szCs w:val="32"/>
        </w:rPr>
        <w:t>0</w:t>
      </w:r>
      <w:r>
        <w:rPr>
          <w:rFonts w:hint="eastAsia" w:ascii="仿宋_GB2312" w:eastAsia="仿宋_GB2312" w:cs="DengXian-Regular"/>
          <w:sz w:val="32"/>
          <w:szCs w:val="32"/>
        </w:rPr>
        <w:t>辆，发生“公务用车购置”经费支出</w:t>
      </w:r>
      <w:r>
        <w:rPr>
          <w:rFonts w:ascii="仿宋_GB2312" w:eastAsia="仿宋_GB2312" w:cs="DengXian-Regular"/>
          <w:sz w:val="32"/>
          <w:szCs w:val="32"/>
        </w:rPr>
        <w:t>0</w:t>
      </w:r>
      <w:r>
        <w:rPr>
          <w:rFonts w:hint="eastAsia" w:ascii="仿宋_GB2312" w:eastAsia="仿宋_GB2312" w:cs="DengXian-Regular"/>
          <w:sz w:val="32"/>
          <w:szCs w:val="32"/>
        </w:rPr>
        <w:t>万元。公务用车购置费支出较年初预算增加0万元，增长0%,</w:t>
      </w:r>
      <w:bookmarkStart w:id="1" w:name="_Hlk19169759"/>
      <w:r>
        <w:rPr>
          <w:rFonts w:hint="eastAsia" w:ascii="仿宋_GB2312" w:eastAsia="仿宋_GB2312" w:cs="DengXian-Regular"/>
          <w:sz w:val="32"/>
          <w:szCs w:val="32"/>
        </w:rPr>
        <w:t>本部门金额为0未发生此类支出</w:t>
      </w:r>
      <w:bookmarkEnd w:id="1"/>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ascii="仿宋_GB2312" w:eastAsia="仿宋_GB2312" w:cs="DengXian-Regular"/>
          <w:sz w:val="32"/>
          <w:szCs w:val="32"/>
        </w:rPr>
        <w:t>1</w:t>
      </w:r>
      <w:r>
        <w:rPr>
          <w:rFonts w:hint="eastAsia" w:ascii="仿宋_GB2312" w:eastAsia="仿宋_GB2312" w:cs="DengXian-Regular"/>
          <w:sz w:val="32"/>
          <w:szCs w:val="32"/>
        </w:rPr>
        <w:t>辆。公车运行维护费支出2</w:t>
      </w:r>
      <w:r>
        <w:rPr>
          <w:rFonts w:ascii="仿宋_GB2312" w:eastAsia="仿宋_GB2312" w:cs="DengXian-Regular"/>
          <w:sz w:val="32"/>
          <w:szCs w:val="32"/>
        </w:rPr>
        <w:t>.34</w:t>
      </w:r>
      <w:r>
        <w:rPr>
          <w:rFonts w:hint="eastAsia" w:ascii="仿宋_GB2312" w:eastAsia="仿宋_GB2312" w:cs="DengXian-Regular"/>
          <w:sz w:val="32"/>
          <w:szCs w:val="32"/>
        </w:rPr>
        <w:t>万元，较年初预算减少0</w:t>
      </w:r>
      <w:r>
        <w:rPr>
          <w:rFonts w:ascii="仿宋_GB2312" w:eastAsia="仿宋_GB2312" w:cs="DengXian-Regular"/>
          <w:sz w:val="32"/>
          <w:szCs w:val="32"/>
        </w:rPr>
        <w:t>.16</w:t>
      </w:r>
      <w:r>
        <w:rPr>
          <w:rFonts w:hint="eastAsia" w:ascii="仿宋_GB2312" w:eastAsia="仿宋_GB2312" w:cs="DengXian-Regular"/>
          <w:sz w:val="32"/>
          <w:szCs w:val="32"/>
        </w:rPr>
        <w:t>万元，降低6</w:t>
      </w:r>
      <w:r>
        <w:rPr>
          <w:rFonts w:ascii="仿宋_GB2312" w:eastAsia="仿宋_GB2312" w:cs="DengXian-Regular"/>
          <w:sz w:val="32"/>
          <w:szCs w:val="32"/>
        </w:rPr>
        <w:t>.4</w:t>
      </w:r>
      <w:r>
        <w:rPr>
          <w:rFonts w:hint="eastAsia" w:ascii="仿宋_GB2312" w:eastAsia="仿宋_GB2312" w:cs="DengXian-Regular"/>
          <w:sz w:val="32"/>
          <w:szCs w:val="32"/>
        </w:rPr>
        <w:t>%,主要是主要是公车改革减少公务用车费用。</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Calibri" w:hAnsi="Calibri" w:eastAsia="楷体_GB2312" w:cs="Calibri"/>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w:t>
      </w:r>
      <w:r>
        <w:rPr>
          <w:rFonts w:ascii="仿宋_GB2312" w:eastAsia="仿宋_GB2312" w:cs="DengXian-Regular"/>
          <w:sz w:val="32"/>
          <w:szCs w:val="32"/>
        </w:rPr>
        <w:t>0</w:t>
      </w:r>
      <w:r>
        <w:rPr>
          <w:rFonts w:hint="eastAsia" w:ascii="仿宋_GB2312" w:eastAsia="仿宋_GB2312" w:cs="DengXian-Regular"/>
          <w:sz w:val="32"/>
          <w:szCs w:val="32"/>
        </w:rPr>
        <w:t>批次、</w:t>
      </w:r>
      <w:r>
        <w:rPr>
          <w:rFonts w:ascii="仿宋_GB2312" w:eastAsia="仿宋_GB2312" w:cs="DengXian-Regular"/>
          <w:sz w:val="32"/>
          <w:szCs w:val="32"/>
        </w:rPr>
        <w:t>0</w:t>
      </w:r>
      <w:r>
        <w:rPr>
          <w:rFonts w:hint="eastAsia" w:ascii="仿宋_GB2312" w:eastAsia="仿宋_GB2312" w:cs="DengXian-Regular"/>
          <w:sz w:val="32"/>
          <w:szCs w:val="32"/>
        </w:rPr>
        <w:t>人次。公务接待费支出较年初预算增加0万元，增长0%,本部门金额为0未发生此类支出。</w:t>
      </w:r>
    </w:p>
    <w:p>
      <w:pPr>
        <w:pStyle w:val="3"/>
        <w:spacing w:before="0" w:after="0" w:line="580" w:lineRule="exact"/>
        <w:ind w:firstLine="640" w:firstLineChars="200"/>
        <w:rPr>
          <w:rFonts w:ascii="黑体" w:eastAsia="黑体" w:cs="Times New Roman"/>
          <w:b w:val="0"/>
          <w:bCs w:val="0"/>
        </w:rPr>
      </w:pPr>
      <w:r>
        <w:rPr>
          <w:rFonts w:hint="eastAsia" w:ascii="黑体" w:eastAsia="黑体"/>
          <w:b w:val="0"/>
          <w:bCs w:val="0"/>
          <w:szCs w:val="40"/>
        </w:rPr>
        <w:t>六、</w:t>
      </w:r>
      <w:r>
        <w:rPr>
          <w:rFonts w:hint="eastAsia" w:ascii="黑体" w:eastAsia="黑体" w:cs="Times New Roman"/>
          <w:b w:val="0"/>
          <w:bCs w:val="0"/>
        </w:rPr>
        <w:t>绩效预算情况说明</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优秀。</w:t>
      </w:r>
    </w:p>
    <w:p>
      <w:pPr>
        <w:spacing w:line="500" w:lineRule="exact"/>
        <w:ind w:firstLine="640" w:firstLineChars="200"/>
        <w:rPr>
          <w:rFonts w:ascii="仿宋_GB2312" w:hAnsi="黑体" w:eastAsia="仿宋_GB2312"/>
          <w:sz w:val="32"/>
          <w:szCs w:val="32"/>
        </w:rPr>
      </w:pPr>
      <w:r>
        <w:rPr>
          <w:rFonts w:hint="eastAsia" w:ascii="仿宋_GB2312" w:eastAsia="仿宋_GB2312" w:cs="DengXian-Regular"/>
          <w:sz w:val="32"/>
          <w:szCs w:val="32"/>
        </w:rPr>
        <w:t>（二）预算项目绩效评价开展情况：</w:t>
      </w:r>
      <w:r>
        <w:rPr>
          <w:rFonts w:hint="eastAsia" w:ascii="仿宋_GB2312" w:hAnsi="黑体" w:eastAsia="仿宋_GB2312" w:cs="仿宋_GB2312"/>
          <w:sz w:val="32"/>
          <w:szCs w:val="32"/>
        </w:rPr>
        <w:t>依据《预算法》《河北省预算管理规定》《河北省人民政府关于深化预算管理制度改革的意见》等有关政策要求，做好部门预算管理工作。</w:t>
      </w:r>
    </w:p>
    <w:p>
      <w:pPr>
        <w:spacing w:line="500" w:lineRule="exact"/>
        <w:ind w:firstLine="640" w:firstLineChars="200"/>
        <w:rPr>
          <w:rFonts w:ascii="仿宋_GB2312" w:hAnsi="黑体" w:eastAsia="仿宋_GB2312"/>
          <w:sz w:val="32"/>
          <w:szCs w:val="32"/>
        </w:rPr>
      </w:pPr>
      <w:r>
        <w:rPr>
          <w:rFonts w:hint="eastAsia" w:ascii="仿宋_GB2312" w:hAnsi="黑体" w:eastAsia="仿宋_GB2312" w:cs="仿宋_GB2312"/>
          <w:sz w:val="32"/>
          <w:szCs w:val="32"/>
        </w:rPr>
        <w:t>一是突出重点。紧紧围绕县委县政府的决策部署，调整优化支出结构，加强资金整合统筹，突出支持协同发展、脱贫攻坚、民生保障、更好地发挥对文化事业和文化产业的保障作用。</w:t>
      </w:r>
    </w:p>
    <w:p>
      <w:pPr>
        <w:spacing w:line="500" w:lineRule="exact"/>
        <w:ind w:firstLine="640" w:firstLineChars="200"/>
        <w:rPr>
          <w:rFonts w:ascii="仿宋_GB2312" w:hAnsi="黑体" w:eastAsia="仿宋_GB2312"/>
          <w:sz w:val="32"/>
          <w:szCs w:val="32"/>
        </w:rPr>
      </w:pPr>
      <w:r>
        <w:rPr>
          <w:rFonts w:hint="eastAsia" w:ascii="仿宋_GB2312" w:hAnsi="黑体" w:eastAsia="仿宋_GB2312" w:cs="仿宋_GB2312"/>
          <w:sz w:val="32"/>
          <w:szCs w:val="32"/>
        </w:rPr>
        <w:t>二是绩效导向。部门根据绩效高低，区分轻重缓急，合理安排顺序，健全预算绩效和预算安排挂钩机制，提高资金使用效益。</w:t>
      </w:r>
    </w:p>
    <w:p>
      <w:pPr>
        <w:spacing w:line="500" w:lineRule="exact"/>
        <w:ind w:firstLine="640" w:firstLineChars="200"/>
        <w:rPr>
          <w:rFonts w:ascii="仿宋_GB2312" w:hAnsi="黑体" w:eastAsia="仿宋_GB2312"/>
          <w:sz w:val="32"/>
          <w:szCs w:val="32"/>
        </w:rPr>
      </w:pPr>
      <w:r>
        <w:rPr>
          <w:rFonts w:hint="eastAsia" w:ascii="仿宋_GB2312" w:hAnsi="黑体" w:eastAsia="仿宋_GB2312" w:cs="仿宋_GB2312"/>
          <w:sz w:val="32"/>
          <w:szCs w:val="32"/>
        </w:rPr>
        <w:t>三是依法理财。全面落实《预算法》等各项规定，改进预算和控制方法，加强财政资金管理，硬化预算刚性约束，积极推进预算公开。</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宋体" w:eastAsia="仿宋_GB2312" w:cs="宋体"/>
          <w:sz w:val="32"/>
        </w:rPr>
        <w:t>根据预算绩效管理要求，本单位组织对201</w:t>
      </w:r>
      <w:r>
        <w:rPr>
          <w:rFonts w:ascii="仿宋_GB2312" w:hAnsi="宋体" w:eastAsia="仿宋_GB2312" w:cs="宋体"/>
          <w:sz w:val="32"/>
        </w:rPr>
        <w:t>8</w:t>
      </w:r>
      <w:r>
        <w:rPr>
          <w:rFonts w:hint="eastAsia" w:ascii="仿宋_GB2312" w:hAnsi="宋体" w:eastAsia="仿宋_GB2312" w:cs="宋体"/>
          <w:sz w:val="32"/>
        </w:rPr>
        <w:t>年度一般公共预算项目支出全面开展绩效自评，涉及</w:t>
      </w:r>
      <w:r>
        <w:rPr>
          <w:rFonts w:hint="eastAsia" w:ascii="仿宋_GB2312" w:eastAsia="仿宋_GB2312" w:cs="DengXian-Regular"/>
          <w:sz w:val="32"/>
          <w:szCs w:val="32"/>
        </w:rPr>
        <w:t>大</w:t>
      </w:r>
      <w:r>
        <w:rPr>
          <w:rFonts w:hint="eastAsia" w:ascii="仿宋_GB2312" w:hAnsi="仿宋_GB2312" w:eastAsia="仿宋_GB2312" w:cs="仿宋_GB2312"/>
          <w:sz w:val="32"/>
          <w:szCs w:val="32"/>
        </w:rPr>
        <w:t>气防治及锅炉改造</w:t>
      </w:r>
      <w:r>
        <w:rPr>
          <w:rFonts w:hint="eastAsia" w:ascii="仿宋_GB2312" w:hAnsi="仿宋_GB2312" w:eastAsia="仿宋_GB2312" w:cs="仿宋_GB2312"/>
          <w:sz w:val="32"/>
        </w:rPr>
        <w:t>1</w:t>
      </w:r>
      <w:r>
        <w:rPr>
          <w:rFonts w:hint="eastAsia" w:ascii="仿宋_GB2312" w:hAnsi="宋体" w:eastAsia="仿宋_GB2312" w:cs="宋体"/>
          <w:sz w:val="32"/>
        </w:rPr>
        <w:t>个项目，涉及资金</w:t>
      </w:r>
      <w:r>
        <w:rPr>
          <w:rFonts w:hint="eastAsia" w:ascii="仿宋_GB2312" w:hAnsi="仿宋_GB2312" w:eastAsia="仿宋_GB2312" w:cs="仿宋_GB2312"/>
          <w:sz w:val="32"/>
        </w:rPr>
        <w:t>962</w:t>
      </w:r>
      <w:r>
        <w:rPr>
          <w:rFonts w:hint="eastAsia" w:ascii="仿宋_GB2312" w:hAnsi="宋体" w:eastAsia="仿宋_GB2312" w:cs="宋体"/>
          <w:sz w:val="32"/>
        </w:rPr>
        <w:t>万元。从评价情况看，评价结果为优秀的项目有1个。</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宋体" w:eastAsia="仿宋_GB2312" w:cs="宋体"/>
          <w:sz w:val="32"/>
        </w:rPr>
        <w:t>本单位</w:t>
      </w:r>
      <w:r>
        <w:rPr>
          <w:rFonts w:hint="eastAsia" w:ascii="仿宋_GB2312" w:eastAsia="仿宋_GB2312" w:cs="DengXian-Regular"/>
          <w:sz w:val="32"/>
          <w:szCs w:val="32"/>
        </w:rPr>
        <w:t>大</w:t>
      </w:r>
      <w:r>
        <w:rPr>
          <w:rFonts w:hint="eastAsia" w:ascii="仿宋_GB2312" w:hAnsi="仿宋_GB2312" w:eastAsia="仿宋_GB2312" w:cs="仿宋_GB2312"/>
          <w:sz w:val="32"/>
          <w:szCs w:val="32"/>
        </w:rPr>
        <w:t>气防治及锅炉改造</w:t>
      </w:r>
      <w:r>
        <w:rPr>
          <w:rFonts w:hint="eastAsia" w:ascii="仿宋_GB2312" w:hAnsi="仿宋_GB2312" w:eastAsia="仿宋_GB2312" w:cs="仿宋_GB2312"/>
          <w:sz w:val="32"/>
        </w:rPr>
        <w:t>项目绩效自评：根据年初设定的绩效目标，</w:t>
      </w:r>
      <w:r>
        <w:rPr>
          <w:rFonts w:hint="eastAsia" w:ascii="仿宋_GB2312" w:hAnsi="仿宋_GB2312" w:eastAsia="仿宋_GB2312" w:cs="仿宋_GB2312"/>
          <w:sz w:val="32"/>
          <w:szCs w:val="32"/>
        </w:rPr>
        <w:t>大气防治及锅炉改造</w:t>
      </w:r>
      <w:r>
        <w:rPr>
          <w:rFonts w:hint="eastAsia" w:ascii="仿宋_GB2312" w:hAnsi="仿宋_GB2312" w:eastAsia="仿宋_GB2312" w:cs="仿宋_GB2312"/>
          <w:sz w:val="32"/>
        </w:rPr>
        <w:t>项目绩效自评结果为优秀。项目全年预算数为962万元，执行数为962万元，完成预算的100%。</w:t>
      </w:r>
      <w:r>
        <w:rPr>
          <w:rFonts w:hint="eastAsia" w:ascii="仿宋_GB2312" w:hAnsi="仿宋_GB2312" w:eastAsia="仿宋_GB2312" w:cs="仿宋_GB2312"/>
          <w:sz w:val="32"/>
          <w:szCs w:val="32"/>
        </w:rPr>
        <w:t>。</w:t>
      </w:r>
      <w:r>
        <w:rPr>
          <w:rFonts w:hint="eastAsia" w:ascii="仿宋_GB2312" w:eastAsia="仿宋_GB2312" w:cs="DengXian-Regular"/>
          <w:sz w:val="32"/>
          <w:szCs w:val="32"/>
        </w:rPr>
        <w:t>主要产出和效果是改善了</w:t>
      </w:r>
      <w:r>
        <w:rPr>
          <w:rFonts w:hint="eastAsia" w:ascii="仿宋_GB2312" w:hAnsi="仿宋_GB2312" w:eastAsia="仿宋_GB2312" w:cs="仿宋_GB2312"/>
          <w:sz w:val="32"/>
          <w:szCs w:val="32"/>
        </w:rPr>
        <w:t>县域大气污染状况。未发现其他问题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ascii="仿宋_GB2312" w:eastAsia="仿宋_GB2312" w:cs="DengXian-Regular"/>
          <w:sz w:val="32"/>
          <w:szCs w:val="32"/>
        </w:rPr>
        <w:t>72.83</w:t>
      </w:r>
      <w:r>
        <w:rPr>
          <w:rFonts w:hint="eastAsia" w:ascii="仿宋_GB2312" w:eastAsia="仿宋_GB2312" w:cs="DengXian-Regular"/>
          <w:sz w:val="32"/>
          <w:szCs w:val="32"/>
        </w:rPr>
        <w:t>万元，比年初预算数增加5</w:t>
      </w:r>
      <w:r>
        <w:rPr>
          <w:rFonts w:ascii="仿宋_GB2312" w:eastAsia="仿宋_GB2312" w:cs="DengXian-Regular"/>
          <w:sz w:val="32"/>
          <w:szCs w:val="32"/>
        </w:rPr>
        <w:t>7.53</w:t>
      </w:r>
      <w:r>
        <w:rPr>
          <w:rFonts w:hint="eastAsia" w:ascii="仿宋_GB2312" w:eastAsia="仿宋_GB2312" w:cs="DengXian-Regular"/>
          <w:sz w:val="32"/>
          <w:szCs w:val="32"/>
        </w:rPr>
        <w:t>万元，增加3</w:t>
      </w:r>
      <w:r>
        <w:rPr>
          <w:rFonts w:ascii="仿宋_GB2312" w:eastAsia="仿宋_GB2312" w:cs="DengXian-Regular"/>
          <w:sz w:val="32"/>
          <w:szCs w:val="32"/>
        </w:rPr>
        <w:t>76</w:t>
      </w:r>
      <w:r>
        <w:rPr>
          <w:rFonts w:hint="eastAsia" w:ascii="仿宋_GB2312" w:eastAsia="仿宋_GB2312" w:cs="DengXian-Regular"/>
          <w:sz w:val="32"/>
          <w:szCs w:val="32"/>
        </w:rPr>
        <w:t>%。主要原因是统计口径改变自收自支人员工资增加。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政府采购货物支出0万元、政府采购工程支出0万元、政府采购服务支出0万元。授予中小企业合同金0万元，占政府采购支出总额的0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其中授予小微企业合同金额0万元，占政府采购支出总额的0%。</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ascii="仿宋_GB2312" w:eastAsia="仿宋_GB2312" w:cs="DengXian-Regular"/>
          <w:sz w:val="32"/>
          <w:szCs w:val="32"/>
        </w:rPr>
        <w:t>1</w:t>
      </w:r>
      <w:r>
        <w:rPr>
          <w:rFonts w:hint="eastAsia" w:ascii="仿宋_GB2312" w:eastAsia="仿宋_GB2312" w:cs="DengXian-Regular"/>
          <w:sz w:val="32"/>
          <w:szCs w:val="32"/>
        </w:rPr>
        <w:t>辆，比上年增加0辆，无增减变化。其中，副部（省）级及以上领导用车</w:t>
      </w:r>
      <w:r>
        <w:rPr>
          <w:rFonts w:ascii="仿宋_GB2312" w:eastAsia="仿宋_GB2312" w:cs="DengXian-Regular"/>
          <w:sz w:val="32"/>
          <w:szCs w:val="32"/>
        </w:rPr>
        <w:t>0</w:t>
      </w:r>
      <w:r>
        <w:rPr>
          <w:rFonts w:hint="eastAsia" w:ascii="仿宋_GB2312" w:eastAsia="仿宋_GB2312" w:cs="DengXian-Regular"/>
          <w:sz w:val="32"/>
          <w:szCs w:val="32"/>
        </w:rPr>
        <w:t>辆，主要领导干部用车</w:t>
      </w:r>
      <w:r>
        <w:rPr>
          <w:rFonts w:ascii="仿宋_GB2312" w:eastAsia="仿宋_GB2312" w:cs="DengXian-Regular"/>
          <w:sz w:val="32"/>
          <w:szCs w:val="32"/>
        </w:rPr>
        <w:t>1</w:t>
      </w:r>
      <w:r>
        <w:rPr>
          <w:rFonts w:hint="eastAsia" w:ascii="仿宋_GB2312" w:eastAsia="仿宋_GB2312" w:cs="DengXian-Regular"/>
          <w:sz w:val="32"/>
          <w:szCs w:val="32"/>
        </w:rPr>
        <w:t>辆，机要通信用车</w:t>
      </w:r>
      <w:r>
        <w:rPr>
          <w:rFonts w:ascii="仿宋_GB2312" w:eastAsia="仿宋_GB2312" w:cs="DengXian-Regular"/>
          <w:sz w:val="32"/>
          <w:szCs w:val="32"/>
        </w:rPr>
        <w:t>0</w:t>
      </w:r>
      <w:r>
        <w:rPr>
          <w:rFonts w:hint="eastAsia" w:ascii="仿宋_GB2312" w:eastAsia="仿宋_GB2312" w:cs="DengXian-Regular"/>
          <w:sz w:val="32"/>
          <w:szCs w:val="32"/>
        </w:rPr>
        <w:t>辆，应急保障用车</w:t>
      </w:r>
      <w:r>
        <w:rPr>
          <w:rFonts w:ascii="仿宋_GB2312" w:eastAsia="仿宋_GB2312" w:cs="DengXian-Regular"/>
          <w:sz w:val="32"/>
          <w:szCs w:val="32"/>
        </w:rPr>
        <w:t>0</w:t>
      </w:r>
      <w:r>
        <w:rPr>
          <w:rFonts w:hint="eastAsia" w:ascii="仿宋_GB2312" w:eastAsia="仿宋_GB2312" w:cs="DengXian-Regular"/>
          <w:sz w:val="32"/>
          <w:szCs w:val="32"/>
        </w:rPr>
        <w:t>辆，执法执勤用车</w:t>
      </w:r>
      <w:r>
        <w:rPr>
          <w:rFonts w:ascii="仿宋_GB2312" w:eastAsia="仿宋_GB2312" w:cs="DengXian-Regular"/>
          <w:sz w:val="32"/>
          <w:szCs w:val="32"/>
        </w:rPr>
        <w:t>0</w:t>
      </w:r>
      <w:r>
        <w:rPr>
          <w:rFonts w:hint="eastAsia" w:ascii="仿宋_GB2312" w:eastAsia="仿宋_GB2312" w:cs="DengXian-Regular"/>
          <w:sz w:val="32"/>
          <w:szCs w:val="32"/>
        </w:rPr>
        <w:t>辆，特种专业技术用车</w:t>
      </w:r>
      <w:r>
        <w:rPr>
          <w:rFonts w:ascii="仿宋_GB2312" w:eastAsia="仿宋_GB2312" w:cs="DengXian-Regular"/>
          <w:sz w:val="32"/>
          <w:szCs w:val="32"/>
        </w:rPr>
        <w:t>0</w:t>
      </w:r>
      <w:r>
        <w:rPr>
          <w:rFonts w:hint="eastAsia" w:ascii="仿宋_GB2312" w:eastAsia="仿宋_GB2312" w:cs="DengXian-Regular"/>
          <w:sz w:val="32"/>
          <w:szCs w:val="32"/>
        </w:rPr>
        <w:t>辆，离退休干部用车</w:t>
      </w:r>
      <w:r>
        <w:rPr>
          <w:rFonts w:ascii="仿宋_GB2312" w:eastAsia="仿宋_GB2312" w:cs="DengXian-Regular"/>
          <w:sz w:val="32"/>
          <w:szCs w:val="32"/>
        </w:rPr>
        <w:t>0</w:t>
      </w:r>
      <w:r>
        <w:rPr>
          <w:rFonts w:hint="eastAsia" w:ascii="仿宋_GB2312" w:eastAsia="仿宋_GB2312" w:cs="DengXian-Regular"/>
          <w:sz w:val="32"/>
          <w:szCs w:val="32"/>
        </w:rPr>
        <w:t>辆，其他用车</w:t>
      </w:r>
      <w:r>
        <w:rPr>
          <w:rFonts w:ascii="仿宋_GB2312" w:eastAsia="仿宋_GB2312" w:cs="DengXian-Regular"/>
          <w:sz w:val="32"/>
          <w:szCs w:val="32"/>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ascii="仿宋_GB2312" w:eastAsia="仿宋_GB2312" w:cs="DengXian-Regular"/>
          <w:sz w:val="32"/>
          <w:szCs w:val="32"/>
        </w:rPr>
        <w:t>0</w:t>
      </w:r>
      <w:r>
        <w:rPr>
          <w:rFonts w:hint="eastAsia" w:ascii="仿宋_GB2312" w:eastAsia="仿宋_GB2312" w:cs="DengXian-Regular"/>
          <w:sz w:val="32"/>
          <w:szCs w:val="32"/>
        </w:rPr>
        <w:t>台（套），比上年增加0套，</w:t>
      </w:r>
      <w:bookmarkStart w:id="2" w:name="_Hlk19170275"/>
      <w:r>
        <w:rPr>
          <w:rFonts w:hint="eastAsia" w:ascii="仿宋_GB2312" w:eastAsia="仿宋_GB2312" w:cs="DengXian-Regular"/>
          <w:sz w:val="32"/>
          <w:szCs w:val="32"/>
        </w:rPr>
        <w:t>无增减变化</w:t>
      </w:r>
      <w:bookmarkEnd w:id="2"/>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台（套）比上年增加0套,无增减变化。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1、本部门2018年度国有资本经营预算财政拨款支出决算表、政府采购情况表无收支及结转结余情况，故国有资本经营预算财政拨款支出决算表、政府采购情况表以空表列示。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bookmarkEnd w:id="0"/>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文本框 22" o:spid="_x0000_s1045" o:spt="202" type="#_x0000_t202" style="position:absolute;left:0pt;margin-left:-78.7pt;margin-top:232.8pt;height:159.1pt;width:596.2pt;z-index:25164595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M8OeQIAACUFAAAOAAAAZHJzL2Uyb0RvYy54bWysVM1uEzEQviPxDpbvZDdL09Aomyq0CkKq&#10;aEVAnB2v3aywPcZ2shseoLwBJy7cea48B2NvNq0KlyIuu/bMN3/fzHh63mpFtsL5GkxJh4OcEmE4&#10;VLW5LenHD4sXryjxgZmKKTCipDvh6fns+bNpYyeigDWoSjiCToyfNLak6xDsJMs8XwvN/ACsMKiU&#10;4DQLeHW3WeVYg961yoo8P80acJV1wIX3KL3slHSW/EspeLiW0otAVEkxt5C+Ln1X8ZvNpmxy65hd&#10;1/yQBvuHLDSrDQY9urpkgZGNq/9wpWvuwIMMAw46AylrLlINWM0wf1TNcs2sSLUgOd4eafL/zy1/&#10;t71xpK5KWhSUGKaxR/vv3/Y/fu1/3hGUIUGN9RPELS0iQ/saWmx0L/cojHW30un4x4oI6pHq3ZFe&#10;0QbCUTgejYfjE1Rx1BV5kY/GqQHZvbl1PrwRoEk8lNRh/xKtbHvlA6aC0B4SoxlY1EqlHipDmpKe&#10;vhzlyeCoQQtl0DAW0SWbTmGnRPSgzHshsf6UcxSkyRMXypEtw5lhnAsTUrnJE6IjSmLYpxge8NFU&#10;pKl8ivHRIkUGE47GujbgUr2P0q4+9ynLDt8z0NUdKQjtqk2NP+t7uYJqhy120G2Jt3xRYxuumA83&#10;zOFaYOtw1cM1fqQCpBsOJ0rW4L7+TR7xOK2opaTBNSup/7JhTlCi3hqc47PhSZyIkC4no3GBF/dQ&#10;s3qoMRt9AdiVIT4qlqdjxAfVH6UD/QlfhHmMiipmOMYuaeiPF6FbfnxRuJjPEwg30bJwZZaWR9eR&#10;ZQPzTQBZp5mLbHXcHFjEXUyjeHg34rI/vCfU/es2+w0AAP//AwBQSwMEFAAGAAgAAAAhANLM2TXk&#10;AAAADQEAAA8AAABkcnMvZG93bnJldi54bWxMj8tuwjAQRfeV+g/WVOoOHB4JUcgEoUioUtUuoGy6&#10;m8QmifAjjQ2k/fqaVbsczdG95+abUSt2lYPrrEGYTSNg0tRWdKZBOH7sJikw58kIUtZIhG/pYFM8&#10;PuSUCXsze3k9+IaFEOMyQmi97zPOXd1KTW5qe2nC72QHTT6cQ8PFQLcQrhWfR1HCNXUmNLTUy7KV&#10;9flw0Qiv5e6d9tVcpz+qfHk7bfuv42eM+Pw0btfAvBz9Hwx3/aAORXCq7MUIxxTCZBavloFFWCZx&#10;AuyORIs47KsQVukiBV7k/P+K4hcAAP//AwBQSwECLQAUAAYACAAAACEAtoM4kv4AAADhAQAAEwAA&#10;AAAAAAAAAAAAAAAAAAAAW0NvbnRlbnRfVHlwZXNdLnhtbFBLAQItABQABgAIAAAAIQA4/SH/1gAA&#10;AJQBAAALAAAAAAAAAAAAAAAAAC8BAABfcmVscy8ucmVsc1BLAQItABQABgAIAAAAIQDqNM8OeQIA&#10;ACUFAAAOAAAAAAAAAAAAAAAAAC4CAABkcnMvZTJvRG9jLnhtbFBLAQItABQABgAIAAAAIQDSzNk1&#10;5AAAAA0BAAAPAAAAAAAAAAAAAAAAANMEAABkcnMvZG93bnJldi54bWxQSwUGAAAAAAQABADzAAAA&#10;5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C1CD089-E15F-484D-8352-7B7F4286207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FD9E8A88-EEB5-4980-955B-07EBB8E17B32}"/>
  </w:font>
  <w:font w:name="Cambria">
    <w:panose1 w:val="02040503050406030204"/>
    <w:charset w:val="00"/>
    <w:family w:val="roman"/>
    <w:pitch w:val="default"/>
    <w:sig w:usb0="E00002FF" w:usb1="400004FF" w:usb2="00000000" w:usb3="00000000" w:csb0="2000019F" w:csb1="00000000"/>
    <w:embedRegular r:id="rId3" w:fontKey="{D0AA1AD7-BCB2-4231-B297-1A16FF867DF6}"/>
  </w:font>
  <w:font w:name="楷体">
    <w:panose1 w:val="02010609060101010101"/>
    <w:charset w:val="86"/>
    <w:family w:val="modern"/>
    <w:pitch w:val="default"/>
    <w:sig w:usb0="800002BF" w:usb1="38CF7CFA" w:usb2="00000016" w:usb3="00000000" w:csb0="00040001" w:csb1="00000000"/>
    <w:embedRegular r:id="rId4" w:fontKey="{A86EDC45-418F-495D-B5CA-040C38994F62}"/>
  </w:font>
  <w:font w:name="楷体_GB2312">
    <w:panose1 w:val="02010609030101010101"/>
    <w:charset w:val="86"/>
    <w:family w:val="modern"/>
    <w:pitch w:val="default"/>
    <w:sig w:usb0="00000001" w:usb1="080E0000" w:usb2="00000000" w:usb3="00000000" w:csb0="00040000" w:csb1="00000000"/>
    <w:embedRegular r:id="rId5" w:fontKey="{26B300F6-E3AF-4658-BC43-23CF6BC849F0}"/>
  </w:font>
  <w:font w:name="仿宋_GB2312">
    <w:panose1 w:val="02010609030101010101"/>
    <w:charset w:val="86"/>
    <w:family w:val="modern"/>
    <w:pitch w:val="default"/>
    <w:sig w:usb0="00000001" w:usb1="080E0000" w:usb2="00000000" w:usb3="00000000" w:csb0="00040000" w:csb1="00000000"/>
    <w:embedRegular r:id="rId6" w:fontKey="{D7098A4C-AAEB-4FA3-A0D7-1CFA3A5F065F}"/>
  </w:font>
  <w:font w:name="ArialUnicodeMS">
    <w:altName w:val="Malgun Gothic"/>
    <w:panose1 w:val="00000000000000000000"/>
    <w:charset w:val="81"/>
    <w:family w:val="auto"/>
    <w:pitch w:val="default"/>
    <w:sig w:usb0="00000000" w:usb1="00000000" w:usb2="00000010" w:usb3="00000000" w:csb0="00080001" w:csb1="00000000"/>
    <w:embedRegular r:id="rId7" w:fontKey="{A40B9B91-C2CB-41F7-B594-8900E7EB5D1B}"/>
  </w:font>
  <w:font w:name="微软雅黑">
    <w:panose1 w:val="020B0503020204020204"/>
    <w:charset w:val="86"/>
    <w:family w:val="swiss"/>
    <w:pitch w:val="default"/>
    <w:sig w:usb0="80000287" w:usb1="280F3C52" w:usb2="00000016" w:usb3="00000000" w:csb0="0004001F" w:csb1="00000000"/>
    <w:embedRegular r:id="rId8" w:fontKey="{D0514EFD-108A-4E66-91AE-F6E2C35AB149}"/>
  </w:font>
  <w:font w:name="MS-UIGothic,Bold">
    <w:altName w:val="Malgun Gothic"/>
    <w:panose1 w:val="00000000000000000000"/>
    <w:charset w:val="81"/>
    <w:family w:val="auto"/>
    <w:pitch w:val="default"/>
    <w:sig w:usb0="00000000" w:usb1="00000000" w:usb2="00000010" w:usb3="00000000" w:csb0="00080000" w:csb1="00000000"/>
    <w:embedRegular r:id="rId9" w:fontKey="{8E845BE6-B3BA-49E7-A83E-D136D2BEA609}"/>
  </w:font>
  <w:font w:name="Arial">
    <w:panose1 w:val="020B0604020202020204"/>
    <w:charset w:val="00"/>
    <w:family w:val="swiss"/>
    <w:pitch w:val="default"/>
    <w:sig w:usb0="E0002AFF" w:usb1="C0007843" w:usb2="00000009" w:usb3="00000000" w:csb0="400001FF" w:csb1="FFFF0000"/>
    <w:embedRegular r:id="rId10" w:fontKey="{EEC480CD-7AF8-48F9-A0DD-B819BE1D8CC2}"/>
  </w:font>
  <w:font w:name="DengXian-Regular">
    <w:altName w:val="宋体"/>
    <w:panose1 w:val="00000000000000000000"/>
    <w:charset w:val="86"/>
    <w:family w:val="auto"/>
    <w:pitch w:val="default"/>
    <w:sig w:usb0="00000000" w:usb1="00000000" w:usb2="00000010" w:usb3="00000000" w:csb0="00040001" w:csb1="00000000"/>
    <w:embedRegular r:id="rId11" w:fontKey="{3049C337-6047-4825-A688-FFA17047CE60}"/>
  </w:font>
  <w:font w:name="DengXian-Bold">
    <w:altName w:val="宋体"/>
    <w:panose1 w:val="00000000000000000000"/>
    <w:charset w:val="86"/>
    <w:family w:val="auto"/>
    <w:pitch w:val="default"/>
    <w:sig w:usb0="00000000" w:usb1="00000000" w:usb2="00000010" w:usb3="00000000" w:csb0="00040001" w:csb1="00000000"/>
    <w:embedRegular r:id="rId12" w:fontKey="{A70B51B1-44C2-4579-B37E-CCC612A690BB}"/>
  </w:font>
  <w:font w:name="___WRD_EMBED_SUB_49">
    <w:panose1 w:val="02010600030101010101"/>
    <w:charset w:val="86"/>
    <w:family w:val="modern"/>
    <w:pitch w:val="default"/>
    <w:sig w:usb0="00000000" w:usb1="00000000" w:usb2="00000000" w:usb3="00000000" w:csb0="00000000" w:csb1="00000000"/>
    <w:embedRegular r:id="rId13" w:fontKey="{C553A583-A4DD-461E-83C0-315204401454}"/>
  </w:font>
  <w:font w:name="TimesNewRomanPSMT">
    <w:altName w:val="Arial"/>
    <w:panose1 w:val="00000000000000000000"/>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05E9"/>
    <w:rsid w:val="000B2446"/>
    <w:rsid w:val="000B2C46"/>
    <w:rsid w:val="000D27D5"/>
    <w:rsid w:val="000D6703"/>
    <w:rsid w:val="000D7C65"/>
    <w:rsid w:val="000E2F81"/>
    <w:rsid w:val="00117946"/>
    <w:rsid w:val="00117E2C"/>
    <w:rsid w:val="00146C47"/>
    <w:rsid w:val="00152FB8"/>
    <w:rsid w:val="00176658"/>
    <w:rsid w:val="0018239E"/>
    <w:rsid w:val="001B3410"/>
    <w:rsid w:val="001C030D"/>
    <w:rsid w:val="001C4A84"/>
    <w:rsid w:val="001D020A"/>
    <w:rsid w:val="001E13B0"/>
    <w:rsid w:val="001E5902"/>
    <w:rsid w:val="00221B5E"/>
    <w:rsid w:val="00224E91"/>
    <w:rsid w:val="00233705"/>
    <w:rsid w:val="00275CA2"/>
    <w:rsid w:val="002A65A5"/>
    <w:rsid w:val="002C04C4"/>
    <w:rsid w:val="002D08B0"/>
    <w:rsid w:val="002D1AE3"/>
    <w:rsid w:val="002F2ECE"/>
    <w:rsid w:val="00341C8F"/>
    <w:rsid w:val="0035463A"/>
    <w:rsid w:val="003746B3"/>
    <w:rsid w:val="00391D9D"/>
    <w:rsid w:val="00391E1D"/>
    <w:rsid w:val="003A1CE1"/>
    <w:rsid w:val="003B6C51"/>
    <w:rsid w:val="003C1413"/>
    <w:rsid w:val="003C549F"/>
    <w:rsid w:val="003D5A16"/>
    <w:rsid w:val="003D66F6"/>
    <w:rsid w:val="003E7DB3"/>
    <w:rsid w:val="003F7EC9"/>
    <w:rsid w:val="00431175"/>
    <w:rsid w:val="00477CA3"/>
    <w:rsid w:val="004B6E37"/>
    <w:rsid w:val="004C32BA"/>
    <w:rsid w:val="004F3111"/>
    <w:rsid w:val="00502871"/>
    <w:rsid w:val="00570A15"/>
    <w:rsid w:val="00574134"/>
    <w:rsid w:val="00575922"/>
    <w:rsid w:val="005A6C90"/>
    <w:rsid w:val="005E3FB0"/>
    <w:rsid w:val="005F4B66"/>
    <w:rsid w:val="005F5208"/>
    <w:rsid w:val="00624676"/>
    <w:rsid w:val="00641318"/>
    <w:rsid w:val="0064405D"/>
    <w:rsid w:val="00685302"/>
    <w:rsid w:val="00695557"/>
    <w:rsid w:val="006D4EA7"/>
    <w:rsid w:val="0070012A"/>
    <w:rsid w:val="007042FA"/>
    <w:rsid w:val="0070664B"/>
    <w:rsid w:val="007071B8"/>
    <w:rsid w:val="00712FE6"/>
    <w:rsid w:val="007175D6"/>
    <w:rsid w:val="007414DE"/>
    <w:rsid w:val="0074209C"/>
    <w:rsid w:val="007905A9"/>
    <w:rsid w:val="0079671C"/>
    <w:rsid w:val="007E5500"/>
    <w:rsid w:val="007F055B"/>
    <w:rsid w:val="0080644C"/>
    <w:rsid w:val="00811C2F"/>
    <w:rsid w:val="00833D46"/>
    <w:rsid w:val="00840A97"/>
    <w:rsid w:val="008C0149"/>
    <w:rsid w:val="008C689C"/>
    <w:rsid w:val="008D5DED"/>
    <w:rsid w:val="008D65A0"/>
    <w:rsid w:val="008E25CA"/>
    <w:rsid w:val="008E5E8C"/>
    <w:rsid w:val="008F34FC"/>
    <w:rsid w:val="008F5F71"/>
    <w:rsid w:val="00935058"/>
    <w:rsid w:val="00944CD7"/>
    <w:rsid w:val="009644FA"/>
    <w:rsid w:val="009831B2"/>
    <w:rsid w:val="009A1ABE"/>
    <w:rsid w:val="009B0763"/>
    <w:rsid w:val="009C1610"/>
    <w:rsid w:val="009D0736"/>
    <w:rsid w:val="009E21A4"/>
    <w:rsid w:val="009F22C6"/>
    <w:rsid w:val="00A07E50"/>
    <w:rsid w:val="00A15397"/>
    <w:rsid w:val="00A35CE0"/>
    <w:rsid w:val="00A4462E"/>
    <w:rsid w:val="00A44AA4"/>
    <w:rsid w:val="00A61623"/>
    <w:rsid w:val="00A626F6"/>
    <w:rsid w:val="00A84687"/>
    <w:rsid w:val="00AB0A0E"/>
    <w:rsid w:val="00AB1627"/>
    <w:rsid w:val="00AD3B6E"/>
    <w:rsid w:val="00AE3C2B"/>
    <w:rsid w:val="00B1751F"/>
    <w:rsid w:val="00B40C8C"/>
    <w:rsid w:val="00B56722"/>
    <w:rsid w:val="00B645CA"/>
    <w:rsid w:val="00B676EA"/>
    <w:rsid w:val="00B74D39"/>
    <w:rsid w:val="00B91DA4"/>
    <w:rsid w:val="00C12630"/>
    <w:rsid w:val="00C34562"/>
    <w:rsid w:val="00C3774E"/>
    <w:rsid w:val="00C57456"/>
    <w:rsid w:val="00C65387"/>
    <w:rsid w:val="00C87FAB"/>
    <w:rsid w:val="00C91FF7"/>
    <w:rsid w:val="00C931D0"/>
    <w:rsid w:val="00C94E53"/>
    <w:rsid w:val="00D0048E"/>
    <w:rsid w:val="00D11D6D"/>
    <w:rsid w:val="00D23E7A"/>
    <w:rsid w:val="00D50EF1"/>
    <w:rsid w:val="00D61063"/>
    <w:rsid w:val="00DB35AF"/>
    <w:rsid w:val="00DC55F6"/>
    <w:rsid w:val="00DD72D7"/>
    <w:rsid w:val="00DF5B88"/>
    <w:rsid w:val="00E0589E"/>
    <w:rsid w:val="00E241FA"/>
    <w:rsid w:val="00E2595E"/>
    <w:rsid w:val="00E35374"/>
    <w:rsid w:val="00E3749A"/>
    <w:rsid w:val="00E50C19"/>
    <w:rsid w:val="00E64655"/>
    <w:rsid w:val="00E73081"/>
    <w:rsid w:val="00E856C9"/>
    <w:rsid w:val="00E8744D"/>
    <w:rsid w:val="00E952F8"/>
    <w:rsid w:val="00EB6A8B"/>
    <w:rsid w:val="00EF38C6"/>
    <w:rsid w:val="00F02A47"/>
    <w:rsid w:val="00F679C7"/>
    <w:rsid w:val="00F722CF"/>
    <w:rsid w:val="00F7383D"/>
    <w:rsid w:val="00F7711A"/>
    <w:rsid w:val="00FA0D58"/>
    <w:rsid w:val="00FA56F4"/>
    <w:rsid w:val="00FB4EDA"/>
    <w:rsid w:val="00FD3BD5"/>
    <w:rsid w:val="00FE3DC8"/>
    <w:rsid w:val="04073F84"/>
    <w:rsid w:val="0B60750A"/>
    <w:rsid w:val="10686488"/>
    <w:rsid w:val="10DF728A"/>
    <w:rsid w:val="1264200E"/>
    <w:rsid w:val="141C5B77"/>
    <w:rsid w:val="184A5AAA"/>
    <w:rsid w:val="18D8339D"/>
    <w:rsid w:val="1A21388F"/>
    <w:rsid w:val="1A570D2F"/>
    <w:rsid w:val="28FB0B8D"/>
    <w:rsid w:val="2A9870FC"/>
    <w:rsid w:val="2D2B7942"/>
    <w:rsid w:val="2D46481D"/>
    <w:rsid w:val="2E733B28"/>
    <w:rsid w:val="31852B5A"/>
    <w:rsid w:val="32D01238"/>
    <w:rsid w:val="37085B1F"/>
    <w:rsid w:val="3DFC59A8"/>
    <w:rsid w:val="3ECF245E"/>
    <w:rsid w:val="3FB96314"/>
    <w:rsid w:val="41BB600D"/>
    <w:rsid w:val="48903563"/>
    <w:rsid w:val="4ACD1A12"/>
    <w:rsid w:val="536A3F5C"/>
    <w:rsid w:val="53A44FAF"/>
    <w:rsid w:val="594329EC"/>
    <w:rsid w:val="5BA644BB"/>
    <w:rsid w:val="5BEE1540"/>
    <w:rsid w:val="5DE61A5D"/>
    <w:rsid w:val="63C04243"/>
    <w:rsid w:val="649C01C7"/>
    <w:rsid w:val="699A3F60"/>
    <w:rsid w:val="6E143EF0"/>
    <w:rsid w:val="72902E62"/>
    <w:rsid w:val="73C61104"/>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字符"/>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表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3644.86</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3"/>
        </c:manualLayout>
      </c:layout>
      <c:overlay val="0"/>
    </c:title>
    <c:autoTitleDeleted val="0"/>
    <c:plotArea>
      <c:layout>
        <c:manualLayout>
          <c:layoutTarget val="inner"/>
          <c:xMode val="edge"/>
          <c:yMode val="edge"/>
          <c:x val="0.101627059597234"/>
          <c:y val="0.103243458204088"/>
          <c:w val="0.808785007968812"/>
          <c:h val="0.65515469657202"/>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401.31</c:v>
                </c:pt>
                <c:pt idx="1">
                  <c:v>2836.01</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3644.86</c:v>
                </c:pt>
                <c:pt idx="1">
                  <c:v>3237.32</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1624.56</c:v>
                </c:pt>
                <c:pt idx="1">
                  <c:v>1010.72</c:v>
                </c:pt>
              </c:numCache>
            </c:numRef>
          </c:val>
        </c:ser>
        <c:dLbls>
          <c:showLegendKey val="0"/>
          <c:showVal val="1"/>
          <c:showCatName val="0"/>
          <c:showSerName val="0"/>
          <c:showPercent val="0"/>
          <c:showBubbleSize val="0"/>
        </c:dLbls>
        <c:gapWidth val="75"/>
        <c:axId val="211742080"/>
        <c:axId val="211897728"/>
      </c:barChart>
      <c:catAx>
        <c:axId val="211742080"/>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1897728"/>
        <c:crosses val="autoZero"/>
        <c:auto val="1"/>
        <c:lblAlgn val="ctr"/>
        <c:lblOffset val="100"/>
        <c:noMultiLvlLbl val="0"/>
      </c:catAx>
      <c:valAx>
        <c:axId val="21189772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1742080"/>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1"/>
        </c:manualLayout>
      </c:layout>
      <c:overlay val="0"/>
    </c:title>
    <c:autoTitleDeleted val="0"/>
    <c:plotArea>
      <c:layout>
        <c:manualLayout>
          <c:layoutTarget val="inner"/>
          <c:xMode val="edge"/>
          <c:yMode val="edge"/>
          <c:x val="0.100155074365704"/>
          <c:y val="0.0231156048675734"/>
          <c:w val="0.869289370078741"/>
          <c:h val="0.768818002863279"/>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1365.07</c:v>
                </c:pt>
                <c:pt idx="1">
                  <c:v>1365.07</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3644.86</c:v>
                </c:pt>
                <c:pt idx="1">
                  <c:v>3237.32</c:v>
                </c:pt>
              </c:numCache>
            </c:numRef>
          </c:val>
        </c:ser>
        <c:dLbls>
          <c:showLegendKey val="0"/>
          <c:showVal val="1"/>
          <c:showCatName val="0"/>
          <c:showSerName val="0"/>
          <c:showPercent val="0"/>
          <c:showBubbleSize val="0"/>
        </c:dLbls>
        <c:gapWidth val="75"/>
        <c:axId val="212827136"/>
        <c:axId val="215384832"/>
      </c:barChart>
      <c:catAx>
        <c:axId val="212827136"/>
        <c:scaling>
          <c:orientation val="minMax"/>
        </c:scaling>
        <c:delete val="0"/>
        <c:axPos val="b"/>
        <c:numFmt formatCode="General" sourceLinked="0"/>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5384832"/>
        <c:crosses val="autoZero"/>
        <c:auto val="1"/>
        <c:lblAlgn val="ctr"/>
        <c:lblOffset val="100"/>
        <c:noMultiLvlLbl val="0"/>
      </c:catAx>
      <c:valAx>
        <c:axId val="21538483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2827136"/>
        <c:crosses val="autoZero"/>
        <c:crossBetween val="between"/>
      </c:valAx>
    </c:plotArea>
    <c:legend>
      <c:legendPos val="b"/>
      <c:layout>
        <c:manualLayout>
          <c:xMode val="edge"/>
          <c:yMode val="edge"/>
          <c:x val="0.346718285214349"/>
          <c:y val="0.848750340633651"/>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layout>
                <c:manualLayout>
                  <c:x val="0.142381233595801"/>
                  <c:y val="0.29400196656833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delete val="1"/>
            </c:dLbl>
            <c:dLbl>
              <c:idx val="7"/>
              <c:layout>
                <c:manualLayout>
                  <c:x val="0.0765949256342957"/>
                  <c:y val="-0.22967226441827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8"/>
              <c:layout>
                <c:manualLayout>
                  <c:x val="0.033503280839895"/>
                  <c:y val="0.11504424778761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263.26</c:v>
                </c:pt>
                <c:pt idx="5">
                  <c:v>138.05</c:v>
                </c:pt>
                <c:pt idx="7">
                  <c:v>2592.21</c:v>
                </c:pt>
                <c:pt idx="8">
                  <c:v>243.8</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45"/>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FDD1D27-2F15-4373-8FBF-662B7A43170D}">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1945</Words>
  <Characters>11089</Characters>
  <Lines>92</Lines>
  <Paragraphs>26</Paragraphs>
  <TotalTime>24</TotalTime>
  <ScaleCrop>false</ScaleCrop>
  <LinksUpToDate>false</LinksUpToDate>
  <CharactersWithSpaces>13008</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2024-01-03T02:08:31Z</dcterms:modified>
  <dc:subject>石家庄市xxx部门</dc:subject>
  <dc:title>2017年度部门决算</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