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rPr>
          <w:rFonts w:ascii="黑体" w:hAnsi="宋体" w:eastAsia="黑体"/>
          <w:color w:val="002060"/>
          <w:sz w:val="72"/>
          <w:szCs w:val="72"/>
        </w:rPr>
        <w:pict>
          <v:shape id="图片 7" o:spid="_x0000_s1045" o:spt="75" type="#_x0000_t75" style="position:absolute;left:0pt;margin-left:-78.55pt;margin-top:-106.5pt;height:850.15pt;width:596.6pt;z-index:-1024;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rPr>
          <w:sz w:val="72"/>
        </w:rPr>
        <w:pict>
          <v:rect id="文本框 8" o:spid="_x0000_s1033" o:spt="1" style="position:absolute;left:0pt;margin-left:-82.9pt;margin-top:43.25pt;height:166.25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无极县农村工作委员会</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w:t>
                  </w:r>
                </w:p>
                <w:p>
                  <w:pPr>
                    <w:rPr>
                      <w:color w:val="FDEFBE"/>
                      <w:sz w:val="96"/>
                      <w:szCs w:val="96"/>
                    </w:rPr>
                  </w:pPr>
                </w:p>
              </w:txbxContent>
            </v:textbox>
          </v:rect>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sectPr>
          <w:pgSz w:w="11906" w:h="16838"/>
          <w:pgMar w:top="2098" w:right="1474" w:bottom="1985" w:left="1588" w:header="851" w:footer="992" w:gutter="0"/>
          <w:cols w:space="720"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rPr>
          <w:rFonts w:eastAsia="黑体"/>
          <w:sz w:val="32"/>
          <w:szCs w:val="32"/>
        </w:rPr>
      </w:pPr>
      <w:r>
        <w:rPr>
          <w:rFonts w:eastAsia="黑体"/>
          <w:sz w:val="32"/>
          <w:szCs w:val="32"/>
        </w:rPr>
        <w:t xml:space="preserve">第三部分  </w:t>
      </w:r>
      <w:r>
        <w:rPr>
          <w:rFonts w:hint="eastAsia" w:eastAsia="黑体"/>
          <w:sz w:val="32"/>
          <w:szCs w:val="32"/>
        </w:rPr>
        <w:t>无极县农村工作委员会</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ascii="宋体" w:hAnsi="宋体" w:cs="ArialUnicodeMS"/>
          <w:color w:val="000000"/>
          <w:kern w:val="0"/>
        </w:rPr>
        <w:pict>
          <v:shape id="图片 12" o:spid="_x0000_s1026" o:spt="75" type="#_x0000_t75" style="position:absolute;left:0pt;margin-left:-80.5pt;margin-top:-106.25pt;height:844.65pt;width:597.3pt;z-index:-1024;mso-width-relative:page;mso-height-relative:page;" filled="f" o:preferrelative="t" stroked="f" coordsize="21600,21600">
            <v:path/>
            <v:fill on="f" focussize="0,0"/>
            <v:stroke on="f" joinstyle="miter"/>
            <v:imagedata r:id="rId5" o:title=""/>
            <o:lock v:ext="edit" aspectratio="t"/>
          </v:shape>
        </w:pict>
      </w:r>
      <w:r>
        <w:rPr>
          <w:sz w:val="72"/>
        </w:rPr>
        <w:pict>
          <v:rect id="文本框 118" o:spid="_x0000_s1034" o:spt="1" style="position:absolute;left:0pt;margin-left:-97.1pt;margin-top:259.1pt;height:81.7pt;width:613.65pt;z-index:1024;mso-width-relative:page;mso-height-relative:page;" filled="f" o:preferrelative="t" stroked="f" coordsize="21600,21600">
            <v:path/>
            <v:fill on="f" focussize="0,0"/>
            <v:stroke on="f"/>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  部门概况</w:t>
                  </w:r>
                </w:p>
              </w:txbxContent>
            </v:textbox>
          </v:rect>
        </w:pict>
      </w:r>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800" w:firstLineChars="250"/>
        <w:rPr>
          <w:rFonts w:ascii="仿宋" w:hAnsi="仿宋" w:eastAsia="仿宋" w:cs="仿宋"/>
          <w:sz w:val="32"/>
          <w:szCs w:val="32"/>
        </w:rPr>
      </w:pPr>
      <w:r>
        <w:rPr>
          <w:rFonts w:hint="eastAsia" w:ascii="仿宋" w:hAnsi="仿宋" w:eastAsia="仿宋" w:cs="仿宋"/>
          <w:sz w:val="32"/>
          <w:szCs w:val="32"/>
        </w:rPr>
        <w:t>1.贯彻执行党在农村的路线、方针、政策。</w:t>
      </w:r>
    </w:p>
    <w:p>
      <w:pPr>
        <w:ind w:firstLine="800" w:firstLineChars="250"/>
        <w:rPr>
          <w:rFonts w:ascii="仿宋" w:hAnsi="仿宋" w:eastAsia="仿宋" w:cs="仿宋"/>
          <w:sz w:val="32"/>
          <w:szCs w:val="32"/>
        </w:rPr>
      </w:pPr>
      <w:r>
        <w:rPr>
          <w:rFonts w:hint="eastAsia" w:ascii="仿宋" w:hAnsi="仿宋" w:eastAsia="仿宋" w:cs="仿宋"/>
          <w:sz w:val="32"/>
          <w:szCs w:val="32"/>
        </w:rPr>
        <w:t>2.负责全县农民负担的监督管理。</w:t>
      </w:r>
    </w:p>
    <w:p>
      <w:pPr>
        <w:ind w:firstLine="800" w:firstLineChars="250"/>
        <w:rPr>
          <w:rFonts w:ascii="仿宋" w:hAnsi="仿宋" w:eastAsia="仿宋" w:cs="仿宋"/>
          <w:sz w:val="32"/>
          <w:szCs w:val="32"/>
        </w:rPr>
      </w:pPr>
      <w:r>
        <w:rPr>
          <w:rFonts w:hint="eastAsia" w:ascii="仿宋" w:hAnsi="仿宋" w:eastAsia="仿宋" w:cs="仿宋"/>
          <w:sz w:val="32"/>
          <w:szCs w:val="32"/>
        </w:rPr>
        <w:t>3.负责农村产业化调整和农村经济的发展。</w:t>
      </w:r>
    </w:p>
    <w:p>
      <w:pPr>
        <w:ind w:firstLine="800" w:firstLineChars="250"/>
        <w:rPr>
          <w:rFonts w:ascii="仿宋" w:hAnsi="仿宋" w:eastAsia="仿宋" w:cs="仿宋"/>
          <w:sz w:val="32"/>
          <w:szCs w:val="32"/>
        </w:rPr>
      </w:pPr>
      <w:r>
        <w:rPr>
          <w:rFonts w:hint="eastAsia" w:ascii="仿宋" w:hAnsi="仿宋" w:eastAsia="仿宋" w:cs="仿宋"/>
          <w:sz w:val="32"/>
          <w:szCs w:val="32"/>
        </w:rPr>
        <w:t>4.负责农村财务的监督管理和审计。</w:t>
      </w:r>
    </w:p>
    <w:p>
      <w:pPr>
        <w:ind w:firstLine="800" w:firstLineChars="250"/>
        <w:rPr>
          <w:rFonts w:ascii="仿宋" w:hAnsi="仿宋" w:eastAsia="仿宋" w:cs="仿宋"/>
          <w:sz w:val="32"/>
          <w:szCs w:val="32"/>
        </w:rPr>
      </w:pPr>
      <w:r>
        <w:rPr>
          <w:rFonts w:hint="eastAsia" w:ascii="仿宋" w:hAnsi="仿宋" w:eastAsia="仿宋" w:cs="仿宋"/>
          <w:sz w:val="32"/>
          <w:szCs w:val="32"/>
        </w:rPr>
        <w:t>5.负责全县农村小康建设工作。</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从决算编报单位构成看，纳入2018 年度本部门决算汇编范围的独立核算单位（以下简称“单位”）共1 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中国共产党无极委员会农村工作委员会</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sectPr>
          <w:pgSz w:w="11906" w:h="16838"/>
          <w:pgMar w:top="2098" w:right="1474" w:bottom="1984" w:left="1588" w:header="851" w:footer="992" w:gutter="0"/>
          <w:cols w:space="720" w:num="1"/>
          <w:docGrid w:type="lines" w:linePitch="312" w:charSpace="0"/>
        </w:sectPr>
      </w:pPr>
    </w:p>
    <w:p>
      <w:pPr>
        <w:widowControl/>
        <w:spacing w:line="560" w:lineRule="exact"/>
        <w:jc w:val="center"/>
        <w:rPr>
          <w:rFonts w:ascii="黑体" w:hAnsi="Cambria" w:eastAsia="黑体" w:cs="MS-UIGothic,Bold"/>
          <w:bCs/>
          <w:kern w:val="0"/>
          <w:sz w:val="52"/>
          <w:szCs w:val="52"/>
        </w:rPr>
      </w:pPr>
      <w:r>
        <w:rPr>
          <w:rFonts w:ascii="宋体" w:hAnsi="宋体" w:cs="ArialUnicodeMS"/>
          <w:color w:val="000000"/>
          <w:kern w:val="0"/>
        </w:rPr>
        <w:pict>
          <v:shape id="图片 16" o:spid="_x0000_s1027" o:spt="75" type="#_x0000_t75" style="position:absolute;left:0pt;margin-left:-80.4pt;margin-top:-104.3pt;height:840.95pt;width:596.15pt;z-index:-1024;mso-width-relative:page;mso-height-relative:page;" filled="f" o:preferrelative="t" stroked="f" coordsize="21600,21600">
            <v:path/>
            <v:fill on="f" focussize="0,0"/>
            <v:stroke on="f" joinstyle="miter"/>
            <v:imagedata r:id="rId5" o:title=""/>
            <o:lock v:ext="edit" aspectratio="t"/>
          </v:shape>
        </w:pict>
      </w:r>
    </w:p>
    <w:p>
      <w:pPr>
        <w:widowControl/>
        <w:spacing w:line="560" w:lineRule="exact"/>
        <w:jc w:val="center"/>
        <w:rPr>
          <w:rFonts w:ascii="黑体" w:hAnsi="Cambria" w:eastAsia="黑体" w:cs="MS-UIGothic,Bold"/>
          <w:bCs/>
          <w:kern w:val="0"/>
          <w:sz w:val="52"/>
          <w:szCs w:val="52"/>
        </w:rPr>
      </w:pPr>
    </w:p>
    <w:p>
      <w:pPr>
        <w:rPr>
          <w:rFonts w:ascii="宋体" w:hAnsi="宋体" w:cs="ArialUnicodeMS"/>
          <w:color w:val="000000"/>
          <w:kern w:val="0"/>
        </w:rPr>
      </w:pPr>
    </w:p>
    <w:p>
      <w:pPr>
        <w:sectPr>
          <w:pgSz w:w="11906" w:h="16838"/>
          <w:pgMar w:top="2098" w:right="1474" w:bottom="1984" w:left="1588" w:header="851" w:footer="992" w:gutter="0"/>
          <w:cols w:space="720" w:num="1"/>
          <w:docGrid w:type="lines" w:linePitch="312" w:charSpace="0"/>
        </w:sectPr>
      </w:pPr>
      <w:r>
        <w:rPr>
          <w:sz w:val="72"/>
        </w:rPr>
        <w:pict>
          <v:rect id="文本框 17" o:spid="_x0000_s1035" o:spt="1" style="position:absolute;left:0pt;margin-left:-74pt;margin-top:120.3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hint="eastAsia" w:ascii="黑体" w:hAnsi="宋体" w:eastAsia="黑体"/>
                      <w:color w:val="FDEFBE"/>
                      <w:sz w:val="96"/>
                      <w:szCs w:val="96"/>
                    </w:rPr>
                    <w:t>2018年度部门决算报表</w:t>
                  </w:r>
                </w:p>
              </w:txbxContent>
            </v:textbox>
          </v:rect>
        </w:pict>
      </w:r>
    </w:p>
    <w:tbl>
      <w:tblPr>
        <w:tblStyle w:val="10"/>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393.76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90.41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0.6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118.83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393.76</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209.85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6.77</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190.68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400.53</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400.53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469"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393.76</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393.76</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一般公共服务支出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83.96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83.96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20128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民主党派及工商联事务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83.96</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83.96</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2012801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77.11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77.11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2012802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一般行政管理事务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6.85</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6.85</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城乡社区支出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国有土地使用权出让收入及对应专项债务收入安排的支出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2120809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支付破产或改制企业职工安置费</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0.60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农林水支出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309.20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309.20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农业</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192.20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192.20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2130124</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农业组织化与产业化经营</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101.50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101.50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692"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2130199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其他农业支出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90.70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90.70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扶贫</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107.00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107.00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2130599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其他扶贫支出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107.00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107.00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21307</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农村综合改革</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2130799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 xml:space="preserve">  其他农村综合改革支出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10.00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jc w:val="right"/>
              <w:rPr>
                <w:rFonts w:ascii="宋体" w:hAnsi="宋体" w:cs="Arial"/>
                <w:color w:val="000000"/>
                <w:sz w:val="22"/>
                <w:szCs w:val="22"/>
              </w:rPr>
            </w:pPr>
            <w:r>
              <w:rPr>
                <w:rFonts w:hint="eastAsia" w:cs="Arial"/>
                <w:color w:val="000000"/>
                <w:sz w:val="22"/>
                <w:szCs w:val="22"/>
              </w:rPr>
              <w:t>10.00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000" w:type="dxa"/>
        <w:tblInd w:w="15"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209.85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71.01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138.83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一般公共服务支出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90.41</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70.41</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民主党派及工商联事务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83.64</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63.64</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76.80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56.80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2012802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一般行政管理事务</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6.85</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6.85</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20136</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其他共产党事务支出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2013601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行政运行</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212</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21208</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2120809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支付破产或改制企业职工安置费</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农林水支出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118.83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118.83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21301</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农业</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2130124</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农业组织化与产业化经营</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21305</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扶贫</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2130599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其他扶贫支出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21307</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农村综合改革</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2130799</w:t>
            </w:r>
          </w:p>
        </w:tc>
        <w:tc>
          <w:tcPr>
            <w:tcW w:w="111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其他农村综合改革支出</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08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3"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08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420" w:firstLineChars="200"/>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393.16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90.41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0.60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0.60</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118.83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118.83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393.76</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209.85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209.85</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0.60</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190.68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190.68</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6.77</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400.53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400.53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399.93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0.60</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right="420"/>
              <w:jc w:val="center"/>
              <w:rPr>
                <w:rFonts w:ascii="宋体" w:hAnsi="宋体" w:cs="宋体"/>
                <w:b/>
                <w:color w:val="000000"/>
                <w:szCs w:val="21"/>
              </w:rPr>
            </w:pPr>
            <w:r>
              <w:rPr>
                <w:rFonts w:hint="eastAsia" w:ascii="宋体" w:hAnsi="宋体" w:cs="宋体"/>
                <w:b/>
                <w:color w:val="000000"/>
                <w:szCs w:val="21"/>
              </w:rPr>
              <w:t>209.25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right="420"/>
              <w:jc w:val="center"/>
              <w:rPr>
                <w:rFonts w:ascii="宋体" w:hAnsi="宋体" w:cs="宋体"/>
                <w:b/>
                <w:color w:val="000000"/>
                <w:szCs w:val="21"/>
              </w:rPr>
            </w:pPr>
            <w:r>
              <w:rPr>
                <w:rFonts w:hint="eastAsia" w:ascii="宋体" w:hAnsi="宋体" w:cs="宋体"/>
                <w:b/>
                <w:color w:val="000000"/>
                <w:szCs w:val="21"/>
              </w:rPr>
              <w:t>70.41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right="420"/>
              <w:jc w:val="center"/>
              <w:rPr>
                <w:rFonts w:ascii="宋体" w:hAnsi="宋体" w:cs="宋体"/>
                <w:b/>
                <w:color w:val="000000"/>
                <w:szCs w:val="21"/>
              </w:rPr>
            </w:pPr>
            <w:r>
              <w:rPr>
                <w:rFonts w:hint="eastAsia" w:ascii="宋体" w:hAnsi="宋体" w:cs="宋体"/>
                <w:b/>
                <w:color w:val="000000"/>
                <w:szCs w:val="21"/>
              </w:rPr>
              <w:t>138.83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90.41</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70.41</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民主党派及工商联事务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83.64</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63.64</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76.80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56.80</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2012802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一般行政管理事务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6.85</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6.85</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20136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其他共产党事务支出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2013601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6.77</w:t>
            </w: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农林水支出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118.83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118.83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农业</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2130124</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农业组织化与产业化经营</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扶贫</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2130599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其他扶贫支出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106.33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农村综合改革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2130799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其他农村综合改革支出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c>
          <w:tcPr>
            <w:tcW w:w="1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10.00</w:t>
            </w: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41.79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21.75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6.78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9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8.68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1.94</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1.55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2.97</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44.21</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4.52</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1.55</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60" w:type="dxa"/>
        <w:tblInd w:w="15"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0.6</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0.6</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0.6</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212</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21208</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2120809</w:t>
            </w: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支付破产或改制企业职工安置费</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0.60</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800" w:type="dxa"/>
        <w:tblInd w:w="15"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注：本表反映部门本年度国有资本经营预算财政拨款支出情况。本年未发生国有资本经营预算财政拨款支出，按要求以空表列示。</w:t>
            </w:r>
          </w:p>
        </w:tc>
      </w:tr>
    </w:tbl>
    <w:p>
      <w:pPr>
        <w:widowControl/>
        <w:spacing w:after="0" w:line="560" w:lineRule="exact"/>
        <w:jc w:val="left"/>
        <w:sectPr>
          <w:pgSz w:w="11906" w:h="16838"/>
          <w:pgMar w:top="2098" w:right="1474" w:bottom="1984" w:left="1588" w:header="851" w:footer="992" w:gutter="0"/>
          <w:cols w:space="720" w:num="1"/>
          <w:docGrid w:type="lines" w:linePitch="312" w:charSpace="0"/>
        </w:sectPr>
      </w:pPr>
    </w:p>
    <w:tbl>
      <w:tblPr>
        <w:tblStyle w:val="10"/>
        <w:tblW w:w="8940" w:type="dxa"/>
        <w:tblInd w:w="15"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434</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1300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1721.55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1721.55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1721.55</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428.97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428.97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428.97</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1292.58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1292.58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1292.58</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sectPr>
          <w:pgSz w:w="11906" w:h="16838"/>
          <w:pgMar w:top="2098" w:right="1474" w:bottom="1984" w:left="1588" w:header="851" w:footer="992" w:gutter="0"/>
          <w:cols w:space="720" w:num="1"/>
          <w:docGrid w:type="lines" w:linePitch="312" w:charSpace="0"/>
        </w:sectPr>
      </w:pPr>
      <w:r>
        <w:rPr>
          <w:rFonts w:hint="eastAsia"/>
        </w:rPr>
        <w:tab/>
      </w: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_x0000_s1028" o:spid="_x0000_s1028" o:spt="75" type="#_x0000_t75" style="position:absolute;left:0pt;margin-left:-79.25pt;margin-top:-105.15pt;height:840.95pt;width:594.5pt;z-index:-1024;mso-width-relative:page;mso-height-relative:page;" filled="f" o:preferrelative="t" stroked="f" coordsize="21600,21600">
            <v:path/>
            <v:fill on="f" focussize="0,0"/>
            <v:stroke on="f" joinstyle="miter"/>
            <v:imagedata r:id="rId5" o:title=""/>
            <o:lock v:ext="edit" aspectratio="t"/>
          </v:shape>
        </w:pict>
      </w:r>
      <w:r>
        <w:rPr>
          <w:sz w:val="72"/>
        </w:rPr>
        <w:pict>
          <v:rect id="文本框 5" o:spid="_x0000_s1036" o:spt="1" style="position:absolute;left:0pt;margin-left:-78.5pt;margin-top:232.8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rect>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b w:val="0"/>
          <w:bCs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本部门2018年度收支总计（含结转和结余）400.53万元。与2017年度决算相比，收支各增加115.74万元，增长40.6%，主要原因是专项资金增多、新增改厕工作。</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本部门2018年度本年收入合计393.76万元，其中：财政拨款收入393.76万元，占100%；。如图所示：</w:t>
      </w:r>
    </w:p>
    <w:p>
      <w:pPr>
        <w:adjustRightInd w:val="0"/>
        <w:snapToGrid w:val="0"/>
        <w:spacing w:after="0" w:line="580" w:lineRule="exact"/>
        <w:ind w:firstLine="640" w:firstLineChars="200"/>
        <w:rPr>
          <w:rFonts w:ascii="仿宋_GB2312" w:eastAsia="仿宋_GB2312" w:cs="DengXian-Regular"/>
          <w:sz w:val="32"/>
          <w:szCs w:val="32"/>
        </w:rPr>
      </w:pPr>
    </w:p>
    <w:p>
      <w:pPr>
        <w:pStyle w:val="3"/>
        <w:spacing w:before="0" w:after="0" w:line="580" w:lineRule="exact"/>
        <w:ind w:firstLine="643" w:firstLineChars="200"/>
        <w:rPr>
          <w:rFonts w:ascii="黑体" w:eastAsia="黑体"/>
        </w:rPr>
      </w:pPr>
      <w:r>
        <w:pict>
          <v:rect id="文本框 32" o:spid="_x0000_s1037" o:spt="1" style="position:absolute;left:0pt;margin-left:100.75pt;margin-top:16.25pt;height:32.1pt;width:194.15pt;z-index:1024;mso-width-relative:page;mso-height-relative:page;" o:preferrelative="t" stroked="f" coordsize="21600,21600">
            <v:path/>
            <v:fill focussize="0,0"/>
            <v:stroke on="f"/>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rect>
        </w:pict>
      </w:r>
    </w:p>
    <w:p>
      <w:pPr>
        <w:pStyle w:val="3"/>
        <w:spacing w:before="0" w:after="0" w:line="580" w:lineRule="exact"/>
        <w:ind w:firstLine="643" w:firstLineChars="200"/>
        <w:rPr>
          <w:rFonts w:ascii="黑体" w:eastAsia="黑体"/>
          <w:b w:val="0"/>
          <w:bCs w:val="0"/>
        </w:rPr>
      </w:pPr>
      <w:r>
        <w:pict>
          <v:shape id="图表 4" o:spid="_x0000_s1038" o:spt="75" type="#_x0000_t75" style="position:absolute;left:0pt;margin-left:27.75pt;margin-top:14.6pt;height:210pt;width:354pt;mso-wrap-distance-bottom:0pt;mso-wrap-distance-left:9pt;mso-wrap-distance-right:9pt;mso-wrap-distance-top:0pt;z-index:1024;mso-width-relative:page;mso-height-relative:page;" filled="f" o:preferrelative="t" stroked="f" coordsize="21600,21600">
            <v:path/>
            <v:fill on="f" focussize="0,0"/>
            <v:stroke on="f" joinstyle="miter"/>
            <v:imagedata r:id="rId6" o:title=""/>
            <o:lock v:ext="edit" aspectratio="f"/>
            <w10:wrap type="square"/>
          </v:shape>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本部门2018年度本年支出合计209.85万元，其中：基本支出71.01万元，占33.84%；项目支出138.83万元，占66.16%；经营支出0万元，占0%。如图所示：</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1260" w:firstLineChars="600"/>
        <w:rPr>
          <w:rFonts w:ascii="仿宋_GB2312" w:eastAsia="仿宋_GB2312" w:cs="DengXian-Regular"/>
          <w:sz w:val="32"/>
          <w:szCs w:val="32"/>
        </w:rPr>
      </w:pPr>
      <w:r>
        <w:pict>
          <v:shape id="图表 1" o:spid="_x0000_s1039" o:spt="75" type="#_x0000_t75" style="position:absolute;left:0pt;margin-left:63pt;margin-top:-20.65pt;height:207pt;width:340.5pt;mso-wrap-distance-bottom:0pt;mso-wrap-distance-left:9pt;mso-wrap-distance-right:9pt;mso-wrap-distance-top:0pt;z-index:1024;mso-width-relative:page;mso-height-relative:page;" filled="f" o:preferrelative="t" stroked="f" coordsize="21600,21600">
            <v:path/>
            <v:fill on="f" focussize="0,0"/>
            <v:stroke on="f" joinstyle="miter"/>
            <v:imagedata r:id="rId7" o:title=""/>
            <o:lock v:ext="edit" aspectratio="f"/>
            <w10:wrap type="square"/>
          </v:shape>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r>
        <w:pict>
          <v:rect id="文本框 30" o:spid="_x0000_s1029" o:spt="1" style="position:absolute;left:0pt;margin-left:73.8pt;margin-top:20pt;height:42.2pt;width:248.75pt;z-index:-1024;mso-width-relative:page;mso-height-relative:page;" o:preferrelative="t" stroked="f" coordsize="21600,21600">
            <v:path/>
            <v:fill focussize="0,0"/>
            <v:stroke on="f"/>
            <v:imagedata o:title=""/>
            <o:lock v:ext="edit"/>
            <v:textbox>
              <w:txbxContent>
                <w:p>
                  <w:pPr>
                    <w:adjustRightInd w:val="0"/>
                    <w:snapToGrid w:val="0"/>
                    <w:spacing w:after="0" w:line="240" w:lineRule="auto"/>
                    <w:rPr>
                      <w:rFonts w:ascii="仿宋_GB2312" w:eastAsia="仿宋_GB2312" w:cs="DengXian-Regular"/>
                      <w:sz w:val="28"/>
                      <w:szCs w:val="28"/>
                    </w:rPr>
                  </w:pPr>
                </w:p>
                <w:p>
                  <w:pPr>
                    <w:rPr>
                      <w:sz w:val="20"/>
                      <w:szCs w:val="22"/>
                    </w:rPr>
                  </w:pPr>
                </w:p>
                <w:p>
                  <w:pPr>
                    <w:rPr>
                      <w:sz w:val="20"/>
                      <w:szCs w:val="22"/>
                    </w:rPr>
                  </w:pPr>
                </w:p>
                <w:p>
                  <w:pPr>
                    <w:rPr>
                      <w:sz w:val="20"/>
                      <w:szCs w:val="22"/>
                    </w:rPr>
                  </w:pPr>
                </w:p>
              </w:txbxContent>
            </v:textbox>
          </v:rect>
        </w:pict>
      </w: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b w:val="0"/>
          <w:bCs w:val="0"/>
        </w:rPr>
        <w:t>财政</w:t>
      </w:r>
      <w:r>
        <w:rPr>
          <w:rFonts w:hint="eastAsia" w:ascii="黑体" w:eastAsia="黑体"/>
          <w:b w:val="0"/>
          <w:bCs w:val="0"/>
        </w:rPr>
        <w:t>拨款收入支出决算情况说明</w:t>
      </w:r>
    </w:p>
    <w:p>
      <w:pPr>
        <w:adjustRightInd w:val="0"/>
        <w:snapToGrid w:val="0"/>
        <w:spacing w:after="0" w:line="580" w:lineRule="exact"/>
        <w:ind w:firstLine="640" w:firstLineChars="200"/>
        <w:rPr>
          <w:rFonts w:ascii="华文楷体" w:hAnsi="华文楷体" w:eastAsia="华文楷体" w:cs="DengXian-Regular"/>
          <w:sz w:val="32"/>
          <w:szCs w:val="32"/>
        </w:rPr>
      </w:pPr>
      <w:r>
        <w:rPr>
          <w:rFonts w:hint="eastAsia" w:ascii="华文楷体" w:hAnsi="华文楷体" w:eastAsia="华文楷体" w:cs="DengXian-Regular"/>
          <w:sz w:val="32"/>
          <w:szCs w:val="32"/>
        </w:rPr>
        <w:t>（一）财政拨款收支与2017年度决算对比情况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本部门2018年度财政拨款本年收入393.76万元,比2017年度增加206.11万元，增长109.8%，主要是改厕专款增多；本年支出209.85万元，减少68.18万元，降低24.5%，主要是改厕资金结转下年增多。</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393.16万元，比上年增加205.51万元；主要是改厕专项资金增加；本年支出209.85万元，比上年减少68.18万元，减少24.5%，主要是改厕资金结转下年。政府性基金预算财政拨款本年收入0.6万元，比上年增加0.6万元，主要原因是基金会退休人员一孩补；本年支出0.6万元，比上年增加0.6万元，主要是基金会退休人员一孩补。</w:t>
      </w:r>
    </w:p>
    <w:p>
      <w:pPr>
        <w:adjustRightInd w:val="0"/>
        <w:snapToGrid w:val="0"/>
        <w:spacing w:after="0" w:line="580" w:lineRule="exact"/>
        <w:ind w:firstLine="420" w:firstLineChars="200"/>
        <w:rPr>
          <w:rFonts w:ascii="仿宋_GB2312" w:eastAsia="仿宋_GB2312" w:cs="DengXian-Regular"/>
          <w:sz w:val="32"/>
          <w:szCs w:val="32"/>
        </w:rPr>
      </w:pPr>
      <w:r>
        <w:pict>
          <v:shape id="图片框 1045" o:spid="_x0000_s1040" o:spt="75" type="#_x0000_t75" style="position:absolute;left:0pt;margin-left:21pt;margin-top:-10.95pt;height:235.45pt;width:360.7pt;mso-wrap-distance-bottom:0pt;mso-wrap-distance-left:9pt;mso-wrap-distance-right:9pt;mso-wrap-distance-top:0pt;z-index:1024;mso-width-relative:page;mso-height-relative:page;" filled="f" o:preferrelative="t" stroked="f" coordsize="21600,21600">
            <v:path/>
            <v:fill on="f" focussize="0,0"/>
            <v:stroke on="f" joinstyle="miter"/>
            <v:imagedata r:id="rId8" o:title=""/>
            <o:lock v:ext="edit" aspectratio="t"/>
            <w10:wrap type="square"/>
          </v:shape>
        </w:pict>
      </w:r>
    </w:p>
    <w:p>
      <w:pPr>
        <w:adjustRightInd w:val="0"/>
        <w:snapToGrid w:val="0"/>
        <w:spacing w:after="0" w:line="580" w:lineRule="exact"/>
        <w:rPr>
          <w:rFonts w:ascii="仿宋_GB2312" w:eastAsia="仿宋_GB2312" w:cs="DengXian-Regular"/>
          <w:sz w:val="32"/>
          <w:szCs w:val="32"/>
        </w:rPr>
      </w:pPr>
      <w:r>
        <w:pict>
          <v:shape id="_x0000_i1025" o:spt="75" type="#_x0000_t75" style="height:243pt;width:367.5pt;" filled="f" o:preferrelative="t" stroked="f" coordsize="21600,21600">
            <v:path/>
            <v:fill on="f" focussize="0,0"/>
            <v:stroke on="f" joinstyle="miter"/>
            <v:imagedata r:id="rId9" o:title=""/>
            <o:lock v:ext="edit" aspectratio="t"/>
            <w10:wrap type="none"/>
            <w10:anchorlock/>
          </v:shape>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393.76万元，完成年初预算的207%,比年初预算增加203.53万元，决算数大于预算数主要原因是新增改厕工作；本年支出209.85万元，完成年初预算的110%,比年初预算增加19.62万元，决算数大于预算数主要原因是新增改厕经费。</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209.85万元，完成年初预算110%，比年初预算增加19.62万元，主要是新增改厕经费；支出209.85万元，完成年初预算110%，比年初预算增加19.62万元，主要是新增改厕经费。政府性基金预算财政拨款本年收入0.6万元，比年初预算增加0.6万元，主要是基金会退休人员一孩补；支出0.6万元，比年初预算增加0.6万元，主要是基金会退休人员一孩补。</w:t>
      </w:r>
    </w:p>
    <w:p>
      <w:pPr>
        <w:adjustRightInd w:val="0"/>
        <w:snapToGrid w:val="0"/>
        <w:spacing w:after="0" w:line="580" w:lineRule="exact"/>
        <w:rPr>
          <w:rFonts w:ascii="仿宋_GB2312" w:eastAsia="仿宋_GB2312" w:cs="DengXian-Regular"/>
          <w:sz w:val="32"/>
          <w:szCs w:val="32"/>
          <w:highlight w:val="yellow"/>
        </w:rPr>
      </w:pPr>
      <w:r>
        <w:pict>
          <v:shape id="图片框 1048" o:spid="_x0000_s1041" o:spt="75" type="#_x0000_t75" style="position:absolute;left:0pt;margin-left:25.15pt;margin-top:12.75pt;height:275.2pt;width:360.7pt;mso-wrap-distance-bottom:0pt;mso-wrap-distance-left:9pt;mso-wrap-distance-right:9pt;mso-wrap-distance-top:0pt;z-index:1024;mso-width-relative:page;mso-height-relative:page;" filled="f" o:preferrelative="t" stroked="f" coordsize="21600,21600">
            <v:path/>
            <v:fill on="f" focussize="0,0"/>
            <v:stroke on="f" joinstyle="miter"/>
            <v:imagedata r:id="rId10" o:title=""/>
            <o:lock v:ext="edit" aspectratio="t"/>
            <w10:wrap type="square"/>
          </v:shape>
        </w:pict>
      </w:r>
      <w:r>
        <w:rPr>
          <w:sz w:val="32"/>
        </w:rPr>
        <w:pict>
          <v:rect id="文本框 28" o:spid="_x0000_s1030" o:spt="1" style="position:absolute;left:0pt;margin-left:42.7pt;margin-top:132.2pt;height:38.95pt;width:343.15pt;z-index:-1024;mso-width-relative:page;mso-height-relative:page;" o:preferrelative="t" stroked="f" coordsize="21600,21600">
            <v:path/>
            <v:fill focussize="0,0"/>
            <v:stroke on="f"/>
            <v:imagedata o:title=""/>
            <o:lock v:ext="edit"/>
            <v:textbox>
              <w:txbxContent>
                <w:p>
                  <w:pPr>
                    <w:adjustRightInd w:val="0"/>
                    <w:snapToGrid w:val="0"/>
                    <w:spacing w:line="560" w:lineRule="exact"/>
                    <w:rPr>
                      <w:rFonts w:ascii="仿宋_GB2312" w:eastAsia="仿宋_GB2312" w:cs="DengXian-Regular"/>
                      <w:sz w:val="24"/>
                    </w:rPr>
                  </w:pPr>
                </w:p>
                <w:p>
                  <w:pPr>
                    <w:rPr>
                      <w:sz w:val="18"/>
                      <w:szCs w:val="21"/>
                    </w:rPr>
                  </w:pPr>
                </w:p>
              </w:txbxContent>
            </v:textbox>
          </v:rect>
        </w:pic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rPr>
          <w:rFonts w:ascii="楷体_GB2312" w:eastAsia="楷体_GB2312" w:cs="DengXian-Bold"/>
          <w:b/>
          <w:bCs/>
          <w:sz w:val="32"/>
          <w:szCs w:val="32"/>
        </w:rPr>
      </w:pPr>
      <w:r>
        <w:rPr>
          <w:rFonts w:hint="eastAsia" w:ascii="仿宋_GB2312" w:eastAsia="仿宋_GB2312" w:cs="DengXian-Regular"/>
          <w:sz w:val="32"/>
          <w:szCs w:val="32"/>
        </w:rPr>
        <w:t xml:space="preserve">    2018 年度财政拨款支出209.85万元，主要用于以下方面：一般公共服务（类）支出90.41万元，占43.09%；城乡社区支出0.6万元，占0.29%；农林水支出118.83万元，占56.63%。</w:t>
      </w:r>
    </w:p>
    <w:p>
      <w:pPr>
        <w:adjustRightInd w:val="0"/>
        <w:snapToGrid w:val="0"/>
        <w:spacing w:after="0" w:line="580" w:lineRule="exact"/>
        <w:rPr>
          <w:rFonts w:ascii="楷体_GB2312" w:eastAsia="楷体_GB2312" w:cs="DengXian-Bold"/>
          <w:b/>
          <w:bCs/>
          <w:sz w:val="32"/>
          <w:szCs w:val="32"/>
        </w:rPr>
      </w:pPr>
      <w:r>
        <w:pict>
          <v:shape id="_x0000_s1042" o:spid="_x0000_s1042" o:spt="75" type="#_x0000_t75" style="position:absolute;left:0pt;margin-left:26.2pt;margin-top:3.65pt;height:262.5pt;width:367.5pt;mso-wrap-distance-bottom:0pt;mso-wrap-distance-left:9pt;mso-wrap-distance-right:9pt;mso-wrap-distance-top:0pt;z-index:1024;mso-width-relative:page;mso-height-relative:page;" filled="f" o:preferrelative="t" stroked="f" coordsize="21600,21600">
            <v:path/>
            <v:fill on="f" focussize="0,0"/>
            <v:stroke on="f" joinstyle="miter"/>
            <v:imagedata r:id="rId11" o:title=""/>
            <o:lock v:ext="edit" aspectratio="f"/>
            <w10:wrap type="square"/>
          </v:shape>
        </w:pic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年度一般公共预算财政拨款基本支出70.41万元，其中：人员经费 44.21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26.2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“三公”经费支出共计4.52万元，较年初预算减少0.03万元，减少0.6%，主要是认真贯彻落实中央八项规定精神和厉行节约要求，从严控制“三公”经费开支，全年实际支出比预算有所节约。具体情况如下：</w:t>
      </w:r>
    </w:p>
    <w:p>
      <w:pPr>
        <w:adjustRightInd w:val="0"/>
        <w:snapToGrid w:val="0"/>
        <w:spacing w:after="0" w:line="580" w:lineRule="exact"/>
        <w:ind w:firstLine="630" w:firstLineChars="196"/>
        <w:rPr>
          <w:rFonts w:ascii="仿宋_GB2312" w:eastAsia="仿宋_GB2312" w:cs="DengXian-Regular"/>
          <w:sz w:val="32"/>
          <w:szCs w:val="32"/>
        </w:rPr>
      </w:pPr>
      <w:r>
        <w:rPr>
          <w:rFonts w:hint="eastAsia" w:ascii="楷体_GB2312" w:eastAsia="楷体_GB2312" w:cs="DengXian-Bold"/>
          <w:b/>
          <w:bCs/>
          <w:sz w:val="32"/>
          <w:szCs w:val="32"/>
        </w:rPr>
        <w:t>（一）因公出国（境）费支出1.55万元。</w:t>
      </w:r>
      <w:r>
        <w:rPr>
          <w:rFonts w:hint="eastAsia" w:ascii="仿宋_GB2312" w:eastAsia="仿宋_GB2312" w:cs="DengXian-Regular"/>
          <w:sz w:val="32"/>
          <w:szCs w:val="32"/>
        </w:rPr>
        <w:t>本部门2018年度因公出（国）境团组1个、共1人。因公出国（境）费1.55万元，因公出国（境）费支出较年初预算无增减变化。</w:t>
      </w:r>
    </w:p>
    <w:p>
      <w:pPr>
        <w:ind w:firstLine="64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（二）公务用车购置及运行维护费支出2.97万元。</w:t>
      </w:r>
      <w:r>
        <w:rPr>
          <w:rFonts w:hint="eastAsia" w:ascii="仿宋_GB2312" w:eastAsia="仿宋_GB2312" w:cs="DengXian-Regular"/>
          <w:sz w:val="32"/>
          <w:szCs w:val="32"/>
        </w:rPr>
        <w:t>本部门2018年度公务用车购置及运行维护费较年初预算减少0.03万元，减少1%,主要是认真贯彻落实中央八项规定精神和厉行节约要求，从严控制“三公”经费开支，全年实际支出比预算有所节约。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本部门2018年度公务用车购置量0辆，发生“公务用车购置”经费支出0万元。公务用车购置费支出较年初预算无增减变化，本部门2018年度未发生“公务用车购置”经费支出.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本部门2018年度单位公务用车保有量1辆。公车运行维护费2.97万元，支出较年初预算减少0.03万元，降低1%,主要是认真贯彻落实中央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本部门2018年度公务接待共0批次、0人次。公务接待费支出较年初预算无增减变化。</w:t>
      </w:r>
    </w:p>
    <w:p>
      <w:pPr>
        <w:adjustRightInd w:val="0"/>
        <w:snapToGrid w:val="0"/>
        <w:spacing w:after="0" w:line="580" w:lineRule="exact"/>
        <w:rPr>
          <w:rFonts w:ascii="仿宋_GB2312" w:eastAsia="仿宋_GB2312" w:cs="DengXian-Regular"/>
          <w:sz w:val="32"/>
          <w:szCs w:val="32"/>
        </w:rPr>
      </w:pP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老区村建设、产业化扶持资金两个项目，涉及资金162万元。从评价情况看，评价结果为优秀的项目有2个，良好的项目有0个，一般的项目有0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老区村建设项目绩效自评：根据年初设定的绩效目标，老区村建设项目绩效自评结果为优秀。项目全年预算数为79万元，执行数为79万元，完成预算的100%。主要产出和效果是新修村内道路，方便村民出行，改善村容村貌。未发现其他问题.</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本部门2018年度机关运行经费支出26.2万元，比年初预算数增加15.94万元，增长155.36%。主要原因是新增改厕资金。</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本部门2018年度政府采购支出总额1721.55万元，从采购类型来看，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428.97</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0万</w:t>
      </w:r>
      <w:r>
        <w:rPr>
          <w:rFonts w:ascii="仿宋_GB2312" w:hAnsi="仿宋_GB2312" w:eastAsia="仿宋_GB2312" w:cs="仿宋_GB2312"/>
          <w:color w:val="000000"/>
          <w:kern w:val="0"/>
          <w:sz w:val="32"/>
          <w:szCs w:val="32"/>
        </w:rPr>
        <w:t xml:space="preserve">元、政府采购服务支出 </w:t>
      </w:r>
      <w:r>
        <w:rPr>
          <w:rFonts w:hint="eastAsia" w:ascii="仿宋_GB2312" w:hAnsi="仿宋_GB2312" w:eastAsia="仿宋_GB2312" w:cs="仿宋_GB2312"/>
          <w:color w:val="000000"/>
          <w:kern w:val="0"/>
          <w:sz w:val="32"/>
          <w:szCs w:val="32"/>
        </w:rPr>
        <w:t>1292.58</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与上年决算无变化。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万元以上通用设备0台（套），与上年决算无变化。单位价值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万元以上专用设备0台（套），与上年决算无变化。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1、本部门2018年度国有资本经营无收支及结转结余情况，故公开09表以空表列示。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420" w:firstLineChars="200"/>
        <w:jc w:val="left"/>
        <w:sectPr>
          <w:pgSz w:w="11906" w:h="16838"/>
          <w:pgMar w:top="2098" w:right="1474" w:bottom="1984" w:left="1588" w:header="851" w:footer="992" w:gutter="0"/>
          <w:cols w:space="720" w:num="1"/>
          <w:docGrid w:type="lines" w:linePitch="312" w:charSpace="0"/>
        </w:sectPr>
      </w:pPr>
    </w:p>
    <w:p>
      <w:pPr>
        <w:sectPr>
          <w:pgSz w:w="11906" w:h="16838"/>
          <w:pgMar w:top="2098" w:right="1474" w:bottom="1984" w:left="1588" w:header="851" w:footer="992" w:gutter="0"/>
          <w:cols w:space="720" w:num="1"/>
          <w:docGrid w:type="lines" w:linePitch="312" w:charSpace="0"/>
        </w:sectPr>
      </w:pPr>
      <w:r>
        <w:rPr>
          <w:rFonts w:ascii="宋体" w:hAnsi="宋体" w:cs="ArialUnicodeMS"/>
          <w:color w:val="000000"/>
          <w:kern w:val="0"/>
        </w:rPr>
        <w:pict>
          <v:shape id="图片 21" o:spid="_x0000_s1031" o:spt="75" type="#_x0000_t75" style="position:absolute;left:0pt;margin-left:-79.25pt;margin-top:-105.15pt;height:840.95pt;width:594.5pt;z-index:-1024;mso-width-relative:page;mso-height-relative:page;" filled="f" o:preferrelative="t" stroked="f" coordsize="21600,21600">
            <v:path/>
            <v:fill on="f" focussize="0,0"/>
            <v:stroke on="f" joinstyle="miter"/>
            <v:imagedata r:id="rId5" o:title=""/>
            <o:lock v:ext="edit" aspectratio="t"/>
          </v:shape>
        </w:pict>
      </w:r>
      <w:r>
        <w:rPr>
          <w:sz w:val="72"/>
        </w:rPr>
        <w:pict>
          <v:rect id="文本框 22" o:spid="_x0000_s1043" o:spt="1" style="position:absolute;left:0pt;margin-left:-78.5pt;margin-top:232.8pt;height:159.1pt;width:596.2pt;z-index:1024;mso-width-relative:page;mso-height-relative:page;" filled="f" o:preferrelative="t" stroked="f" coordsize="21600,21600">
            <v:path/>
            <v:fill on="f" focussize="0,0"/>
            <v:stroke on="f"/>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rect>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sectPr>
          <w:pgSz w:w="11906" w:h="16838"/>
          <w:pgMar w:top="2098" w:right="1474" w:bottom="1985" w:left="1588" w:header="851" w:footer="992" w:gutter="0"/>
          <w:cols w:space="720" w:num="1"/>
          <w:docGrid w:type="lines" w:linePitch="312" w:charSpace="0"/>
        </w:sectPr>
      </w:pPr>
      <w:r>
        <w:rPr>
          <w:rFonts w:hint="eastAsia" w:ascii="仿宋_GB2312" w:hAnsi="宋体" w:eastAsia="仿宋_GB2312"/>
          <w:b/>
          <w:bCs/>
          <w:color w:val="000000"/>
          <w:kern w:val="0"/>
          <w:sz w:val="32"/>
          <w:szCs w:val="32"/>
        </w:rPr>
        <w:t>（十七）经费形式:</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hAnsi="Cambria" w:eastAsia="仿宋_GB2312" w:cs="ArialUnicodeMS"/>
          <w:kern w:val="0"/>
          <w:sz w:val="32"/>
          <w:szCs w:val="32"/>
        </w:rPr>
      </w:pPr>
      <w:r>
        <w:rPr>
          <w:rFonts w:ascii="仿宋_GB2312" w:hAnsi="Cambria" w:eastAsia="仿宋_GB2312" w:cs="ArialUnicodeMS"/>
          <w:kern w:val="0"/>
          <w:sz w:val="32"/>
          <w:szCs w:val="32"/>
        </w:rPr>
        <w:pict>
          <v:shape id="图片 101" o:spid="_x0000_s1032" o:spt="75" type="#_x0000_t75" style="position:absolute;left:0pt;margin-left:-77.8pt;margin-top:-106.5pt;height:845.35pt;width:597.65pt;z-index:-1024;mso-width-relative:page;mso-height-relative:page;" filled="f" o:preferrelative="t" stroked="f" coordsize="21600,21600">
            <v:path/>
            <v:fill on="f" focussize="0,0"/>
            <v:stroke on="f" joinstyle="miter"/>
            <v:imagedata r:id="rId12" o:title=""/>
            <o:lock v:ext="edit" aspectratio="t"/>
          </v:shape>
        </w:pic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华文楷体">
    <w:altName w:val="楷体_GB2312"/>
    <w:panose1 w:val="02010600040101010101"/>
    <w:charset w:val="86"/>
    <w:family w:val="auto"/>
    <w:pitch w:val="default"/>
    <w:sig w:usb0="00000000" w:usb1="00000000" w:usb2="00000010" w:usb3="00000000" w:csb0="0004009F"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81136"/>
    <w:rsid w:val="00020283"/>
    <w:rsid w:val="0008047B"/>
    <w:rsid w:val="00281136"/>
    <w:rsid w:val="003C70AE"/>
    <w:rsid w:val="00525A03"/>
    <w:rsid w:val="00B63BD6"/>
    <w:rsid w:val="00C3784F"/>
    <w:rsid w:val="05CF5061"/>
    <w:rsid w:val="480A7745"/>
    <w:rsid w:val="6AEF6908"/>
    <w:rsid w:val="7D130BB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b/>
      <w:bCs/>
      <w:kern w:val="0"/>
      <w:sz w:val="32"/>
      <w:szCs w:val="32"/>
    </w:rPr>
  </w:style>
  <w:style w:type="paragraph" w:styleId="4">
    <w:name w:val="heading 3"/>
    <w:basedOn w:val="1"/>
    <w:next w:val="1"/>
    <w:link w:val="14"/>
    <w:qFormat/>
    <w:uiPriority w:val="0"/>
    <w:pPr>
      <w:keepNext/>
      <w:keepLines/>
      <w:spacing w:before="260" w:after="260" w:line="416" w:lineRule="auto"/>
      <w:outlineLvl w:val="2"/>
    </w:pPr>
    <w:rPr>
      <w:b/>
      <w:bCs/>
      <w:kern w:val="0"/>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b/>
      <w:bCs/>
      <w:kern w:val="0"/>
      <w:sz w:val="28"/>
      <w:szCs w:val="28"/>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20"/>
    <w:qFormat/>
    <w:uiPriority w:val="0"/>
    <w:pPr>
      <w:tabs>
        <w:tab w:val="center" w:pos="4153"/>
        <w:tab w:val="right" w:pos="8306"/>
      </w:tabs>
      <w:snapToGrid w:val="0"/>
      <w:jc w:val="left"/>
    </w:pPr>
    <w:rPr>
      <w:kern w:val="0"/>
      <w:sz w:val="18"/>
      <w:szCs w:val="18"/>
    </w:rPr>
  </w:style>
  <w:style w:type="paragraph" w:styleId="7">
    <w:name w:val="header"/>
    <w:basedOn w:val="1"/>
    <w:link w:val="21"/>
    <w:qFormat/>
    <w:uiPriority w:val="0"/>
    <w:pPr>
      <w:pBdr>
        <w:bottom w:val="single" w:color="auto" w:sz="6" w:space="1"/>
      </w:pBdr>
      <w:tabs>
        <w:tab w:val="center" w:pos="4153"/>
        <w:tab w:val="right" w:pos="8306"/>
      </w:tabs>
      <w:snapToGrid w:val="0"/>
      <w:jc w:val="center"/>
    </w:pPr>
    <w:rPr>
      <w:kern w:val="0"/>
      <w:sz w:val="18"/>
      <w:szCs w:val="18"/>
    </w:rPr>
  </w:style>
  <w:style w:type="paragraph" w:styleId="8">
    <w:name w:val="Subtitle"/>
    <w:basedOn w:val="1"/>
    <w:next w:val="1"/>
    <w:link w:val="22"/>
    <w:qFormat/>
    <w:uiPriority w:val="0"/>
    <w:pPr>
      <w:widowControl/>
      <w:spacing w:after="200" w:line="276" w:lineRule="auto"/>
      <w:jc w:val="left"/>
    </w:pPr>
    <w:rPr>
      <w:rFonts w:ascii="Calibri" w:hAnsi="Calibri"/>
      <w:i/>
      <w:iCs/>
      <w:color w:val="F0A22E"/>
      <w:spacing w:val="15"/>
      <w:kern w:val="0"/>
      <w:sz w:val="24"/>
    </w:rPr>
  </w:style>
  <w:style w:type="paragraph" w:styleId="9">
    <w:name w:val="Title"/>
    <w:basedOn w:val="1"/>
    <w:next w:val="1"/>
    <w:link w:val="23"/>
    <w:qFormat/>
    <w:uiPriority w:val="0"/>
    <w:pPr>
      <w:widowControl/>
      <w:pBdr>
        <w:bottom w:val="single" w:color="F0A22E" w:sz="8" w:space="4"/>
      </w:pBdr>
      <w:spacing w:after="300"/>
      <w:contextualSpacing/>
      <w:jc w:val="left"/>
    </w:pPr>
    <w:rPr>
      <w:rFonts w:ascii="Calibri" w:hAnsi="Calibri"/>
      <w:color w:val="392B23"/>
      <w:spacing w:val="5"/>
      <w:kern w:val="28"/>
      <w:sz w:val="52"/>
      <w:szCs w:val="52"/>
    </w:rPr>
  </w:style>
  <w:style w:type="character" w:customStyle="1" w:styleId="12">
    <w:name w:val="标题 1 Char"/>
    <w:link w:val="2"/>
    <w:semiHidden/>
    <w:qFormat/>
    <w:uiPriority w:val="0"/>
    <w:rPr>
      <w:rFonts w:ascii="Times New Roman" w:hAnsi="Times New Roman" w:eastAsia="宋体" w:cs="Times New Roman"/>
      <w:b/>
      <w:bCs/>
      <w:kern w:val="44"/>
      <w:sz w:val="44"/>
      <w:szCs w:val="44"/>
    </w:rPr>
  </w:style>
  <w:style w:type="character" w:customStyle="1" w:styleId="13">
    <w:name w:val="标题 2 Char"/>
    <w:link w:val="3"/>
    <w:semiHidden/>
    <w:qFormat/>
    <w:uiPriority w:val="0"/>
    <w:rPr>
      <w:rFonts w:ascii="Calibri" w:hAnsi="Calibri" w:eastAsia="宋体" w:cs="黑体"/>
      <w:b/>
      <w:bCs/>
      <w:sz w:val="32"/>
      <w:szCs w:val="32"/>
    </w:rPr>
  </w:style>
  <w:style w:type="character" w:customStyle="1" w:styleId="14">
    <w:name w:val="标题 3 Char"/>
    <w:link w:val="4"/>
    <w:semiHidden/>
    <w:qFormat/>
    <w:uiPriority w:val="0"/>
    <w:rPr>
      <w:rFonts w:ascii="Times New Roman" w:hAnsi="Times New Roman" w:eastAsia="宋体" w:cs="Times New Roman"/>
      <w:b/>
      <w:bCs/>
      <w:sz w:val="32"/>
      <w:szCs w:val="32"/>
    </w:rPr>
  </w:style>
  <w:style w:type="character" w:customStyle="1" w:styleId="15">
    <w:name w:val="标题 4 Char"/>
    <w:link w:val="5"/>
    <w:semiHidden/>
    <w:qFormat/>
    <w:uiPriority w:val="0"/>
    <w:rPr>
      <w:rFonts w:ascii="Calibri" w:hAnsi="Calibri" w:eastAsia="宋体" w:cs="黑体"/>
      <w:b/>
      <w:bCs/>
      <w:sz w:val="28"/>
      <w:szCs w:val="28"/>
    </w:rPr>
  </w:style>
  <w:style w:type="character" w:customStyle="1" w:styleId="16">
    <w:name w:val="日期 Char"/>
    <w:link w:val="17"/>
    <w:semiHidden/>
    <w:qFormat/>
    <w:uiPriority w:val="0"/>
    <w:rPr>
      <w:rFonts w:ascii="Times New Roman" w:hAnsi="Times New Roman" w:eastAsia="宋体" w:cs="Times New Roman"/>
      <w:szCs w:val="24"/>
    </w:rPr>
  </w:style>
  <w:style w:type="paragraph" w:customStyle="1" w:styleId="17">
    <w:name w:val="日期1"/>
    <w:basedOn w:val="1"/>
    <w:next w:val="1"/>
    <w:link w:val="16"/>
    <w:qFormat/>
    <w:uiPriority w:val="0"/>
    <w:pPr>
      <w:ind w:left="100" w:leftChars="2500"/>
    </w:pPr>
    <w:rPr>
      <w:kern w:val="0"/>
      <w:sz w:val="20"/>
    </w:rPr>
  </w:style>
  <w:style w:type="character" w:customStyle="1" w:styleId="18">
    <w:name w:val="批注框文本 Char"/>
    <w:link w:val="19"/>
    <w:semiHidden/>
    <w:qFormat/>
    <w:uiPriority w:val="0"/>
    <w:rPr>
      <w:rFonts w:ascii="Times New Roman" w:hAnsi="Times New Roman" w:eastAsia="宋体" w:cs="Times New Roman"/>
      <w:sz w:val="18"/>
      <w:szCs w:val="18"/>
    </w:rPr>
  </w:style>
  <w:style w:type="paragraph" w:customStyle="1" w:styleId="19">
    <w:name w:val="批注框文本1"/>
    <w:basedOn w:val="1"/>
    <w:link w:val="18"/>
    <w:qFormat/>
    <w:uiPriority w:val="0"/>
    <w:rPr>
      <w:kern w:val="0"/>
      <w:sz w:val="18"/>
      <w:szCs w:val="18"/>
    </w:rPr>
  </w:style>
  <w:style w:type="character" w:customStyle="1" w:styleId="20">
    <w:name w:val="页脚 Char"/>
    <w:link w:val="6"/>
    <w:semiHidden/>
    <w:qFormat/>
    <w:uiPriority w:val="0"/>
    <w:rPr>
      <w:sz w:val="18"/>
      <w:szCs w:val="18"/>
    </w:rPr>
  </w:style>
  <w:style w:type="character" w:customStyle="1" w:styleId="21">
    <w:name w:val="页眉 Char"/>
    <w:link w:val="7"/>
    <w:semiHidden/>
    <w:qFormat/>
    <w:uiPriority w:val="0"/>
    <w:rPr>
      <w:sz w:val="18"/>
      <w:szCs w:val="18"/>
    </w:rPr>
  </w:style>
  <w:style w:type="character" w:customStyle="1" w:styleId="22">
    <w:name w:val="副标题 Char"/>
    <w:link w:val="8"/>
    <w:semiHidden/>
    <w:qFormat/>
    <w:uiPriority w:val="0"/>
    <w:rPr>
      <w:rFonts w:ascii="Calibri" w:hAnsi="Calibri" w:eastAsia="宋体" w:cs="黑体"/>
      <w:i/>
      <w:iCs/>
      <w:color w:val="F0A22E"/>
      <w:spacing w:val="15"/>
      <w:kern w:val="0"/>
      <w:sz w:val="24"/>
      <w:szCs w:val="24"/>
    </w:rPr>
  </w:style>
  <w:style w:type="character" w:customStyle="1" w:styleId="23">
    <w:name w:val="标题 Char"/>
    <w:link w:val="9"/>
    <w:semiHidden/>
    <w:qFormat/>
    <w:uiPriority w:val="0"/>
    <w:rPr>
      <w:rFonts w:ascii="Calibri" w:hAnsi="Calibri" w:eastAsia="宋体" w:cs="黑体"/>
      <w:color w:val="392B23"/>
      <w:spacing w:val="5"/>
      <w:kern w:val="28"/>
      <w:sz w:val="52"/>
      <w:szCs w:val="52"/>
    </w:rPr>
  </w:style>
  <w:style w:type="paragraph" w:customStyle="1" w:styleId="24">
    <w:name w:val="无间隔1"/>
    <w:link w:val="26"/>
    <w:qFormat/>
    <w:uiPriority w:val="0"/>
    <w:pPr>
      <w:spacing w:after="160" w:line="480" w:lineRule="auto"/>
    </w:pPr>
    <w:rPr>
      <w:rFonts w:ascii="Times New Roman" w:hAnsi="Times New Roman" w:eastAsia="宋体" w:cs="Times New Roman"/>
      <w:sz w:val="22"/>
      <w:lang w:val="en-US" w:eastAsia="zh-CN" w:bidi="ar-SA"/>
    </w:rPr>
  </w:style>
  <w:style w:type="paragraph" w:customStyle="1" w:styleId="25">
    <w:name w:val="列出段落1"/>
    <w:basedOn w:val="1"/>
    <w:qFormat/>
    <w:uiPriority w:val="0"/>
    <w:pPr>
      <w:ind w:firstLine="420" w:firstLineChars="200"/>
    </w:pPr>
  </w:style>
  <w:style w:type="character" w:customStyle="1" w:styleId="26">
    <w:name w:val="无间隔 Char"/>
    <w:link w:val="24"/>
    <w:qFormat/>
    <w:uiPriority w:val="0"/>
    <w:rPr>
      <w:sz w:val="22"/>
      <w:lang w:val="en-US" w:eastAsia="zh-CN" w:bidi="ar-SA"/>
    </w:rPr>
  </w:style>
  <w:style w:type="character" w:customStyle="1" w:styleId="27">
    <w:name w:val="Style1"/>
    <w:qFormat/>
    <w:uiPriority w:val="0"/>
    <w:rPr>
      <w:rFonts w:ascii="Cambria" w:hAnsi="黑体" w:eastAsia="黑体" w:cs="黑体"/>
      <w:sz w:val="22"/>
      <w:szCs w:val="22"/>
      <w:lang w:eastAsia="zh-CN"/>
    </w:rPr>
  </w:style>
  <w:style w:type="character" w:customStyle="1" w:styleId="28">
    <w:name w:val="Style2"/>
    <w:qFormat/>
    <w:uiPriority w:val="0"/>
    <w:rPr>
      <w:rFonts w:ascii="Cambria" w:hAnsi="黑体" w:eastAsia="黑体" w:cs="黑体"/>
      <w:sz w:val="22"/>
      <w:szCs w:val="22"/>
      <w:lang w:eastAsia="zh-CN"/>
    </w:rPr>
  </w:style>
  <w:style w:type="character" w:customStyle="1" w:styleId="29">
    <w:name w:val="Style3"/>
    <w:qFormat/>
    <w:uiPriority w:val="0"/>
    <w:rPr>
      <w:rFonts w:ascii="Cambria" w:hAnsi="黑体" w:eastAsia="黑体" w:cs="黑体"/>
      <w:szCs w:val="22"/>
      <w:lang w:eastAsia="zh-CN"/>
    </w:rPr>
  </w:style>
  <w:style w:type="character" w:customStyle="1" w:styleId="30">
    <w:name w:val="Style4"/>
    <w:qFormat/>
    <w:uiPriority w:val="0"/>
    <w:rPr>
      <w:rFonts w:ascii="Cambria" w:hAnsi="黑体" w:eastAsia="黑体" w:cs="黑体"/>
      <w:szCs w:val="22"/>
      <w:lang w:eastAsia="zh-CN"/>
    </w:rPr>
  </w:style>
  <w:style w:type="character" w:customStyle="1" w:styleId="31">
    <w:name w:val="Style5"/>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9.jpe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45"/>
    <customShpInfo spid="_x0000_s1033"/>
    <customShpInfo spid="_x0000_s1026"/>
    <customShpInfo spid="_x0000_s1034"/>
    <customShpInfo spid="_x0000_s1027"/>
    <customShpInfo spid="_x0000_s1035"/>
    <customShpInfo spid="_x0000_s1028"/>
    <customShpInfo spid="_x0000_s1036"/>
    <customShpInfo spid="_x0000_s1037"/>
    <customShpInfo spid="_x0000_s1038"/>
    <customShpInfo spid="_x0000_s1039"/>
    <customShpInfo spid="_x0000_s1029"/>
    <customShpInfo spid="_x0000_s1040"/>
    <customShpInfo spid="_x0000_s1041"/>
    <customShpInfo spid="_x0000_s1030"/>
    <customShpInfo spid="_x0000_s1042"/>
    <customShpInfo spid="_x0000_s1031"/>
    <customShpInfo spid="_x0000_s1043"/>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32</Pages>
  <Words>1709</Words>
  <Characters>9743</Characters>
  <Lines>81</Lines>
  <Paragraphs>22</Paragraphs>
  <TotalTime>6</TotalTime>
  <ScaleCrop>false</ScaleCrop>
  <LinksUpToDate>false</LinksUpToDate>
  <CharactersWithSpaces>11430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2019-08-30T00:40:00Z</dcterms:created>
  <dc:creator>User</dc:creator>
  <cp:lastModifiedBy>Administrator</cp:lastModifiedBy>
  <cp:lastPrinted>2021-05-21T14:41:00Z</cp:lastPrinted>
  <dcterms:modified xsi:type="dcterms:W3CDTF">2024-01-03T01:54:11Z</dcterms:modified>
  <dc:subject>石家庄市xxx部门</dc:subject>
  <dc:title>Administrator</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