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文本框 8"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jJdLMk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jJdLMk4CAACB&#10;BAAADgAAAAAAAAABACAAAAAqAQAAZHJzL2Uyb0RvYy54bWxQSwUGAAAAAAYABgBZAQAA6g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无极县民政局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ascii="仿宋" w:hAnsi="仿宋" w:eastAsia="仿宋"/>
          <w:sz w:val="32"/>
          <w:szCs w:val="32"/>
        </w:rPr>
      </w:pPr>
      <w:r>
        <w:rPr>
          <w:rFonts w:ascii="仿宋" w:hAnsi="仿宋" w:eastAsia="仿宋"/>
          <w:sz w:val="32"/>
          <w:szCs w:val="32"/>
        </w:rPr>
        <w:t>一、部门</w:t>
      </w:r>
      <w:r>
        <w:rPr>
          <w:rFonts w:hint="eastAsia" w:ascii="仿宋" w:hAnsi="仿宋" w:eastAsia="仿宋"/>
          <w:sz w:val="32"/>
          <w:szCs w:val="32"/>
        </w:rPr>
        <w:t>职责</w:t>
      </w:r>
    </w:p>
    <w:p>
      <w:pPr>
        <w:widowControl/>
        <w:spacing w:line="580" w:lineRule="exact"/>
        <w:ind w:firstLine="1273" w:firstLineChars="398"/>
        <w:rPr>
          <w:rFonts w:ascii="仿宋" w:hAnsi="仿宋" w:eastAsia="仿宋"/>
          <w:sz w:val="32"/>
          <w:szCs w:val="32"/>
        </w:rPr>
      </w:pPr>
      <w:r>
        <w:rPr>
          <w:rFonts w:ascii="仿宋" w:hAnsi="仿宋" w:eastAsia="仿宋"/>
          <w:sz w:val="32"/>
          <w:szCs w:val="32"/>
        </w:rPr>
        <w:t>二、</w:t>
      </w:r>
      <w:r>
        <w:rPr>
          <w:rFonts w:hint="eastAsia" w:ascii="仿宋" w:hAnsi="仿宋" w:eastAsia="仿宋"/>
          <w:sz w:val="32"/>
          <w:szCs w:val="32"/>
        </w:rPr>
        <w:t>机构设置</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无极县民政局</w:t>
      </w:r>
      <w:r>
        <w:rPr>
          <w:rFonts w:eastAsia="黑体"/>
          <w:sz w:val="32"/>
          <w:szCs w:val="32"/>
        </w:rPr>
        <w:t>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一、收入支出决算总表</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二、收入决算表</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三、支出决算表</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四、财政拨款收入支出决算总表</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五、一般公共预算财政拨款支出决算表</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六、一般公共预算财政拨款基本支出决算表</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七、</w:t>
      </w:r>
      <w:r>
        <w:rPr>
          <w:rFonts w:hint="eastAsia" w:ascii="仿宋" w:hAnsi="仿宋" w:eastAsia="仿宋"/>
          <w:sz w:val="32"/>
          <w:szCs w:val="32"/>
        </w:rPr>
        <w:t>一般公共预算财政拨款</w:t>
      </w:r>
      <w:r>
        <w:rPr>
          <w:rFonts w:ascii="仿宋" w:hAnsi="仿宋" w:eastAsia="仿宋"/>
          <w:sz w:val="32"/>
          <w:szCs w:val="32"/>
        </w:rPr>
        <w:t>“三公”经费</w:t>
      </w:r>
      <w:r>
        <w:rPr>
          <w:rFonts w:hint="eastAsia" w:ascii="仿宋" w:hAnsi="仿宋" w:eastAsia="仿宋"/>
          <w:sz w:val="32"/>
          <w:szCs w:val="32"/>
        </w:rPr>
        <w:t>支出决算表</w:t>
      </w:r>
    </w:p>
    <w:p>
      <w:pPr>
        <w:widowControl/>
        <w:spacing w:line="580" w:lineRule="exact"/>
        <w:ind w:left="640" w:firstLine="640" w:firstLineChars="200"/>
        <w:rPr>
          <w:rFonts w:ascii="仿宋" w:hAnsi="仿宋" w:eastAsia="仿宋"/>
          <w:sz w:val="32"/>
          <w:szCs w:val="32"/>
        </w:rPr>
      </w:pPr>
      <w:r>
        <w:rPr>
          <w:rFonts w:hint="eastAsia" w:ascii="仿宋" w:hAnsi="仿宋" w:eastAsia="仿宋"/>
          <w:sz w:val="32"/>
          <w:szCs w:val="32"/>
        </w:rPr>
        <w:t>八、</w:t>
      </w:r>
      <w:r>
        <w:rPr>
          <w:rFonts w:ascii="仿宋" w:hAnsi="仿宋" w:eastAsia="仿宋"/>
          <w:sz w:val="32"/>
          <w:szCs w:val="32"/>
        </w:rPr>
        <w:t>政府性基金预算财政拨款收入支出决算表</w:t>
      </w:r>
    </w:p>
    <w:p>
      <w:pPr>
        <w:widowControl/>
        <w:spacing w:line="580" w:lineRule="exact"/>
        <w:ind w:left="640" w:firstLine="640" w:firstLineChars="200"/>
        <w:rPr>
          <w:rFonts w:ascii="仿宋" w:hAnsi="仿宋" w:eastAsia="仿宋"/>
          <w:sz w:val="32"/>
          <w:szCs w:val="32"/>
        </w:rPr>
      </w:pPr>
      <w:r>
        <w:rPr>
          <w:rFonts w:hint="eastAsia" w:ascii="仿宋" w:hAnsi="仿宋" w:eastAsia="仿宋"/>
          <w:sz w:val="32"/>
          <w:szCs w:val="32"/>
        </w:rPr>
        <w:t>九</w:t>
      </w:r>
      <w:r>
        <w:rPr>
          <w:rFonts w:ascii="仿宋" w:hAnsi="仿宋" w:eastAsia="仿宋"/>
          <w:sz w:val="32"/>
          <w:szCs w:val="32"/>
        </w:rPr>
        <w:t>、国有资本经营预算</w:t>
      </w:r>
      <w:r>
        <w:rPr>
          <w:rFonts w:hint="eastAsia" w:ascii="仿宋" w:hAnsi="仿宋" w:eastAsia="仿宋"/>
          <w:sz w:val="32"/>
          <w:szCs w:val="32"/>
        </w:rPr>
        <w:t>财政拨款</w:t>
      </w:r>
      <w:r>
        <w:rPr>
          <w:rFonts w:ascii="仿宋" w:hAnsi="仿宋" w:eastAsia="仿宋"/>
          <w:sz w:val="32"/>
          <w:szCs w:val="32"/>
        </w:rPr>
        <w:t>支出决算表</w:t>
      </w:r>
    </w:p>
    <w:p>
      <w:pPr>
        <w:widowControl/>
        <w:spacing w:line="580" w:lineRule="exact"/>
        <w:ind w:left="640" w:firstLine="640" w:firstLineChars="200"/>
        <w:rPr>
          <w:rFonts w:ascii="仿宋" w:hAnsi="仿宋" w:eastAsia="仿宋"/>
          <w:sz w:val="32"/>
          <w:szCs w:val="32"/>
        </w:rPr>
      </w:pPr>
      <w:r>
        <w:rPr>
          <w:rFonts w:hint="eastAsia" w:ascii="仿宋" w:hAnsi="仿宋" w:eastAsia="仿宋"/>
          <w:sz w:val="32"/>
          <w:szCs w:val="32"/>
        </w:rPr>
        <w:t>十</w:t>
      </w:r>
      <w:r>
        <w:rPr>
          <w:rFonts w:ascii="仿宋" w:hAnsi="仿宋" w:eastAsia="仿宋"/>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无极县民政局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一、收入支出决算总体情况说明</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二、收入决算情况说明</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三、支出决算情况说明</w:t>
      </w:r>
    </w:p>
    <w:p>
      <w:pPr>
        <w:widowControl/>
        <w:spacing w:line="580" w:lineRule="exact"/>
        <w:ind w:left="640" w:firstLine="640" w:firstLineChars="200"/>
        <w:rPr>
          <w:rFonts w:ascii="仿宋" w:hAnsi="仿宋" w:eastAsia="仿宋"/>
          <w:sz w:val="32"/>
          <w:szCs w:val="32"/>
        </w:rPr>
      </w:pPr>
      <w:r>
        <w:rPr>
          <w:rFonts w:ascii="仿宋" w:hAnsi="仿宋" w:eastAsia="仿宋"/>
          <w:sz w:val="32"/>
          <w:szCs w:val="32"/>
        </w:rPr>
        <w:t>四、财政拨款收入支出决算情况说明</w:t>
      </w:r>
    </w:p>
    <w:p>
      <w:pPr>
        <w:widowControl/>
        <w:spacing w:line="580" w:lineRule="exact"/>
        <w:ind w:left="640" w:firstLine="640" w:firstLineChars="200"/>
        <w:rPr>
          <w:rFonts w:ascii="仿宋" w:hAnsi="仿宋" w:eastAsia="仿宋"/>
          <w:sz w:val="32"/>
          <w:szCs w:val="32"/>
        </w:rPr>
      </w:pPr>
      <w:r>
        <w:rPr>
          <w:rFonts w:hint="eastAsia" w:ascii="仿宋" w:hAnsi="仿宋" w:eastAsia="仿宋"/>
          <w:sz w:val="32"/>
          <w:szCs w:val="32"/>
        </w:rPr>
        <w:t>五、一般公共预算财政拨款</w:t>
      </w:r>
      <w:r>
        <w:rPr>
          <w:rFonts w:ascii="仿宋" w:hAnsi="仿宋" w:eastAsia="仿宋"/>
          <w:sz w:val="32"/>
          <w:szCs w:val="32"/>
        </w:rPr>
        <w:t>“三公”经费支出决算情况说明</w:t>
      </w:r>
    </w:p>
    <w:p>
      <w:pPr>
        <w:widowControl/>
        <w:spacing w:line="580" w:lineRule="exact"/>
        <w:ind w:left="640" w:firstLine="640" w:firstLineChars="200"/>
        <w:rPr>
          <w:rFonts w:ascii="仿宋" w:hAnsi="仿宋" w:eastAsia="仿宋"/>
          <w:sz w:val="32"/>
          <w:szCs w:val="32"/>
        </w:rPr>
      </w:pPr>
      <w:r>
        <w:rPr>
          <w:rFonts w:hint="eastAsia" w:ascii="仿宋" w:hAnsi="仿宋" w:eastAsia="仿宋"/>
          <w:sz w:val="32"/>
          <w:szCs w:val="32"/>
        </w:rPr>
        <w:t>六</w:t>
      </w:r>
      <w:r>
        <w:rPr>
          <w:rFonts w:ascii="仿宋" w:hAnsi="仿宋" w:eastAsia="仿宋"/>
          <w:sz w:val="32"/>
          <w:szCs w:val="32"/>
        </w:rPr>
        <w:t>、预算绩效情况说明</w:t>
      </w:r>
    </w:p>
    <w:p>
      <w:pPr>
        <w:widowControl/>
        <w:spacing w:line="580" w:lineRule="exact"/>
        <w:ind w:left="640" w:firstLine="640" w:firstLineChars="200"/>
        <w:rPr>
          <w:rFonts w:ascii="仿宋" w:hAnsi="仿宋" w:eastAsia="仿宋"/>
          <w:sz w:val="32"/>
          <w:szCs w:val="32"/>
        </w:rPr>
      </w:pPr>
      <w:r>
        <w:rPr>
          <w:rFonts w:hint="eastAsia" w:ascii="仿宋" w:hAnsi="仿宋" w:eastAsia="仿宋"/>
          <w:sz w:val="32"/>
          <w:szCs w:val="32"/>
        </w:rPr>
        <w:t>七</w:t>
      </w:r>
      <w:r>
        <w:rPr>
          <w:rFonts w:ascii="仿宋" w:hAnsi="仿宋" w:eastAsia="仿宋"/>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030" o:spid="_x0000_s1030"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numPr>
          <w:ilvl w:val="0"/>
          <w:numId w:val="1"/>
        </w:numPr>
        <w:spacing w:before="0" w:after="0" w:line="600" w:lineRule="exact"/>
        <w:jc w:val="left"/>
        <w:rPr>
          <w:rFonts w:ascii="仿宋" w:hAnsi="仿宋" w:eastAsia="仿宋" w:cs="黑体"/>
          <w:b w:val="0"/>
          <w:bCs w:val="0"/>
          <w:kern w:val="0"/>
          <w:sz w:val="32"/>
          <w:szCs w:val="32"/>
        </w:rPr>
      </w:pPr>
      <w:r>
        <w:rPr>
          <w:rFonts w:hint="eastAsia" w:ascii="仿宋" w:hAnsi="仿宋" w:eastAsia="仿宋" w:cs="黑体"/>
          <w:b w:val="0"/>
          <w:bCs w:val="0"/>
          <w:kern w:val="0"/>
          <w:sz w:val="32"/>
          <w:szCs w:val="32"/>
        </w:rPr>
        <w:t>部门职责</w:t>
      </w:r>
    </w:p>
    <w:p>
      <w:pPr>
        <w:spacing w:after="0" w:line="240" w:lineRule="auto"/>
        <w:ind w:firstLine="320" w:firstLineChars="100"/>
        <w:rPr>
          <w:rFonts w:ascii="仿宋" w:hAnsi="仿宋" w:eastAsia="仿宋" w:cs="仿宋_GB2312"/>
          <w:sz w:val="32"/>
          <w:szCs w:val="32"/>
        </w:rPr>
      </w:pPr>
      <w:r>
        <w:rPr>
          <w:rFonts w:hint="eastAsia" w:ascii="仿宋" w:hAnsi="仿宋" w:eastAsia="仿宋" w:cs="仿宋_GB2312"/>
          <w:sz w:val="32"/>
          <w:szCs w:val="32"/>
        </w:rPr>
        <w:t>（一）贯彻执行国家和省、市民政事业发展法律法规、政策、规划；拟定民政事业发展规划并组织实施。</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（二）拟定社会团体、社会服务机构等社会组织监督管理办法并组织实施，依法对全县社会组织进行管理和监督检查，负责县社会组织党建日常工作。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（三）牵头负责全县社会救助有关政策和标准，统筹社会救助体系建设，负责城乡居民最低生活保障、特困人员救助供养、临时救助、生活无着流浪乞讨人员救助工作。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（四）拟定全县社区建设政策及基层群众自治管理办法；指导城乡社区治理体系和能力建设；提出加强和改进基层政权建设的建议，推动基层民主政治建设。</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（六）负责婚姻登记管理工作，推进婚俗改革，指导婚姻登记机关做好相关工作。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（七）贯彻落实殡葬管理政策法规，规范殡葬服务，推进殡葬改革，指导殡葬服务机构做好相关工作。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（八）统筹推进、督促指导、监督管理全县养老服务工作。负责全县养老服务体系建设规划、政策、标准并组织实施，承担老年人福利和特殊困难老年人救助工作。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（九）会同相关部门做好残疾人权益保护相关工作，统筹推进残疾人福利制度建设和康复辅助器具产业发展。</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（十）拟定全县儿童福利、儿童救助管理办法并组织实施，负责儿童收养登记管理工作，负责农村留守儿童关爱保护和困境儿童保障工作。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（十一）负责促进全县慈善事业发展，负责慈善信托、慈善组织活动管理办法，组织开展慈善救助工作，负责社会公益性慈善捐赠监管工作，指导慈善精准扶贫帮扶工作，负责福利彩票管理工作。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（十二）拟定全县社会工作发展规划、志愿服务规范和标准并组织实施，会同有关部门推进社会工作人才队伍和志愿者队伍建设。</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（十三）负责民政系统综合执法工作；指导乡镇做好民政执法工作。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（十四）贯彻落实党、国家以及省委、省政府、市委、市政府各项扶贫开发方针政策和法律法规，组织实施扶贫开发相关工作。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（十五）组织落实国家和省、市扶贫开发规划，拟订全县扶贫开发中长期规划和年度计划并组织实施。</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（十六）负责全县贫困识别和动态调整工作，负责全县贫困状况的统计和监测工作，组织实施贫困退出工作；负责扶贫开发工作成效考核评估工作；监督检查扶贫开发政策、责任、工作落实情况。</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（十七）配合有关部门拟定财政专项扶贫资金管理办法，开展绩效评价。提出财政专项扶贫资金分配意见建议；指导监督财政专项扶贫资金使用管理。</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（十八）协调社会各界参与扶贫开发工作，负责协调联系国家、省、市、县和有关单位对口帮扶工作；会同有关部门做好驻村帮扶工作；负责协调深度贫困村扶贫开发工作。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（十九）负责扶贫开发宣传报道和信息发布工作。</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（二十）承担县扶贫开发和脱贫工作领导小组办公室职责。</w:t>
      </w:r>
    </w:p>
    <w:p>
      <w:pPr>
        <w:ind w:firstLine="320" w:firstLineChars="100"/>
        <w:rPr>
          <w:rFonts w:ascii="仿宋" w:hAnsi="仿宋" w:eastAsia="仿宋" w:cs="仿宋_GB2312"/>
          <w:sz w:val="32"/>
          <w:szCs w:val="32"/>
        </w:rPr>
      </w:pPr>
      <w:r>
        <w:rPr>
          <w:rFonts w:hint="eastAsia" w:ascii="仿宋" w:hAnsi="仿宋" w:eastAsia="仿宋" w:cs="仿宋_GB2312"/>
          <w:sz w:val="32"/>
          <w:szCs w:val="32"/>
        </w:rPr>
        <w:t>（二十一）完成县委、县政府交办的其他任务。</w:t>
      </w:r>
    </w:p>
    <w:p>
      <w:pPr>
        <w:pStyle w:val="2"/>
        <w:spacing w:before="0" w:after="0" w:line="600" w:lineRule="exact"/>
        <w:jc w:val="left"/>
        <w:rPr>
          <w:rFonts w:ascii="仿宋" w:hAnsi="仿宋" w:eastAsia="仿宋" w:cs="黑体"/>
          <w:b w:val="0"/>
          <w:bCs w:val="0"/>
          <w:kern w:val="0"/>
          <w:sz w:val="32"/>
          <w:szCs w:val="32"/>
        </w:rPr>
      </w:pPr>
      <w:r>
        <w:rPr>
          <w:rFonts w:hint="eastAsia" w:ascii="仿宋" w:hAnsi="仿宋" w:eastAsia="仿宋" w:cs="黑体"/>
          <w:b w:val="0"/>
          <w:bCs w:val="0"/>
          <w:kern w:val="0"/>
          <w:sz w:val="32"/>
          <w:szCs w:val="32"/>
        </w:rPr>
        <w:t>二、机构设置</w:t>
      </w:r>
    </w:p>
    <w:p>
      <w:pPr>
        <w:spacing w:after="0" w:line="560" w:lineRule="exact"/>
        <w:ind w:firstLine="640" w:firstLineChars="200"/>
        <w:rPr>
          <w:rFonts w:ascii="仿宋" w:hAnsi="仿宋" w:eastAsia="仿宋" w:cs="ArialUnicodeMS"/>
          <w:kern w:val="0"/>
          <w:sz w:val="32"/>
          <w:szCs w:val="32"/>
        </w:rPr>
      </w:pPr>
      <w:r>
        <w:rPr>
          <w:rFonts w:hint="eastAsia" w:ascii="仿宋" w:hAnsi="仿宋" w:eastAsia="仿宋" w:cs="ArialUnicodeMS"/>
          <w:kern w:val="0"/>
          <w:sz w:val="32"/>
          <w:szCs w:val="32"/>
        </w:rPr>
        <w:t>从决算编报单位构成看，纳入2018 年度本部门决算汇编范围的独立核算单位（以下简称“单位”）共2个，具体情况如下：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012"/>
        <w:gridCol w:w="2707"/>
        <w:gridCol w:w="28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序号</w:t>
            </w:r>
          </w:p>
        </w:tc>
        <w:tc>
          <w:tcPr>
            <w:tcW w:w="3012" w:type="dxa"/>
            <w:vAlign w:val="center"/>
          </w:tcPr>
          <w:p>
            <w:pPr>
              <w:spacing w:after="0"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单位名称</w:t>
            </w:r>
          </w:p>
        </w:tc>
        <w:tc>
          <w:tcPr>
            <w:tcW w:w="2707" w:type="dxa"/>
            <w:vAlign w:val="center"/>
          </w:tcPr>
          <w:p>
            <w:pPr>
              <w:spacing w:after="0"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单位基本性质</w:t>
            </w:r>
          </w:p>
        </w:tc>
        <w:tc>
          <w:tcPr>
            <w:tcW w:w="2876" w:type="dxa"/>
            <w:vAlign w:val="center"/>
          </w:tcPr>
          <w:p>
            <w:pPr>
              <w:spacing w:after="0"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1</w:t>
            </w:r>
          </w:p>
        </w:tc>
        <w:tc>
          <w:tcPr>
            <w:tcW w:w="3012" w:type="dxa"/>
          </w:tcPr>
          <w:p>
            <w:pPr>
              <w:spacing w:after="0" w:line="560" w:lineRule="exact"/>
              <w:rPr>
                <w:rFonts w:ascii="仿宋" w:hAnsi="仿宋" w:eastAsia="仿宋" w:cs="ArialUnicodeMS"/>
                <w:kern w:val="0"/>
                <w:sz w:val="32"/>
                <w:szCs w:val="32"/>
              </w:rPr>
            </w:pPr>
            <w:r>
              <w:rPr>
                <w:rFonts w:hint="eastAsia" w:ascii="仿宋" w:hAnsi="仿宋" w:eastAsia="仿宋" w:cs="ArialUnicodeMS"/>
                <w:kern w:val="0"/>
                <w:sz w:val="32"/>
                <w:szCs w:val="32"/>
              </w:rPr>
              <w:t>无极县民政局(本级)</w:t>
            </w:r>
          </w:p>
        </w:tc>
        <w:tc>
          <w:tcPr>
            <w:tcW w:w="2707" w:type="dxa"/>
          </w:tcPr>
          <w:p>
            <w:pPr>
              <w:spacing w:after="0"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行政单位</w:t>
            </w:r>
          </w:p>
        </w:tc>
        <w:tc>
          <w:tcPr>
            <w:tcW w:w="2876" w:type="dxa"/>
          </w:tcPr>
          <w:p>
            <w:pPr>
              <w:spacing w:after="0"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2</w:t>
            </w:r>
          </w:p>
        </w:tc>
        <w:tc>
          <w:tcPr>
            <w:tcW w:w="3012" w:type="dxa"/>
          </w:tcPr>
          <w:p>
            <w:pPr>
              <w:spacing w:after="0" w:line="560" w:lineRule="exact"/>
              <w:rPr>
                <w:rFonts w:ascii="仿宋" w:hAnsi="仿宋" w:eastAsia="仿宋" w:cs="ArialUnicodeMS"/>
                <w:kern w:val="0"/>
                <w:sz w:val="32"/>
                <w:szCs w:val="32"/>
              </w:rPr>
            </w:pPr>
            <w:r>
              <w:rPr>
                <w:rFonts w:hint="eastAsia" w:ascii="仿宋" w:hAnsi="仿宋" w:eastAsia="仿宋" w:cs="ArialUnicodeMS"/>
                <w:kern w:val="0"/>
                <w:sz w:val="32"/>
                <w:szCs w:val="32"/>
              </w:rPr>
              <w:t>无极县丧葬管理所</w:t>
            </w:r>
          </w:p>
        </w:tc>
        <w:tc>
          <w:tcPr>
            <w:tcW w:w="2707" w:type="dxa"/>
          </w:tcPr>
          <w:p>
            <w:pPr>
              <w:spacing w:after="0" w:line="560" w:lineRule="exact"/>
              <w:jc w:val="center"/>
              <w:rPr>
                <w:rFonts w:ascii="仿宋" w:hAnsi="仿宋" w:eastAsia="仿宋" w:cs="ArialUnicodeMS"/>
                <w:kern w:val="0"/>
                <w:sz w:val="28"/>
                <w:szCs w:val="28"/>
              </w:rPr>
            </w:pPr>
            <w:r>
              <w:rPr>
                <w:rFonts w:hint="eastAsia" w:ascii="仿宋" w:hAnsi="仿宋" w:eastAsia="仿宋" w:cs="ArialUnicodeMS"/>
                <w:kern w:val="0"/>
                <w:sz w:val="28"/>
                <w:szCs w:val="28"/>
              </w:rPr>
              <w:t>财政补助事业单位</w:t>
            </w:r>
          </w:p>
        </w:tc>
        <w:tc>
          <w:tcPr>
            <w:tcW w:w="2876" w:type="dxa"/>
          </w:tcPr>
          <w:p>
            <w:pPr>
              <w:spacing w:after="0" w:line="560" w:lineRule="exact"/>
              <w:jc w:val="center"/>
              <w:rPr>
                <w:rFonts w:ascii="仿宋" w:hAnsi="仿宋" w:eastAsia="仿宋" w:cs="ArialUnicodeMS"/>
                <w:kern w:val="0"/>
                <w:sz w:val="28"/>
                <w:szCs w:val="28"/>
              </w:rPr>
            </w:pPr>
            <w:r>
              <w:rPr>
                <w:rFonts w:hint="eastAsia" w:ascii="仿宋" w:hAnsi="仿宋" w:eastAsia="仿宋" w:cs="ArialUnicodeMS"/>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640" w:firstLineChars="200"/>
              <w:jc w:val="left"/>
              <w:rPr>
                <w:rFonts w:ascii="仿宋" w:hAnsi="仿宋" w:eastAsia="仿宋" w:cs="ArialUnicodeMS"/>
                <w:kern w:val="0"/>
                <w:sz w:val="32"/>
                <w:szCs w:val="32"/>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29" o:spid="_x0000_s1029"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EJ+BAJDAgAAdw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tvkq/I0bMMkSGPpSYrDetjiXFN9C5iexkkJTp51KOVchHgpPEYD5WN54gWORhNS0lbirCX/&#10;9V/65I+OwcpZj1GrePiyEV5xpt9b9PLN5DCxEvPlcDaf4uIfWtYPLXZjTgjTPMGaOpnF5B/1Tmw8&#10;mc/YsVXKCpOwErkrHnfiSRwXADsq1WqVnTCNTsRze+VkCj2Su9pEarrMe6Jp5AZNSBfMY27HdnfS&#10;wD+8Z6/7/8Xy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5rPdDcAAAADQEAAA8AAAAAAAAAAQAg&#10;AAAAIgAAAGRycy9kb3ducmV2LnhtbFBLAQIUABQAAAAIAIdO4kBCfgQCQwIAAHcEAAAOAAAAAAAA&#10;AAEAIAAAACsBAABkcnMvZTJvRG9jLnhtbFBLBQYAAAAABgAGAFkBAADg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10285" w:type="dxa"/>
        <w:jc w:val="center"/>
        <w:tblLayout w:type="fixed"/>
        <w:tblCellMar>
          <w:top w:w="0" w:type="dxa"/>
          <w:left w:w="0" w:type="dxa"/>
          <w:bottom w:w="0" w:type="dxa"/>
          <w:right w:w="0" w:type="dxa"/>
        </w:tblCellMar>
      </w:tblPr>
      <w:tblGrid>
        <w:gridCol w:w="213"/>
        <w:gridCol w:w="326"/>
        <w:gridCol w:w="200"/>
        <w:gridCol w:w="329"/>
        <w:gridCol w:w="25"/>
        <w:gridCol w:w="1607"/>
        <w:gridCol w:w="567"/>
        <w:gridCol w:w="412"/>
        <w:gridCol w:w="170"/>
        <w:gridCol w:w="754"/>
        <w:gridCol w:w="574"/>
        <w:gridCol w:w="546"/>
        <w:gridCol w:w="411"/>
        <w:gridCol w:w="144"/>
        <w:gridCol w:w="356"/>
        <w:gridCol w:w="480"/>
        <w:gridCol w:w="90"/>
        <w:gridCol w:w="99"/>
        <w:gridCol w:w="335"/>
        <w:gridCol w:w="117"/>
        <w:gridCol w:w="115"/>
        <w:gridCol w:w="313"/>
        <w:gridCol w:w="598"/>
        <w:gridCol w:w="298"/>
        <w:gridCol w:w="221"/>
        <w:gridCol w:w="39"/>
        <w:gridCol w:w="50"/>
        <w:gridCol w:w="288"/>
        <w:gridCol w:w="558"/>
        <w:gridCol w:w="50"/>
      </w:tblGrid>
      <w:tr>
        <w:tblPrEx>
          <w:tblCellMar>
            <w:top w:w="0" w:type="dxa"/>
            <w:left w:w="0" w:type="dxa"/>
            <w:bottom w:w="0" w:type="dxa"/>
            <w:right w:w="0" w:type="dxa"/>
          </w:tblCellMar>
        </w:tblPrEx>
        <w:trPr>
          <w:gridAfter w:val="5"/>
          <w:wAfter w:w="985" w:type="dxa"/>
          <w:trHeight w:val="567" w:hRule="atLeast"/>
          <w:jc w:val="center"/>
        </w:trPr>
        <w:tc>
          <w:tcPr>
            <w:tcW w:w="9300" w:type="dxa"/>
            <w:gridSpan w:val="25"/>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gridAfter w:val="5"/>
          <w:wAfter w:w="985" w:type="dxa"/>
          <w:trHeight w:val="321" w:hRule="atLeast"/>
          <w:jc w:val="center"/>
        </w:trPr>
        <w:tc>
          <w:tcPr>
            <w:tcW w:w="27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gridSpan w:val="8"/>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gridAfter w:val="5"/>
          <w:wAfter w:w="985" w:type="dxa"/>
          <w:trHeight w:val="418" w:hRule="atLeast"/>
          <w:jc w:val="center"/>
        </w:trPr>
        <w:tc>
          <w:tcPr>
            <w:tcW w:w="27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部门：无极县民政局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gridSpan w:val="8"/>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gridAfter w:val="5"/>
          <w:wAfter w:w="985" w:type="dxa"/>
          <w:trHeight w:val="295" w:hRule="atLeast"/>
          <w:jc w:val="center"/>
        </w:trPr>
        <w:tc>
          <w:tcPr>
            <w:tcW w:w="4603"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1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gridAfter w:val="5"/>
          <w:wAfter w:w="985" w:type="dxa"/>
          <w:trHeight w:val="295"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gridAfter w:val="5"/>
          <w:wAfter w:w="985" w:type="dxa"/>
          <w:trHeight w:val="295"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gridAfter w:val="5"/>
          <w:wAfter w:w="985" w:type="dxa"/>
          <w:trHeight w:val="365"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16013.26</w:t>
            </w: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402.7</w:t>
            </w: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10652.44</w:t>
            </w: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682.6</w:t>
            </w: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53.97</w:t>
            </w: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3007.51</w:t>
            </w: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294.41</w:t>
            </w: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16415.96</w:t>
            </w: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14690.93</w:t>
            </w:r>
          </w:p>
        </w:tc>
      </w:tr>
      <w:tr>
        <w:tblPrEx>
          <w:tblCellMar>
            <w:top w:w="0" w:type="dxa"/>
            <w:left w:w="0" w:type="dxa"/>
            <w:bottom w:w="0" w:type="dxa"/>
            <w:right w:w="0" w:type="dxa"/>
          </w:tblCellMar>
        </w:tblPrEx>
        <w:trPr>
          <w:gridAfter w:val="5"/>
          <w:wAfter w:w="985" w:type="dxa"/>
          <w:trHeight w:val="385"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91"/>
              </w:tabs>
              <w:spacing w:after="0" w:line="200" w:lineRule="exact"/>
              <w:jc w:val="right"/>
              <w:rPr>
                <w:rFonts w:ascii="宋体" w:hAnsi="宋体" w:cs="宋体"/>
                <w:color w:val="000000"/>
                <w:sz w:val="18"/>
                <w:szCs w:val="18"/>
              </w:rPr>
            </w:pPr>
            <w:r>
              <w:rPr>
                <w:rFonts w:hint="eastAsia" w:ascii="宋体" w:hAnsi="宋体" w:cs="宋体"/>
                <w:color w:val="000000"/>
                <w:sz w:val="20"/>
                <w:szCs w:val="20"/>
              </w:rPr>
              <w:t>1393.74</w:t>
            </w: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3118.77</w:t>
            </w:r>
          </w:p>
        </w:tc>
      </w:tr>
      <w:tr>
        <w:tblPrEx>
          <w:tblCellMar>
            <w:top w:w="0" w:type="dxa"/>
            <w:left w:w="0" w:type="dxa"/>
            <w:bottom w:w="0" w:type="dxa"/>
            <w:right w:w="0" w:type="dxa"/>
          </w:tblCellMar>
        </w:tblPrEx>
        <w:trPr>
          <w:gridAfter w:val="5"/>
          <w:wAfter w:w="985" w:type="dxa"/>
          <w:trHeight w:val="337" w:hRule="atLeast"/>
          <w:jc w:val="center"/>
        </w:trPr>
        <w:tc>
          <w:tcPr>
            <w:tcW w:w="270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17809.7</w:t>
            </w:r>
          </w:p>
        </w:tc>
        <w:tc>
          <w:tcPr>
            <w:tcW w:w="2700"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17809.7</w:t>
            </w:r>
          </w:p>
        </w:tc>
      </w:tr>
      <w:tr>
        <w:tblPrEx>
          <w:tblCellMar>
            <w:top w:w="0" w:type="dxa"/>
            <w:left w:w="0" w:type="dxa"/>
            <w:bottom w:w="0" w:type="dxa"/>
            <w:right w:w="0" w:type="dxa"/>
          </w:tblCellMar>
        </w:tblPrEx>
        <w:trPr>
          <w:gridAfter w:val="5"/>
          <w:wAfter w:w="985" w:type="dxa"/>
          <w:trHeight w:val="417" w:hRule="atLeast"/>
          <w:jc w:val="center"/>
        </w:trPr>
        <w:tc>
          <w:tcPr>
            <w:tcW w:w="9300" w:type="dxa"/>
            <w:gridSpan w:val="25"/>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r>
        <w:tblPrEx>
          <w:tblCellMar>
            <w:top w:w="0" w:type="dxa"/>
            <w:left w:w="0" w:type="dxa"/>
            <w:bottom w:w="0" w:type="dxa"/>
            <w:right w:w="0" w:type="dxa"/>
          </w:tblCellMar>
        </w:tblPrEx>
        <w:trPr>
          <w:gridAfter w:val="5"/>
          <w:wAfter w:w="985" w:type="dxa"/>
          <w:trHeight w:val="99" w:hRule="atLeast"/>
          <w:jc w:val="center"/>
        </w:trPr>
        <w:tc>
          <w:tcPr>
            <w:tcW w:w="9300" w:type="dxa"/>
            <w:gridSpan w:val="25"/>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Cs w:val="21"/>
              </w:rPr>
            </w:pPr>
          </w:p>
        </w:tc>
      </w:tr>
      <w:tr>
        <w:tblPrEx>
          <w:tblCellMar>
            <w:top w:w="0" w:type="dxa"/>
            <w:left w:w="0" w:type="dxa"/>
            <w:bottom w:w="0" w:type="dxa"/>
            <w:right w:w="0" w:type="dxa"/>
          </w:tblCellMar>
        </w:tblPrEx>
        <w:trPr>
          <w:gridBefore w:val="1"/>
          <w:gridAfter w:val="2"/>
          <w:wBefore w:w="213" w:type="dxa"/>
          <w:wAfter w:w="608" w:type="dxa"/>
          <w:trHeight w:val="644" w:hRule="atLeast"/>
          <w:jc w:val="center"/>
        </w:trPr>
        <w:tc>
          <w:tcPr>
            <w:tcW w:w="8568" w:type="dxa"/>
            <w:gridSpan w:val="22"/>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c>
          <w:tcPr>
            <w:tcW w:w="896" w:type="dxa"/>
            <w:gridSpan w:val="5"/>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40"/>
                <w:szCs w:val="40"/>
              </w:rPr>
            </w:pPr>
          </w:p>
        </w:tc>
      </w:tr>
      <w:tr>
        <w:tblPrEx>
          <w:tblCellMar>
            <w:top w:w="0" w:type="dxa"/>
            <w:left w:w="0" w:type="dxa"/>
            <w:bottom w:w="0" w:type="dxa"/>
            <w:right w:w="0" w:type="dxa"/>
          </w:tblCellMar>
        </w:tblPrEx>
        <w:trPr>
          <w:gridBefore w:val="1"/>
          <w:gridAfter w:val="1"/>
          <w:wBefore w:w="213" w:type="dxa"/>
          <w:wAfter w:w="50" w:type="dxa"/>
          <w:trHeight w:val="371" w:hRule="atLeast"/>
          <w:jc w:val="center"/>
        </w:trPr>
        <w:tc>
          <w:tcPr>
            <w:tcW w:w="32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0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58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49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4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5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48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35"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c>
          <w:tcPr>
            <w:tcW w:w="89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Cs w:val="21"/>
              </w:rPr>
            </w:pPr>
          </w:p>
        </w:tc>
      </w:tr>
      <w:tr>
        <w:tblPrEx>
          <w:tblCellMar>
            <w:top w:w="0" w:type="dxa"/>
            <w:left w:w="0" w:type="dxa"/>
            <w:bottom w:w="0" w:type="dxa"/>
            <w:right w:w="0" w:type="dxa"/>
          </w:tblCellMar>
        </w:tblPrEx>
        <w:trPr>
          <w:gridBefore w:val="1"/>
          <w:wBefore w:w="213" w:type="dxa"/>
          <w:trHeight w:val="360" w:hRule="atLeast"/>
          <w:jc w:val="center"/>
        </w:trPr>
        <w:tc>
          <w:tcPr>
            <w:tcW w:w="4964" w:type="dxa"/>
            <w:gridSpan w:val="10"/>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部门：无极县民政局</w:t>
            </w:r>
          </w:p>
        </w:tc>
        <w:tc>
          <w:tcPr>
            <w:tcW w:w="957"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0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48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51"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634"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c>
          <w:tcPr>
            <w:tcW w:w="89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kern w:val="0"/>
                <w:szCs w:val="21"/>
              </w:rPr>
            </w:pPr>
          </w:p>
        </w:tc>
      </w:tr>
      <w:tr>
        <w:tblPrEx>
          <w:tblCellMar>
            <w:top w:w="0" w:type="dxa"/>
            <w:left w:w="0" w:type="dxa"/>
            <w:bottom w:w="0" w:type="dxa"/>
            <w:right w:w="0" w:type="dxa"/>
          </w:tblCellMar>
        </w:tblPrEx>
        <w:trPr>
          <w:gridBefore w:val="1"/>
          <w:gridAfter w:val="6"/>
          <w:wBefore w:w="213" w:type="dxa"/>
          <w:wAfter w:w="1206" w:type="dxa"/>
          <w:trHeight w:val="325" w:hRule="atLeast"/>
          <w:jc w:val="center"/>
        </w:trPr>
        <w:tc>
          <w:tcPr>
            <w:tcW w:w="3636" w:type="dxa"/>
            <w:gridSpan w:val="8"/>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328" w:type="dxa"/>
            <w:gridSpan w:val="2"/>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5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50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480"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524" w:type="dxa"/>
            <w:gridSpan w:val="3"/>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545" w:type="dxa"/>
            <w:gridSpan w:val="3"/>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896"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Before w:val="1"/>
          <w:gridAfter w:val="6"/>
          <w:wBefore w:w="213" w:type="dxa"/>
          <w:wAfter w:w="1206" w:type="dxa"/>
          <w:trHeight w:val="626"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781" w:type="dxa"/>
            <w:gridSpan w:val="5"/>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328" w:type="dxa"/>
            <w:gridSpan w:val="2"/>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57"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0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8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24"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4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96" w:type="dxa"/>
            <w:gridSpan w:val="2"/>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Before w:val="1"/>
          <w:gridAfter w:val="6"/>
          <w:wBefore w:w="213" w:type="dxa"/>
          <w:wAfter w:w="1206" w:type="dxa"/>
          <w:trHeight w:val="391" w:hRule="atLeast"/>
          <w:jc w:val="center"/>
        </w:trPr>
        <w:tc>
          <w:tcPr>
            <w:tcW w:w="3636" w:type="dxa"/>
            <w:gridSpan w:val="8"/>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5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52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5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gridBefore w:val="1"/>
          <w:gridAfter w:val="6"/>
          <w:wBefore w:w="213" w:type="dxa"/>
          <w:wAfter w:w="1206" w:type="dxa"/>
          <w:trHeight w:val="90" w:hRule="atLeast"/>
          <w:jc w:val="center"/>
        </w:trPr>
        <w:tc>
          <w:tcPr>
            <w:tcW w:w="3636" w:type="dxa"/>
            <w:gridSpan w:val="8"/>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328"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36"/>
              </w:tabs>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ab/>
            </w:r>
            <w:r>
              <w:rPr>
                <w:rFonts w:hint="eastAsia" w:ascii="宋体" w:hAnsi="宋体" w:cs="宋体"/>
                <w:b/>
                <w:bCs/>
                <w:color w:val="000000"/>
                <w:szCs w:val="21"/>
              </w:rPr>
              <w:t>16415.96</w:t>
            </w:r>
          </w:p>
        </w:tc>
        <w:tc>
          <w:tcPr>
            <w:tcW w:w="95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16013.26</w:t>
            </w:r>
          </w:p>
        </w:tc>
        <w:tc>
          <w:tcPr>
            <w:tcW w:w="50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48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24"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45"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89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Cs w:val="21"/>
              </w:rPr>
              <w:t>402.7</w:t>
            </w: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社会保障和就业支出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12338.48</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11935.78</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402.7</w:t>
            </w:r>
          </w:p>
        </w:tc>
      </w:tr>
      <w:tr>
        <w:tblPrEx>
          <w:tblCellMar>
            <w:top w:w="0" w:type="dxa"/>
            <w:left w:w="0" w:type="dxa"/>
            <w:bottom w:w="0" w:type="dxa"/>
            <w:right w:w="0" w:type="dxa"/>
          </w:tblCellMar>
        </w:tblPrEx>
        <w:trPr>
          <w:gridBefore w:val="1"/>
          <w:gridAfter w:val="6"/>
          <w:wBefore w:w="213" w:type="dxa"/>
          <w:wAfter w:w="1206" w:type="dxa"/>
          <w:trHeight w:val="356"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20802</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民政管理事务</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831.98</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831.98</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2080201</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613.08</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613.08</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2080202</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74.01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74.01</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2080207</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行政区划和地名管理</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2080208</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基层政权和社区建设</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43.77</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43.77</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2080299</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其他民政管理事务支出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91.12</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91.12</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20808</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抚恤</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b/>
                <w:bCs/>
                <w:color w:val="000000"/>
                <w:szCs w:val="21"/>
              </w:rPr>
              <w:t>3958.99</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b/>
                <w:bCs/>
                <w:color w:val="000000"/>
                <w:szCs w:val="21"/>
              </w:rPr>
              <w:t>3958.99</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死亡抚恤 </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234.20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234.20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2080802</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伤残抚恤</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699</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699</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2080803</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在乡复员、退伍军人生活补助</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1909.73</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1909.73</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2080804</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优抚事业单位支出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162.85</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162.85</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2080805</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义务兵优待</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715.87</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715.87</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2080899</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其他优抚支出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237.34</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237.34</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20809</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退役安置</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1181.20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1181.20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退役士兵安置</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803.00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803.00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2080902</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军队移交政府的离退休人员安置</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2080903</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6"/>
                <w:szCs w:val="16"/>
              </w:rPr>
              <w:t>军队移交政府离退休干部管理机构</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90"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2080999</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其他退役安置支出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242.00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242.00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20810</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社会福利</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1625.03</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1222.33</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402.70</w:t>
            </w: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2081001</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儿童福利</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236.21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236.21</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2081002</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老年福利</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205.83</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205.83</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2081004</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殡葬</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1171.49</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768.79</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402.70</w:t>
            </w: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2081005</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社会福利事业单位</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20811</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残疾人事业</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5.10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5.10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2081107</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残疾人生活和护理补贴</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20815</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自然灾害生活救助</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53.00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53.00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2081599</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其他自然灾害生活救助支出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20819</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最低生活保障</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3801.00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3801.00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2081902</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农村最低生活保障金支出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3801.00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3801.00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20821</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特困人员救助供养</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876.51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876.51</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2082102</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农村特困人员救助供养</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876.51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876.51</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20899</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其他社会保障和就业支出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5.67</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5.67</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5.67</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5.67</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医疗卫生与计划生育支出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682.60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682.60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21007</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计划生育事务</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0.60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0.60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21013</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医疗救助</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543.00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543.00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2101301</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城乡医疗救助</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543.00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543.00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21014</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优抚对象医疗</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139.00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139.00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2101401</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优抚对象医疗补助</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城乡社区支出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53.97</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53.97</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21208</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 w:val="10"/>
                <w:szCs w:val="10"/>
              </w:rPr>
              <w:t>国有土地使用权出让收入及对应专项债务收入安排的支出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53.97</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53.97</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支付破产或改制企业职工安置费</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53.97</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53.97</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213</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农林水支出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3007.51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3007.51</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21305</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扶贫</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3007.51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3007.51</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2130502</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19.50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19.50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2130599</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其他扶贫支出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2988.01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2988.01</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229</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其他支出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333.41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333.41</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22960</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 w:val="13"/>
                <w:szCs w:val="13"/>
              </w:rPr>
              <w:t>彩票公益金及对应专项债务收入安排的支出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333.41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333.41</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2296002</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用于社会福利的彩票公益金支出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58.41</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58.41</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6"/>
          <w:wBefore w:w="213" w:type="dxa"/>
          <w:wAfter w:w="1206" w:type="dxa"/>
          <w:trHeight w:val="371" w:hRule="atLeast"/>
          <w:jc w:val="center"/>
        </w:trPr>
        <w:tc>
          <w:tcPr>
            <w:tcW w:w="85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2296013</w:t>
            </w:r>
          </w:p>
        </w:tc>
        <w:tc>
          <w:tcPr>
            <w:tcW w:w="278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用于城乡医疗救助的彩票公益金支出</w:t>
            </w:r>
          </w:p>
        </w:tc>
        <w:tc>
          <w:tcPr>
            <w:tcW w:w="13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236.00</w:t>
            </w:r>
          </w:p>
        </w:tc>
        <w:tc>
          <w:tcPr>
            <w:tcW w:w="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236.00</w:t>
            </w:r>
          </w:p>
        </w:tc>
        <w:tc>
          <w:tcPr>
            <w:tcW w:w="5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4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Before w:val="1"/>
          <w:gridAfter w:val="2"/>
          <w:wBefore w:w="213" w:type="dxa"/>
          <w:wAfter w:w="608" w:type="dxa"/>
          <w:trHeight w:val="446" w:hRule="atLeast"/>
          <w:jc w:val="center"/>
        </w:trPr>
        <w:tc>
          <w:tcPr>
            <w:tcW w:w="8568" w:type="dxa"/>
            <w:gridSpan w:val="2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c>
          <w:tcPr>
            <w:tcW w:w="89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Cs w:val="21"/>
              </w:rP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454" w:bottom="1757" w:left="737" w:header="851" w:footer="992" w:gutter="0"/>
          <w:cols w:space="0" w:num="1"/>
          <w:docGrid w:type="lines" w:linePitch="312" w:charSpace="0"/>
        </w:sectPr>
      </w:pPr>
    </w:p>
    <w:tbl>
      <w:tblPr>
        <w:tblStyle w:val="12"/>
        <w:tblW w:w="9159" w:type="dxa"/>
        <w:tblInd w:w="0" w:type="dxa"/>
        <w:tblLayout w:type="fixed"/>
        <w:tblCellMar>
          <w:top w:w="0" w:type="dxa"/>
          <w:left w:w="0" w:type="dxa"/>
          <w:bottom w:w="0" w:type="dxa"/>
          <w:right w:w="0" w:type="dxa"/>
        </w:tblCellMar>
      </w:tblPr>
      <w:tblGrid>
        <w:gridCol w:w="290"/>
        <w:gridCol w:w="289"/>
        <w:gridCol w:w="509"/>
        <w:gridCol w:w="2569"/>
        <w:gridCol w:w="90"/>
        <w:gridCol w:w="931"/>
        <w:gridCol w:w="69"/>
        <w:gridCol w:w="1000"/>
        <w:gridCol w:w="69"/>
        <w:gridCol w:w="1000"/>
        <w:gridCol w:w="617"/>
        <w:gridCol w:w="348"/>
        <w:gridCol w:w="445"/>
        <w:gridCol w:w="774"/>
        <w:gridCol w:w="159"/>
      </w:tblGrid>
      <w:tr>
        <w:tblPrEx>
          <w:tblCellMar>
            <w:top w:w="0" w:type="dxa"/>
            <w:left w:w="0" w:type="dxa"/>
            <w:bottom w:w="0" w:type="dxa"/>
            <w:right w:w="0" w:type="dxa"/>
          </w:tblCellMar>
        </w:tblPrEx>
        <w:trPr>
          <w:gridAfter w:val="1"/>
          <w:wAfter w:w="159" w:type="dxa"/>
          <w:trHeight w:val="798" w:hRule="atLeast"/>
        </w:trPr>
        <w:tc>
          <w:tcPr>
            <w:tcW w:w="9000" w:type="dxa"/>
            <w:gridSpan w:val="1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56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00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069"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00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6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gridAfter w:val="1"/>
          <w:wAfter w:w="159" w:type="dxa"/>
          <w:trHeight w:val="380" w:hRule="atLeast"/>
        </w:trPr>
        <w:tc>
          <w:tcPr>
            <w:tcW w:w="3657"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部门：无极县民政局</w:t>
            </w:r>
          </w:p>
        </w:tc>
        <w:tc>
          <w:tcPr>
            <w:tcW w:w="10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069"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069"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84"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159" w:type="dxa"/>
          <w:trHeight w:val="837" w:hRule="atLeast"/>
        </w:trPr>
        <w:tc>
          <w:tcPr>
            <w:tcW w:w="365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21"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69"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69"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617" w:type="dxa"/>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793"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774" w:type="dxa"/>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gridAfter w:val="1"/>
          <w:wAfter w:w="159" w:type="dxa"/>
          <w:trHeight w:val="782"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21"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69"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69"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17"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9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74"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395" w:hRule="atLeast"/>
        </w:trPr>
        <w:tc>
          <w:tcPr>
            <w:tcW w:w="365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6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7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7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159" w:type="dxa"/>
          <w:trHeight w:val="440" w:hRule="atLeast"/>
        </w:trPr>
        <w:tc>
          <w:tcPr>
            <w:tcW w:w="365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14690.93</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1743.95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12946.98</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社会保障和就业支出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10652.43</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1723.84</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8928.59</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20802</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民政管理事务</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799.62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789.62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10.00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2080201</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580.72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580.72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2080202</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74.01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74.01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2080207</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行政区划和地名管理</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2080208</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基层政权和社区建设</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43.77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43.77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2080299</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其他民政管理事务支出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91.12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91.12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20808</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抚恤</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3923.82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3923.82</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死亡抚恤 </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234.20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234.20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2080802</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伤残抚恤</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678.75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678.75</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2080803</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在乡复员、退伍军人生活补助</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1558.67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1558.67</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2080804</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优抚事业单位支出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162.85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162.85</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2080805</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义务兵优待</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707.77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707.77</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2080899</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其他优抚支出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581.58</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581.58</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20809</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退役安置</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863.28</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863.28</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退役士兵安置</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659.60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659.60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2080902</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军队移交政府的离退休人员安置</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2080903</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军队移交政府离退休干部管理机构</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2080999</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其他退役安置支出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67.78</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67.78</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20810</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社会福利</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1768.32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934.22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834.10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2081001</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儿童福利</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236.21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236.21</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2081002</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老年福利</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267.60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267.60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2081004</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殡葬</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1253.01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934.22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318.79</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2081005</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社会福利事业单位</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20811</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残疾人事业</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5.10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5.10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2081107</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残疾人生活和护理补贴</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20815</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自然灾害生活救助</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433.00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433.00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2081501</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中央自然灾害生活补助</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380.00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380.00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2081599</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其他自然灾害生活救助支出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20819</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最低生活保障</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1997.47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1997.47</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2081902</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农村最低生活保障金支出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1997.47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1997.47</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20821</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特困人员救助供养</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856.15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856.15</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2082102</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农村特困人员救助供养</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856.15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856.15</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20899</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其他社会保障和就业支出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5.67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5.67</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5.67</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医疗卫生与计划生育支出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682.60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0.60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682.00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21007</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计划生育事务</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0.60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0.60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21013</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医疗救助</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543.00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543.00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2101301</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城乡医疗救助</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543.00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543.00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21014</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优抚对象医疗</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139.00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139.00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2101401</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优抚对象医疗补助</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城乡社区支出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53.97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53.97</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21208</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 w:val="10"/>
                <w:szCs w:val="10"/>
              </w:rPr>
              <w:t>国有土地使用权出让收入及对应专项债务收入安排的支出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53.97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53.97</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支付破产或改制企业职工安置费</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53.97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53.97</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213</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农林水支出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3007.51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19.50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2988.01</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21305</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扶贫</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3007.51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19.50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2988.01</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color w:val="000000"/>
                <w:szCs w:val="21"/>
              </w:rPr>
              <w:t>2130502</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color w:val="000000"/>
                <w:szCs w:val="21"/>
              </w:rPr>
              <w:t>一般行政管理事务</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19.50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19.50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color w:val="000000"/>
                <w:szCs w:val="21"/>
              </w:rPr>
              <w:t>2130599</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color w:val="000000"/>
                <w:szCs w:val="21"/>
              </w:rPr>
              <w:t>其他扶贫支出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2988.01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2988.01</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229</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其他支出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294.41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294.41</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22960</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 w:val="13"/>
                <w:szCs w:val="13"/>
              </w:rPr>
              <w:t>彩票公益金及对应专项债务收入安排的支出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294.41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294.41</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2296002</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用于社会福利的彩票公益金支出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58.41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58.41</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2296013</w:t>
            </w:r>
          </w:p>
        </w:tc>
        <w:tc>
          <w:tcPr>
            <w:tcW w:w="2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rPr>
              <w:t>用于城乡医疗救助的彩票公益金支出</w:t>
            </w:r>
          </w:p>
        </w:tc>
        <w:tc>
          <w:tcPr>
            <w:tcW w:w="10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236.00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236.00</w:t>
            </w:r>
          </w:p>
        </w:tc>
        <w:tc>
          <w:tcPr>
            <w:tcW w:w="6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59" w:type="dxa"/>
          <w:trHeight w:val="748" w:hRule="atLeast"/>
        </w:trPr>
        <w:tc>
          <w:tcPr>
            <w:tcW w:w="9000" w:type="dxa"/>
            <w:gridSpan w:val="1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部门：无极县民政局</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15625.88</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387.38</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10220.01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10220.01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682.60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682.60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53.97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53.97</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3007.51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3007.51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294.41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294.41</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16013.26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14258.51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13910.13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348.38</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1289.21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3043.96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2908.96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135.00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1193.21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96.00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17302.47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17302.47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16819.09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483.38</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612"/>
        <w:gridCol w:w="242"/>
        <w:gridCol w:w="1448"/>
        <w:gridCol w:w="444"/>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1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无极县民政局</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60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25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61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69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6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61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69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6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61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69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6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60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60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13910.13</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1311.53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12598.60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社会保障和就业支出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10220.01</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1291.42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8928.59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20802</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民政管理事务</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799.62</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789.62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2080201</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580.72</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580.72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2080202</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74.01</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74.01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2080207</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行政区划和地名管理</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2080208</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基层政权和社区建设</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43.77</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43.77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2080299</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其他民政管理事务支出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91.12</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91.12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20808</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抚恤</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3923.82</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3923.82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死亡抚恤 </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234.20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234.20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2080802</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伤残抚恤</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678.75</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678.75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2080803</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在乡复员、退伍军人生活补助</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1558.67</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1558.67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2080804</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优抚事业单位支出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162.85</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162.85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2080805</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义务兵优待</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707.77</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707.77</w:t>
            </w:r>
          </w:p>
        </w:tc>
      </w:tr>
      <w:tr>
        <w:tblPrEx>
          <w:tblCellMar>
            <w:top w:w="0" w:type="dxa"/>
            <w:left w:w="0" w:type="dxa"/>
            <w:bottom w:w="0" w:type="dxa"/>
            <w:right w:w="0" w:type="dxa"/>
          </w:tblCellMar>
        </w:tblPrEx>
        <w:trPr>
          <w:trHeight w:val="90"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2080899</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其他优抚支出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581.58</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581.58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20809</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退役安置</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863.28</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863.28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退役士兵安置</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659.60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659.60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2080902</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军队移交政府的离退休人员安置</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131.00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2080903</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军队移交政府离退休干部管理机构</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2080999</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其他退役安置支出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67.68</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67.68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20810</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社会福利</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1335.90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501.80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834.10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2081001</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儿童福利</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236.21</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236.21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2081002</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老年福利</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267.60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267.60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2081004</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殡葬</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820.59</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501.80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318.79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2081005</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社会福利事业单位</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2081099</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其他社会福利支出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20811</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残疾人事业</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2081107</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残疾人生活和护理补贴</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20815</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自然灾害生活救助</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433.00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433.00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2081501</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中央自然灾害生活补助</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380.00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2081599</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其他自然灾害生活救助支出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53.00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20819</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最低生活保障</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1997.47</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1997.47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2081902</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农村最低生活保障金支出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1997.47</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1997.47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20821</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特困人员救助供养</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856.15</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856.15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2082102</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农村特困人员救助供养</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856.15</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856.15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20899</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其他社会保障和就业支出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5.67</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5.67</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医疗卫生与计划生育支出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682.60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682.00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21007</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计划生育事务</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21013</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医疗救助</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543.00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543.00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2101301</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城乡医疗救助</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543.00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543.00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21014</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优抚对象医疗</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139.00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2101401</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优抚对象医疗补助</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139.00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213</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农林水支出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3007.51</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19.50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2988.01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21305</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扶贫</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3007.51</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19.50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2988.01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2130502</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19.50</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19.50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2130599</w:t>
            </w:r>
          </w:p>
        </w:tc>
        <w:tc>
          <w:tcPr>
            <w:tcW w:w="2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其他扶贫支出</w:t>
            </w:r>
          </w:p>
        </w:tc>
        <w:tc>
          <w:tcPr>
            <w:tcW w:w="1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2988.01</w:t>
            </w:r>
          </w:p>
        </w:tc>
        <w:tc>
          <w:tcPr>
            <w:tcW w:w="16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2988.01</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无极县民政局</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808.41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429.64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296.05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42.31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32.51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85.74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kern w:val="0"/>
                <w:sz w:val="16"/>
                <w:szCs w:val="16"/>
              </w:rPr>
              <w:t>19.50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124.28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kern w:val="0"/>
                <w:sz w:val="16"/>
                <w:szCs w:val="16"/>
              </w:rPr>
              <w:t>19.</w:t>
            </w:r>
            <w:r>
              <w:rPr>
                <w:rFonts w:hint="eastAsia" w:ascii="宋体" w:hAnsi="宋体" w:cs="宋体"/>
                <w:color w:val="000000"/>
                <w:sz w:val="16"/>
                <w:szCs w:val="16"/>
              </w:rPr>
              <w:t>50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27.91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14.64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49.22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10.18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0.93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3.60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130.88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23.86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16.94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70.41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34.70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53.97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42.53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102.89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24.17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71.76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5.52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10.85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16.88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42.99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862.39</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449.14</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部门：无极县民政局</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5.90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5.90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5.90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5.52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5.52</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5.52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721"/>
        <w:gridCol w:w="427"/>
        <w:gridCol w:w="2298"/>
        <w:gridCol w:w="810"/>
        <w:gridCol w:w="914"/>
        <w:gridCol w:w="758"/>
        <w:gridCol w:w="621"/>
        <w:gridCol w:w="914"/>
        <w:gridCol w:w="910"/>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29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72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3108"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14"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7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2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14"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1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43" w:hRule="atLeast"/>
        </w:trPr>
        <w:tc>
          <w:tcPr>
            <w:tcW w:w="4743"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部门：无极县民政局</w:t>
            </w:r>
          </w:p>
        </w:tc>
        <w:tc>
          <w:tcPr>
            <w:tcW w:w="914"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7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2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824"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393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1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91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229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91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12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72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1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5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62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1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91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12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72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1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62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12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72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1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62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3933"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3933"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96.00</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387.38</w:t>
            </w: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348.38</w:t>
            </w: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343.38</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135.00</w:t>
            </w:r>
          </w:p>
        </w:tc>
      </w:tr>
      <w:tr>
        <w:tblPrEx>
          <w:tblCellMar>
            <w:top w:w="0" w:type="dxa"/>
            <w:left w:w="0" w:type="dxa"/>
            <w:bottom w:w="0" w:type="dxa"/>
            <w:right w:w="0" w:type="dxa"/>
          </w:tblCellMar>
        </w:tblPrEx>
        <w:trPr>
          <w:trHeight w:val="324" w:hRule="atLeast"/>
        </w:trPr>
        <w:tc>
          <w:tcPr>
            <w:tcW w:w="12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27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城乡社区支出</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53.97</w:t>
            </w: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53.97</w:t>
            </w: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53.97</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12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w:t>
            </w:r>
          </w:p>
        </w:tc>
        <w:tc>
          <w:tcPr>
            <w:tcW w:w="27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 w:val="15"/>
                <w:szCs w:val="15"/>
              </w:rPr>
              <w:t>国有土地使用权出让收入及对应专项债务收入安排的支出</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53.97</w:t>
            </w: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53.97</w:t>
            </w: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53.97</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12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2120809</w:t>
            </w:r>
          </w:p>
        </w:tc>
        <w:tc>
          <w:tcPr>
            <w:tcW w:w="27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 w:val="16"/>
                <w:szCs w:val="16"/>
              </w:rPr>
              <w:t>支付破产或改制企业职工安置费</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53.97</w:t>
            </w: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53.97</w:t>
            </w: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53.97</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12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229</w:t>
            </w:r>
          </w:p>
        </w:tc>
        <w:tc>
          <w:tcPr>
            <w:tcW w:w="27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其他支出</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96.00</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333.41</w:t>
            </w: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294.41</w:t>
            </w: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294.41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135.00</w:t>
            </w:r>
          </w:p>
        </w:tc>
      </w:tr>
      <w:tr>
        <w:tblPrEx>
          <w:tblCellMar>
            <w:top w:w="0" w:type="dxa"/>
            <w:left w:w="0" w:type="dxa"/>
            <w:bottom w:w="0" w:type="dxa"/>
            <w:right w:w="0" w:type="dxa"/>
          </w:tblCellMar>
        </w:tblPrEx>
        <w:trPr>
          <w:trHeight w:val="324" w:hRule="atLeast"/>
        </w:trPr>
        <w:tc>
          <w:tcPr>
            <w:tcW w:w="12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22960</w:t>
            </w:r>
          </w:p>
        </w:tc>
        <w:tc>
          <w:tcPr>
            <w:tcW w:w="27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 w:val="13"/>
                <w:szCs w:val="13"/>
              </w:rPr>
              <w:t>彩票公益金及对应专项债务收入安排的支出</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96.00</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333.41</w:t>
            </w: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294.41</w:t>
            </w: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294.41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135.00</w:t>
            </w:r>
          </w:p>
        </w:tc>
      </w:tr>
      <w:tr>
        <w:tblPrEx>
          <w:tblCellMar>
            <w:top w:w="0" w:type="dxa"/>
            <w:left w:w="0" w:type="dxa"/>
            <w:bottom w:w="0" w:type="dxa"/>
            <w:right w:w="0" w:type="dxa"/>
          </w:tblCellMar>
        </w:tblPrEx>
        <w:trPr>
          <w:trHeight w:val="324" w:hRule="atLeast"/>
        </w:trPr>
        <w:tc>
          <w:tcPr>
            <w:tcW w:w="12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2296002</w:t>
            </w:r>
          </w:p>
        </w:tc>
        <w:tc>
          <w:tcPr>
            <w:tcW w:w="27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 w:val="18"/>
                <w:szCs w:val="18"/>
              </w:rPr>
              <w:t>用于社会福利的彩票公益金支出</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96.00</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97.41</w:t>
            </w: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58.41</w:t>
            </w: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58.41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135.00</w:t>
            </w:r>
          </w:p>
        </w:tc>
      </w:tr>
      <w:tr>
        <w:tblPrEx>
          <w:tblCellMar>
            <w:top w:w="0" w:type="dxa"/>
            <w:left w:w="0" w:type="dxa"/>
            <w:bottom w:w="0" w:type="dxa"/>
            <w:right w:w="0" w:type="dxa"/>
          </w:tblCellMar>
        </w:tblPrEx>
        <w:trPr>
          <w:trHeight w:val="324" w:hRule="atLeast"/>
        </w:trPr>
        <w:tc>
          <w:tcPr>
            <w:tcW w:w="12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2296013</w:t>
            </w:r>
          </w:p>
        </w:tc>
        <w:tc>
          <w:tcPr>
            <w:tcW w:w="27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 w:val="16"/>
                <w:szCs w:val="16"/>
              </w:rPr>
              <w:t>用于城乡医疗救助的彩票公益金支出</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236.00</w:t>
            </w: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236.00</w:t>
            </w: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236.00</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12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27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12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27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12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27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无极县民政局</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注：本部门本年度无国有资本经营预算财政拨款支出情况</w:t>
            </w:r>
            <w:r>
              <w:rPr>
                <w:rFonts w:hint="eastAsia" w:ascii="宋体" w:hAnsi="宋体" w:cs="宋体"/>
                <w:color w:val="000000"/>
                <w:kern w:val="0"/>
                <w:szCs w:val="21"/>
              </w:rPr>
              <w:t>，按要求空表列示</w:t>
            </w:r>
            <w:r>
              <w:rPr>
                <w:rFonts w:hint="eastAsia" w:ascii="宋体" w:hAnsi="宋体" w:cs="宋体"/>
                <w:color w:val="000000"/>
                <w:kern w:val="0"/>
                <w:sz w:val="22"/>
                <w:szCs w:val="22"/>
              </w:rPr>
              <w:t>。</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无极县民政局</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1613.71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1613.71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1613.71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1280.00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1280.00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1280.00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297.71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297.71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297.71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1550.83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1550.83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1550.83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1218.78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1218.78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1218.78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296.05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296.05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296.05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28" o:spid="_x0000_s1028"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pStyle w:val="3"/>
        <w:spacing w:before="0" w:after="0" w:line="580" w:lineRule="exact"/>
        <w:ind w:firstLine="640" w:firstLineChars="200"/>
        <w:rPr>
          <w:rFonts w:ascii="仿宋" w:hAnsi="仿宋" w:eastAsia="仿宋" w:cs="DengXian-Regular"/>
          <w:b w:val="0"/>
          <w:bCs w:val="0"/>
        </w:rPr>
      </w:pPr>
      <w:r>
        <w:rPr>
          <w:rFonts w:hint="eastAsia" w:ascii="仿宋" w:hAnsi="仿宋" w:eastAsia="仿宋" w:cs="DengXian-Regular"/>
          <w:b w:val="0"/>
          <w:bCs w:val="0"/>
        </w:rPr>
        <w:t>本部门2018年度收支总计（含结转和结余）17809.70万元。与2017年度决算相比，收支各增加5784.04万元，增长48.10%，主要原因是扶贫产业项目的增加。</w:t>
      </w:r>
    </w:p>
    <w:p>
      <w:pPr>
        <w:pStyle w:val="3"/>
        <w:spacing w:before="0" w:after="0" w:line="580" w:lineRule="exact"/>
        <w:ind w:firstLine="640" w:firstLineChars="200"/>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本部门2018年度本年收入合计16415.96万元，其中：财政拨款收入16013.26万元，占97.55%；事业收入0万元，占0%；经营收入0万元，占0%；其他收入402.70万元，占2.45%。如图所示：</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240" w:lineRule="auto"/>
        <w:ind w:firstLine="1260" w:firstLineChars="600"/>
        <w:rPr>
          <w:rFonts w:ascii="黑体" w:eastAsia="黑体"/>
        </w:rPr>
      </w:pPr>
      <w:r>
        <w:rPr>
          <w:rFonts w:ascii="黑体" w:eastAsia="黑体"/>
        </w:rPr>
        <w:drawing>
          <wp:inline distT="0" distB="0" distL="0" distR="0">
            <wp:extent cx="4391025" cy="2552700"/>
            <wp:effectExtent l="57150" t="0" r="47625" b="7620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本部门2018年度本年支出合计14690.93万元，其中：基本支出1743.95万元，占11.87%；项目支出12946.98万元，占88.13%；经营支出0万元，占0%。如图所示：</w:t>
      </w:r>
    </w:p>
    <w:p>
      <w:pPr>
        <w:adjustRightInd w:val="0"/>
        <w:snapToGrid w:val="0"/>
        <w:spacing w:after="0" w:line="240" w:lineRule="auto"/>
        <w:ind w:firstLine="1260" w:firstLineChars="600"/>
        <w:rPr>
          <w:rFonts w:ascii="仿宋" w:hAnsi="仿宋" w:eastAsia="仿宋"/>
        </w:rPr>
      </w:pPr>
    </w:p>
    <w:p>
      <w:pPr>
        <w:adjustRightInd w:val="0"/>
        <w:snapToGrid w:val="0"/>
        <w:spacing w:after="0" w:line="240" w:lineRule="auto"/>
        <w:ind w:firstLine="1260" w:firstLineChars="600"/>
      </w:pPr>
      <w:r>
        <w:drawing>
          <wp:inline distT="0" distB="0" distL="0" distR="0">
            <wp:extent cx="4219575" cy="2514600"/>
            <wp:effectExtent l="57150" t="0" r="47625" b="76200"/>
            <wp:docPr id="8"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adjustRightInd w:val="0"/>
        <w:snapToGrid w:val="0"/>
        <w:spacing w:after="0" w:line="240" w:lineRule="auto"/>
        <w:ind w:firstLine="1260" w:firstLineChars="600"/>
        <w:rPr>
          <w:rFonts w:ascii="黑体" w:eastAsia="黑体"/>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宋体" w:hAnsi="宋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本部门2018年度财政拨款本年收入16013.26万元,比2017年度增加4502.48万元，增长39.12%，主要是用于扶贫产业项目；本年支出14690.93万元，增加4014.78万元，增长37.61%，主要是扶贫项目支出的增加。</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其中：一般公共预算财政拨款本年收入15625.88万元，比上年增加4239.82万元，增加37.24%；主要是扶贫产业项目的收入；本年支出13910.13万元，比上年增加3332.70万元，增长31.51%，主要是用于扶贫产业项目的支出。政府性基金预算财政拨款本年收入387.38万元，比上年增加262.66万元，增长210.60%，主要原因是用于城乡医疗救助的彩票公益金；本年支出348.38万元，比上年增加249.66万元，增长252.90%，主要是用于城乡医疗救助。</w:t>
      </w: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240" w:lineRule="auto"/>
        <w:ind w:firstLine="640" w:firstLineChars="200"/>
        <w:rPr>
          <w:rFonts w:ascii="仿宋" w:hAnsi="仿宋" w:eastAsia="仿宋" w:cs="DengXian-Regular"/>
          <w:sz w:val="32"/>
          <w:szCs w:val="32"/>
        </w:rPr>
      </w:pPr>
      <w:r>
        <w:rPr>
          <w:rFonts w:ascii="仿宋_GB2312" w:eastAsia="仿宋_GB2312" w:cs="DengXian-Regular"/>
          <w:sz w:val="32"/>
          <w:szCs w:val="32"/>
        </w:rPr>
        <w:drawing>
          <wp:inline distT="0" distB="0" distL="0" distR="0">
            <wp:extent cx="3959225" cy="2311400"/>
            <wp:effectExtent l="57150" t="0" r="41275" b="88900"/>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财政拨款本年收入16013.26万元，完成年初预算的103.34%,比年初预算增加518.26万元，决算数大于预算数主要原因是扶贫资金增长较多；本年支出14690.93万元，完成年初预算的94.81%,比年初预算减少884.07万元，决算数小于预算数主要原因是主要是本部门认真贯彻落实中央八项规定精神和厉行节约要求，从严控制“三公经费”开支，全年实际支出比预算有所节约。</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其中，一般公共预算财政拨款本年收入15625.88万元，完成年初预算103.18%，比年初预算增加480.88万元，主要是扶贫产业项目的增加；支出13910.13万元，完成年初预算91.85%，比年初预算减少1234.87万元，主要是本部门认真贯彻落实中央八项规定精神和厉行节约要求，减少开支，全年实际支出比预算有所节约。政府性基金预算财政拨款本年收入387.38万元，完成年初预算110.68%，比年初预算增加37.38万元，主要是用于城乡医疗救助的彩票公益金的增加；支出348.38万元，完成年初预算99.54%，比年初预算减少1.62万元，主要是用于社会福利的彩票公益金的支出有所减少。</w:t>
      </w:r>
    </w:p>
    <w:p>
      <w:pPr>
        <w:adjustRightInd w:val="0"/>
        <w:snapToGrid w:val="0"/>
        <w:spacing w:after="0" w:line="580" w:lineRule="exact"/>
        <w:ind w:firstLine="640" w:firstLineChars="200"/>
        <w:rPr>
          <w:rFonts w:ascii="仿宋" w:hAnsi="仿宋" w:eastAsia="仿宋"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r>
        <w:rPr>
          <w:rFonts w:ascii="仿宋_GB2312" w:eastAsia="仿宋_GB2312" w:cs="DengXian-Regular"/>
          <w:sz w:val="32"/>
          <w:szCs w:val="32"/>
        </w:rPr>
        <w:drawing>
          <wp:inline distT="0" distB="0" distL="0" distR="0">
            <wp:extent cx="4572000" cy="3486150"/>
            <wp:effectExtent l="57150" t="0" r="57150" b="76200"/>
            <wp:docPr id="11"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adjustRightInd w:val="0"/>
        <w:snapToGrid w:val="0"/>
        <w:spacing w:after="0" w:line="240" w:lineRule="auto"/>
        <w:rPr>
          <w:rFonts w:ascii="仿宋_GB2312" w:eastAsia="仿宋_GB2312" w:cs="DengXian-Regular"/>
          <w:sz w:val="32"/>
          <w:szCs w:val="32"/>
          <w:highlight w:val="yellow"/>
        </w:rPr>
      </w:pPr>
    </w:p>
    <w:p>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 w:hAnsi="仿宋" w:eastAsia="仿宋" w:cs="DengXian-Bold"/>
          <w:b/>
          <w:bCs/>
          <w:sz w:val="32"/>
          <w:szCs w:val="32"/>
        </w:rPr>
      </w:pPr>
      <w:r>
        <w:rPr>
          <w:rFonts w:hint="eastAsia" w:ascii="仿宋" w:hAnsi="仿宋" w:eastAsia="仿宋" w:cs="DengXian-Regular"/>
          <w:sz w:val="32"/>
          <w:szCs w:val="32"/>
        </w:rPr>
        <w:t>2018 年度财政拨款支出14690.93万元，主要用于以下方面：一般公共服务（类）支出0万元，占0%；公共安全（类）支出0万元，占0%；教育（类）支出0万元，占0%；科学技术（类）支出0万元，占0%；社会保障和就业（类）支出 10652.44万元，占72.51%；住房保障（类）支出0万元，占0%；医疗卫生与计划生育（类）支出682.60万元，占4.65%；城乡社区（类）支出53.97万元，占0.37%；农林水（类）支出3007.51万元，占20.47%；其他支出294.41万元，占2%。</w:t>
      </w:r>
    </w:p>
    <w:p>
      <w:pPr>
        <w:adjustRightInd w:val="0"/>
        <w:snapToGrid w:val="0"/>
        <w:spacing w:after="0" w:line="240" w:lineRule="auto"/>
      </w:pPr>
      <w:r>
        <w:rPr>
          <w:rFonts w:hint="eastAsia" w:ascii="仿宋" w:hAnsi="仿宋" w:eastAsia="仿宋"/>
        </w:rPr>
        <w:t xml:space="preserve">                     </w:t>
      </w:r>
      <w:r>
        <w:drawing>
          <wp:inline distT="0" distB="0" distL="0" distR="0">
            <wp:extent cx="5934075" cy="3295650"/>
            <wp:effectExtent l="57150" t="0" r="47625" b="76200"/>
            <wp:docPr id="24"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2018 年度一般公共预算财政拨款基本支出1311.53万元，其中：人员经费862.39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449.14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 “三公”经费支出共计5.52万元，较年初预算减少0.38万元，降低6.44%，主要是认真贯彻落实中央八项规定精神和厉行节约要求，从严控制“三公”经费开支，全年实际支出比预算有所节约。具体情况如下：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无增减变化，主要是未发生因公出国（境）费支出。</w:t>
      </w:r>
    </w:p>
    <w:p>
      <w:pPr>
        <w:adjustRightInd w:val="0"/>
        <w:snapToGrid w:val="0"/>
        <w:spacing w:after="0" w:line="580" w:lineRule="exact"/>
        <w:ind w:firstLine="643" w:firstLineChars="200"/>
        <w:rPr>
          <w:rFonts w:ascii="仿宋" w:hAnsi="仿宋" w:eastAsia="仿宋" w:cs="DengXian-Bold"/>
          <w:b/>
          <w:bCs/>
          <w:sz w:val="32"/>
          <w:szCs w:val="32"/>
        </w:rPr>
      </w:pPr>
      <w:r>
        <w:rPr>
          <w:rFonts w:hint="eastAsia" w:ascii="仿宋_GB2312" w:eastAsia="仿宋_GB2312" w:cs="DengXian-Regular"/>
          <w:b/>
          <w:bCs/>
          <w:sz w:val="32"/>
          <w:szCs w:val="32"/>
        </w:rPr>
        <w:t>（二）公务用车购置及运行维护费支出5.52万元。</w:t>
      </w:r>
      <w:r>
        <w:rPr>
          <w:rFonts w:hint="eastAsia" w:ascii="仿宋" w:hAnsi="仿宋" w:eastAsia="仿宋" w:cs="DengXian-Regular"/>
          <w:sz w:val="32"/>
          <w:szCs w:val="32"/>
        </w:rPr>
        <w:t>本部门2018年度公务用车购置及运行维护费较年初预算减少0.38万元，降低6.44%,主要是从严控制“三公”经费开支，全年实际支出比预算有所节约。其中：</w:t>
      </w:r>
    </w:p>
    <w:p>
      <w:pPr>
        <w:adjustRightInd w:val="0"/>
        <w:snapToGrid w:val="0"/>
        <w:spacing w:after="0" w:line="580" w:lineRule="exact"/>
        <w:ind w:firstLine="643" w:firstLineChars="200"/>
        <w:rPr>
          <w:rFonts w:ascii="仿宋" w:hAnsi="仿宋" w:eastAsia="仿宋" w:cs="DengXian-Regular"/>
          <w:color w:val="000000" w:themeColor="text1"/>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本部门2018年度公务用车购置量0辆，发生“公务用车购置”经费支出0万元。公务用车购置费支出较年初预算增加0万元，增长0%,无增减变化</w:t>
      </w:r>
      <w:r>
        <w:rPr>
          <w:rFonts w:hint="eastAsia" w:ascii="仿宋" w:hAnsi="仿宋" w:eastAsia="仿宋" w:cs="DengXian-Regular"/>
          <w:color w:val="000000"/>
          <w:sz w:val="32"/>
          <w:szCs w:val="32"/>
        </w:rPr>
        <w:t>，与年初预算持平</w:t>
      </w:r>
      <w:r>
        <w:rPr>
          <w:rFonts w:hint="eastAsia" w:ascii="仿宋_GB2312" w:eastAsia="仿宋_GB2312" w:cs="DengXian-Regular"/>
          <w:sz w:val="32"/>
          <w:szCs w:val="32"/>
        </w:rPr>
        <w:t>，主要是</w:t>
      </w:r>
      <w:r>
        <w:rPr>
          <w:rFonts w:hint="eastAsia" w:ascii="仿宋" w:hAnsi="仿宋" w:eastAsia="仿宋" w:cs="DengXian-Regular"/>
          <w:color w:val="000000"/>
          <w:sz w:val="32"/>
          <w:szCs w:val="32"/>
        </w:rPr>
        <w:t>未发生“公务用车购置”经费支出。</w:t>
      </w:r>
    </w:p>
    <w:p>
      <w:pPr>
        <w:adjustRightInd w:val="0"/>
        <w:snapToGrid w:val="0"/>
        <w:spacing w:after="0" w:line="580" w:lineRule="exact"/>
        <w:ind w:firstLine="643" w:firstLineChars="200"/>
        <w:rPr>
          <w:rFonts w:ascii="仿宋" w:hAnsi="仿宋" w:eastAsia="仿宋" w:cs="DengXian-Regular"/>
          <w:sz w:val="32"/>
          <w:szCs w:val="32"/>
        </w:rPr>
      </w:pPr>
      <w:r>
        <w:rPr>
          <w:rFonts w:hint="eastAsia" w:ascii="仿宋_GB2312" w:eastAsia="仿宋_GB2312" w:cs="DengXian-Regular"/>
          <w:b/>
          <w:sz w:val="32"/>
          <w:szCs w:val="32"/>
        </w:rPr>
        <w:t>公务用车</w:t>
      </w:r>
      <w:r>
        <w:rPr>
          <w:rFonts w:hint="eastAsia" w:ascii="仿宋_GB2312" w:eastAsia="仿宋_GB2312" w:cs="DengXian-Regular"/>
          <w:b/>
          <w:bCs/>
          <w:sz w:val="32"/>
          <w:szCs w:val="32"/>
        </w:rPr>
        <w:t>运行</w:t>
      </w:r>
      <w:r>
        <w:rPr>
          <w:rFonts w:hint="eastAsia" w:ascii="仿宋_GB2312" w:eastAsia="仿宋_GB2312" w:cs="DengXian-Regular"/>
          <w:b/>
          <w:sz w:val="32"/>
          <w:szCs w:val="32"/>
        </w:rPr>
        <w:t>维护费：</w:t>
      </w:r>
      <w:r>
        <w:rPr>
          <w:rFonts w:hint="eastAsia" w:ascii="仿宋" w:hAnsi="仿宋" w:eastAsia="仿宋" w:cs="DengXian-Regular"/>
          <w:sz w:val="32"/>
          <w:szCs w:val="32"/>
        </w:rPr>
        <w:t>本部门2018年度单位公务用车保有量2辆。公车运行维护费5.52万元，支出较年初预算减少0.38万元，降低6.44%,主要是认真贯彻落实中央</w:t>
      </w:r>
      <w:bookmarkStart w:id="0" w:name="_GoBack"/>
      <w:bookmarkEnd w:id="0"/>
      <w:r>
        <w:rPr>
          <w:rFonts w:hint="eastAsia" w:ascii="仿宋" w:hAnsi="仿宋" w:eastAsia="仿宋" w:cs="DengXian-Regular"/>
          <w:sz w:val="32"/>
          <w:szCs w:val="32"/>
        </w:rPr>
        <w:t>八项规定精神和厉行节约要求，从严控制“三公”经费开支，全年实际支出比预算有所节约。</w:t>
      </w:r>
    </w:p>
    <w:p>
      <w:pPr>
        <w:adjustRightInd w:val="0"/>
        <w:snapToGrid w:val="0"/>
        <w:spacing w:after="0" w:line="580" w:lineRule="exact"/>
        <w:ind w:firstLine="643" w:firstLineChars="200"/>
        <w:rPr>
          <w:rFonts w:ascii="仿宋" w:hAnsi="仿宋" w:eastAsia="仿宋" w:cs="DengXian-Regular"/>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 w:hAnsi="仿宋" w:eastAsia="仿宋" w:cs="DengXian-Regular"/>
          <w:sz w:val="32"/>
          <w:szCs w:val="32"/>
        </w:rPr>
        <w:t>本部门2018年度公务接待共0批次、0人次。</w:t>
      </w:r>
      <w:r>
        <w:rPr>
          <w:rFonts w:hint="eastAsia" w:ascii="仿宋_GB2312" w:eastAsia="仿宋_GB2312" w:cs="DengXian-Regular"/>
          <w:sz w:val="32"/>
          <w:szCs w:val="32"/>
        </w:rPr>
        <w:t>公务接待费支出较年初预算增加0万元，增长0%，无增减变化，</w:t>
      </w:r>
      <w:r>
        <w:rPr>
          <w:rFonts w:hint="eastAsia" w:ascii="仿宋" w:hAnsi="仿宋" w:eastAsia="仿宋" w:cs="DengXian-Regular"/>
          <w:sz w:val="32"/>
          <w:szCs w:val="32"/>
        </w:rPr>
        <w:t>公务接待费支出与年初预算持平，主要未发生公务接待费支出。</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 w:hAnsi="仿宋" w:eastAsia="仿宋" w:cs="DengXian-Regular"/>
          <w:color w:val="FF0000"/>
          <w:sz w:val="32"/>
          <w:szCs w:val="32"/>
        </w:rPr>
      </w:pPr>
      <w:r>
        <w:rPr>
          <w:rFonts w:hint="eastAsia" w:ascii="仿宋" w:hAnsi="仿宋" w:eastAsia="仿宋"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w:t>
      </w:r>
      <w:r>
        <w:rPr>
          <w:rFonts w:hint="eastAsia" w:ascii="仿宋" w:hAnsi="仿宋" w:eastAsia="仿宋" w:cs="DengXian-Regular"/>
          <w:color w:val="000000" w:themeColor="text1"/>
          <w:sz w:val="32"/>
          <w:szCs w:val="32"/>
        </w:rPr>
        <w:t>良好。</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二）预算项目绩效评价开展情况。根据预算绩效管理要求，本单位组织对2018年度一般公共预算项目支出全面开展绩效自评，涉及困难群众基本生活补助救助、城乡医疗救助、退役安置、优抚对象抚恤等22个项目，涉及资金12946.98万元。从评价情况看，评价结果为优秀的项目有6个，良好的项目有14个，一般的项目有2个。</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三）预算项目绩效自评选例。本单位2018年中央财政困难群众基本生活救助补助项目绩效自评：根据年初设定的绩效目标，困难群众基本生活救助补助项目自评结果为良好。项目全年预算数为2367万元，执行数2131.88万元，完成预算的90.07%。主要产出和效果是保障了困难群众的基本生活，一定程度上缓解经济压力。未发现其他问题。</w:t>
      </w:r>
    </w:p>
    <w:p>
      <w:pPr>
        <w:pStyle w:val="3"/>
        <w:spacing w:before="0" w:after="0" w:line="580" w:lineRule="exact"/>
        <w:ind w:firstLine="643" w:firstLineChars="200"/>
        <w:rPr>
          <w:rFonts w:ascii="黑体" w:eastAsia="黑体"/>
          <w:szCs w:val="40"/>
        </w:rPr>
      </w:pPr>
      <w:r>
        <w:rPr>
          <w:rFonts w:hint="eastAsia" w:ascii="黑体" w:eastAsia="黑体"/>
          <w:szCs w:val="4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本部门2018年度机关运行经费支出205.58万元，比年初预算数增加148.98万元，增加263.22%。主要原因是其他民政事业费的增加，基本支出增加。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 w:hAnsi="仿宋" w:eastAsia="仿宋" w:cs="DengXian-Regular"/>
          <w:sz w:val="32"/>
          <w:szCs w:val="32"/>
        </w:rPr>
      </w:pPr>
      <w:r>
        <w:rPr>
          <w:rFonts w:hint="eastAsia" w:ascii="仿宋" w:hAnsi="仿宋" w:eastAsia="仿宋" w:cs="DengXian-Regular"/>
          <w:sz w:val="32"/>
          <w:szCs w:val="32"/>
        </w:rPr>
        <w:t>本部门2018年度政府采购支出总额1550.83万元，从采购类型来看，</w:t>
      </w:r>
      <w:r>
        <w:rPr>
          <w:rFonts w:ascii="仿宋" w:hAnsi="仿宋" w:eastAsia="仿宋" w:cs="仿宋_GB2312"/>
          <w:color w:val="000000"/>
          <w:kern w:val="0"/>
          <w:sz w:val="32"/>
          <w:szCs w:val="32"/>
        </w:rPr>
        <w:t>政府采购货物支出</w:t>
      </w:r>
      <w:r>
        <w:rPr>
          <w:rFonts w:hint="eastAsia" w:ascii="仿宋" w:hAnsi="仿宋" w:eastAsia="仿宋" w:cs="仿宋_GB2312"/>
          <w:color w:val="000000"/>
          <w:kern w:val="0"/>
          <w:sz w:val="32"/>
          <w:szCs w:val="32"/>
        </w:rPr>
        <w:t>1218.78</w:t>
      </w:r>
      <w:r>
        <w:rPr>
          <w:rFonts w:ascii="仿宋" w:hAnsi="仿宋" w:eastAsia="仿宋" w:cs="仿宋_GB2312"/>
          <w:color w:val="000000"/>
          <w:kern w:val="0"/>
          <w:sz w:val="32"/>
          <w:szCs w:val="32"/>
        </w:rPr>
        <w:t>万元、政府采购工程支出</w:t>
      </w:r>
      <w:r>
        <w:rPr>
          <w:rFonts w:hint="eastAsia" w:ascii="仿宋" w:hAnsi="仿宋" w:eastAsia="仿宋" w:cs="仿宋_GB2312"/>
          <w:color w:val="000000"/>
          <w:kern w:val="0"/>
          <w:sz w:val="32"/>
          <w:szCs w:val="32"/>
        </w:rPr>
        <w:t>296.05</w:t>
      </w:r>
      <w:r>
        <w:rPr>
          <w:rFonts w:ascii="仿宋" w:hAnsi="仿宋" w:eastAsia="仿宋" w:cs="仿宋_GB2312"/>
          <w:color w:val="000000"/>
          <w:kern w:val="0"/>
          <w:sz w:val="32"/>
          <w:szCs w:val="32"/>
        </w:rPr>
        <w:t>万元、政府采购服务支出</w:t>
      </w:r>
      <w:r>
        <w:rPr>
          <w:rFonts w:hint="eastAsia" w:ascii="仿宋" w:hAnsi="仿宋" w:eastAsia="仿宋" w:cs="仿宋_GB2312"/>
          <w:color w:val="000000"/>
          <w:kern w:val="0"/>
          <w:sz w:val="32"/>
          <w:szCs w:val="32"/>
        </w:rPr>
        <w:t>36.00</w:t>
      </w:r>
      <w:r>
        <w:rPr>
          <w:rFonts w:ascii="仿宋" w:hAnsi="仿宋" w:eastAsia="仿宋" w:cs="仿宋_GB2312"/>
          <w:color w:val="000000"/>
          <w:kern w:val="0"/>
          <w:sz w:val="32"/>
          <w:szCs w:val="32"/>
        </w:rPr>
        <w:t>万元。</w:t>
      </w:r>
      <w:r>
        <w:rPr>
          <w:rFonts w:ascii="仿宋_GB2312" w:hAnsi="仿宋_GB2312" w:eastAsia="仿宋_GB2312" w:cs="仿宋_GB2312"/>
          <w:color w:val="000000"/>
          <w:kern w:val="0"/>
          <w:sz w:val="32"/>
          <w:szCs w:val="32"/>
        </w:rPr>
        <w:t>授予中小企业合同金</w:t>
      </w:r>
      <w:r>
        <w:rPr>
          <w:rFonts w:hint="eastAsia" w:ascii="仿宋_GB2312" w:hAnsi="仿宋_GB2312" w:eastAsia="仿宋_GB2312" w:cs="仿宋_GB2312"/>
          <w:color w:val="000000"/>
          <w:kern w:val="0"/>
          <w:sz w:val="32"/>
          <w:szCs w:val="32"/>
        </w:rPr>
        <w:t>1550.83</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截至2018年12月31日，本部门共有车辆15辆，比上年增加0辆，与上年持平。其中，副部（省）级及以上领导用车0辆，主要领导干部用车0辆，机要通信用车0辆，应急保障用车1辆，执法执勤用车0辆，特种专业技术用车13辆，离退休干部用车0辆，其他用车1辆，其他用车主要是用于单位公务；单位价值</w:t>
      </w:r>
      <w:r>
        <w:rPr>
          <w:rFonts w:hint="eastAsia" w:ascii="仿宋" w:hAnsi="仿宋" w:eastAsia="仿宋" w:cs="TimesNewRomanPSMT"/>
          <w:sz w:val="32"/>
          <w:szCs w:val="32"/>
        </w:rPr>
        <w:t>50</w:t>
      </w:r>
      <w:r>
        <w:rPr>
          <w:rFonts w:hint="eastAsia" w:ascii="仿宋" w:hAnsi="仿宋" w:eastAsia="仿宋" w:cs="DengXian-Regular"/>
          <w:sz w:val="32"/>
          <w:szCs w:val="32"/>
        </w:rPr>
        <w:t>万元以上通用设备0台（套），比上年增加0套，主要是未购置50万元以上通用设备，单位价值</w:t>
      </w:r>
      <w:r>
        <w:rPr>
          <w:rFonts w:hint="eastAsia" w:ascii="仿宋" w:hAnsi="仿宋" w:eastAsia="仿宋" w:cs="TimesNewRomanPSMT"/>
          <w:sz w:val="32"/>
          <w:szCs w:val="32"/>
        </w:rPr>
        <w:t>100</w:t>
      </w:r>
      <w:r>
        <w:rPr>
          <w:rFonts w:hint="eastAsia" w:ascii="仿宋" w:hAnsi="仿宋" w:eastAsia="仿宋" w:cs="DengXian-Regular"/>
          <w:sz w:val="32"/>
          <w:szCs w:val="32"/>
        </w:rPr>
        <w:t>万元以上专用设备0台（套），比上年增加0套，主要是未购置100万元以上通用设备。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1、本部门2018年度国有资本经营财产拨款无收支及结转结余情况，故国有资本经营预算财政拨款支出决算表以空表列示。</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3492788-395F-4ACD-8A60-FDCCC8616D1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77F865F4-A42D-455C-9824-8064B9192154}"/>
  </w:font>
  <w:font w:name="楷体">
    <w:panose1 w:val="02010609060101010101"/>
    <w:charset w:val="86"/>
    <w:family w:val="modern"/>
    <w:pitch w:val="default"/>
    <w:sig w:usb0="800002BF" w:usb1="38CF7CFA" w:usb2="00000016" w:usb3="00000000" w:csb0="00040001" w:csb1="00000000"/>
    <w:embedRegular r:id="rId3" w:fontKey="{9AE2021F-DBC0-40DA-84AD-8AA8A8765F85}"/>
  </w:font>
  <w:font w:name="楷体_GB2312">
    <w:panose1 w:val="02010609030101010101"/>
    <w:charset w:val="86"/>
    <w:family w:val="modern"/>
    <w:pitch w:val="default"/>
    <w:sig w:usb0="00000001" w:usb1="080E0000" w:usb2="00000000" w:usb3="00000000" w:csb0="00040000" w:csb1="00000000"/>
    <w:embedRegular r:id="rId4" w:fontKey="{E1ADFB77-DC14-4D3B-8FA3-9BC6BDB698AD}"/>
  </w:font>
  <w:font w:name="仿宋_GB2312">
    <w:panose1 w:val="02010609030101010101"/>
    <w:charset w:val="86"/>
    <w:family w:val="modern"/>
    <w:pitch w:val="default"/>
    <w:sig w:usb0="00000001" w:usb1="080E0000" w:usb2="00000000" w:usb3="00000000" w:csb0="00040000" w:csb1="00000000"/>
    <w:embedRegular r:id="rId5" w:fontKey="{F9D7F081-B058-487C-A457-930DA21DCBB6}"/>
  </w:font>
  <w:font w:name="仿宋">
    <w:panose1 w:val="02010609060101010101"/>
    <w:charset w:val="86"/>
    <w:family w:val="modern"/>
    <w:pitch w:val="default"/>
    <w:sig w:usb0="800002BF" w:usb1="38CF7CFA" w:usb2="00000016" w:usb3="00000000" w:csb0="00040001" w:csb1="00000000"/>
    <w:embedRegular r:id="rId6" w:fontKey="{A7056C16-1677-4568-A229-D542A453C528}"/>
  </w:font>
  <w:font w:name="ArialUnicodeMS">
    <w:altName w:val="Malgun Gothic"/>
    <w:panose1 w:val="00000000000000000000"/>
    <w:charset w:val="81"/>
    <w:family w:val="auto"/>
    <w:pitch w:val="default"/>
    <w:sig w:usb0="00000000" w:usb1="00000000" w:usb2="00000010" w:usb3="00000000" w:csb0="00080001" w:csb1="00000000"/>
    <w:embedRegular r:id="rId7" w:fontKey="{FCC3DDEF-9585-4AA9-94F9-1E424596535B}"/>
  </w:font>
  <w:font w:name="MS-UIGothic,Bold">
    <w:altName w:val="Malgun Gothic"/>
    <w:panose1 w:val="00000000000000000000"/>
    <w:charset w:val="81"/>
    <w:family w:val="auto"/>
    <w:pitch w:val="default"/>
    <w:sig w:usb0="00000000" w:usb1="00000000" w:usb2="00000010" w:usb3="00000000" w:csb0="00080000" w:csb1="00000000"/>
    <w:embedRegular r:id="rId8" w:fontKey="{4ABD3F6F-A1BF-423B-8125-42D25A88EF48}"/>
  </w:font>
  <w:font w:name="Arial">
    <w:panose1 w:val="020B0604020202020204"/>
    <w:charset w:val="00"/>
    <w:family w:val="swiss"/>
    <w:pitch w:val="default"/>
    <w:sig w:usb0="E0002AFF" w:usb1="C0007843" w:usb2="00000009" w:usb3="00000000" w:csb0="400001FF" w:csb1="FFFF0000"/>
    <w:embedRegular r:id="rId9" w:fontKey="{85E03E7E-1190-465B-9780-CA239D9EC78E}"/>
  </w:font>
  <w:font w:name="DengXian-Regular">
    <w:altName w:val="宋体"/>
    <w:panose1 w:val="00000000000000000000"/>
    <w:charset w:val="86"/>
    <w:family w:val="auto"/>
    <w:pitch w:val="default"/>
    <w:sig w:usb0="00000000" w:usb1="00000000" w:usb2="00000010" w:usb3="00000000" w:csb0="00040001" w:csb1="00000000"/>
    <w:embedRegular r:id="rId10" w:fontKey="{1DF347DE-9601-4F27-98CF-13F794FB0B5D}"/>
  </w:font>
  <w:font w:name="DengXian-Bold">
    <w:altName w:val="宋体"/>
    <w:panose1 w:val="00000000000000000000"/>
    <w:charset w:val="86"/>
    <w:family w:val="auto"/>
    <w:pitch w:val="default"/>
    <w:sig w:usb0="00000000" w:usb1="00000000" w:usb2="00000010" w:usb3="00000000" w:csb0="00040001" w:csb1="00000000"/>
    <w:embedRegular r:id="rId11" w:fontKey="{9E822F78-836A-49D9-9DCB-1A9E0916D80B}"/>
  </w:font>
  <w:font w:name="TimesNewRomanPSMT">
    <w:altName w:val="Arial"/>
    <w:panose1 w:val="00000000000000000000"/>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C11C1C"/>
    <w:multiLevelType w:val="singleLevel"/>
    <w:tmpl w:val="92C11C1C"/>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C1413"/>
    <w:rsid w:val="00024E7F"/>
    <w:rsid w:val="000475A0"/>
    <w:rsid w:val="000838C3"/>
    <w:rsid w:val="000B2446"/>
    <w:rsid w:val="000B2F41"/>
    <w:rsid w:val="000D7C65"/>
    <w:rsid w:val="000E2F81"/>
    <w:rsid w:val="00117946"/>
    <w:rsid w:val="00117E2C"/>
    <w:rsid w:val="00146C47"/>
    <w:rsid w:val="00152FB8"/>
    <w:rsid w:val="00176658"/>
    <w:rsid w:val="0018239E"/>
    <w:rsid w:val="001B3410"/>
    <w:rsid w:val="001C030D"/>
    <w:rsid w:val="001C4A84"/>
    <w:rsid w:val="001E5902"/>
    <w:rsid w:val="00221B5E"/>
    <w:rsid w:val="00224E91"/>
    <w:rsid w:val="00233705"/>
    <w:rsid w:val="002367B8"/>
    <w:rsid w:val="00275CA2"/>
    <w:rsid w:val="002A65A5"/>
    <w:rsid w:val="002C04C4"/>
    <w:rsid w:val="002D08B0"/>
    <w:rsid w:val="002D1AE3"/>
    <w:rsid w:val="002F2ECE"/>
    <w:rsid w:val="00341C8F"/>
    <w:rsid w:val="0035463A"/>
    <w:rsid w:val="00391D9D"/>
    <w:rsid w:val="00391E1D"/>
    <w:rsid w:val="003B652D"/>
    <w:rsid w:val="003B6C51"/>
    <w:rsid w:val="003C1413"/>
    <w:rsid w:val="003C549F"/>
    <w:rsid w:val="003D5A16"/>
    <w:rsid w:val="003E7DB3"/>
    <w:rsid w:val="003F7EC9"/>
    <w:rsid w:val="00431175"/>
    <w:rsid w:val="00485834"/>
    <w:rsid w:val="004B6E37"/>
    <w:rsid w:val="004C32BA"/>
    <w:rsid w:val="004F6FA5"/>
    <w:rsid w:val="00502871"/>
    <w:rsid w:val="005272D6"/>
    <w:rsid w:val="00556BA4"/>
    <w:rsid w:val="00574E0F"/>
    <w:rsid w:val="00575922"/>
    <w:rsid w:val="005A6C90"/>
    <w:rsid w:val="005E3FB0"/>
    <w:rsid w:val="005F4B66"/>
    <w:rsid w:val="005F5208"/>
    <w:rsid w:val="00636B90"/>
    <w:rsid w:val="006408E7"/>
    <w:rsid w:val="00641318"/>
    <w:rsid w:val="0064405D"/>
    <w:rsid w:val="00685302"/>
    <w:rsid w:val="00695557"/>
    <w:rsid w:val="006D4EA7"/>
    <w:rsid w:val="006D6927"/>
    <w:rsid w:val="0070012A"/>
    <w:rsid w:val="0070664B"/>
    <w:rsid w:val="007071B8"/>
    <w:rsid w:val="0073465E"/>
    <w:rsid w:val="007414DE"/>
    <w:rsid w:val="0074209C"/>
    <w:rsid w:val="00760360"/>
    <w:rsid w:val="007905A9"/>
    <w:rsid w:val="007A5207"/>
    <w:rsid w:val="007A7775"/>
    <w:rsid w:val="007E040A"/>
    <w:rsid w:val="007E5500"/>
    <w:rsid w:val="007F055B"/>
    <w:rsid w:val="008023BF"/>
    <w:rsid w:val="0080644C"/>
    <w:rsid w:val="00811C2F"/>
    <w:rsid w:val="00833D46"/>
    <w:rsid w:val="00840A97"/>
    <w:rsid w:val="008C0149"/>
    <w:rsid w:val="008C689C"/>
    <w:rsid w:val="008D5DED"/>
    <w:rsid w:val="008E25CA"/>
    <w:rsid w:val="008F34FC"/>
    <w:rsid w:val="0090446A"/>
    <w:rsid w:val="009136C2"/>
    <w:rsid w:val="00935058"/>
    <w:rsid w:val="00944CD7"/>
    <w:rsid w:val="009831B2"/>
    <w:rsid w:val="009A1ABE"/>
    <w:rsid w:val="009E21A4"/>
    <w:rsid w:val="009F22C6"/>
    <w:rsid w:val="00A07E50"/>
    <w:rsid w:val="00A15397"/>
    <w:rsid w:val="00A35CE0"/>
    <w:rsid w:val="00A40E32"/>
    <w:rsid w:val="00A4462E"/>
    <w:rsid w:val="00A44AA4"/>
    <w:rsid w:val="00A61623"/>
    <w:rsid w:val="00A84687"/>
    <w:rsid w:val="00AB0A0E"/>
    <w:rsid w:val="00AD3B6E"/>
    <w:rsid w:val="00AF093B"/>
    <w:rsid w:val="00B1751F"/>
    <w:rsid w:val="00B56722"/>
    <w:rsid w:val="00B66FBC"/>
    <w:rsid w:val="00B74D39"/>
    <w:rsid w:val="00B83F04"/>
    <w:rsid w:val="00B91DA4"/>
    <w:rsid w:val="00BB0EEE"/>
    <w:rsid w:val="00BB13C4"/>
    <w:rsid w:val="00C12630"/>
    <w:rsid w:val="00C13252"/>
    <w:rsid w:val="00C34562"/>
    <w:rsid w:val="00C3774E"/>
    <w:rsid w:val="00C57456"/>
    <w:rsid w:val="00C65387"/>
    <w:rsid w:val="00C82CE7"/>
    <w:rsid w:val="00C87FAB"/>
    <w:rsid w:val="00C91FF7"/>
    <w:rsid w:val="00C94E53"/>
    <w:rsid w:val="00CD13CE"/>
    <w:rsid w:val="00D0048E"/>
    <w:rsid w:val="00D23E7A"/>
    <w:rsid w:val="00D35C27"/>
    <w:rsid w:val="00D61063"/>
    <w:rsid w:val="00D61BF1"/>
    <w:rsid w:val="00DB35AF"/>
    <w:rsid w:val="00DD72D7"/>
    <w:rsid w:val="00DF5B88"/>
    <w:rsid w:val="00E0589E"/>
    <w:rsid w:val="00E241FA"/>
    <w:rsid w:val="00E2595E"/>
    <w:rsid w:val="00E35374"/>
    <w:rsid w:val="00E50C19"/>
    <w:rsid w:val="00E64655"/>
    <w:rsid w:val="00E73081"/>
    <w:rsid w:val="00E856C9"/>
    <w:rsid w:val="00E8744D"/>
    <w:rsid w:val="00EB6A8B"/>
    <w:rsid w:val="00EF38C6"/>
    <w:rsid w:val="00EF428A"/>
    <w:rsid w:val="00F679C7"/>
    <w:rsid w:val="00F7711A"/>
    <w:rsid w:val="00FA0D58"/>
    <w:rsid w:val="00FA56F4"/>
    <w:rsid w:val="00FB4EDA"/>
    <w:rsid w:val="00FD3BD5"/>
    <w:rsid w:val="00FE3DC8"/>
    <w:rsid w:val="01F2604A"/>
    <w:rsid w:val="0225217E"/>
    <w:rsid w:val="03E42C5D"/>
    <w:rsid w:val="04073F84"/>
    <w:rsid w:val="093A0BBD"/>
    <w:rsid w:val="09CE6748"/>
    <w:rsid w:val="0AC27094"/>
    <w:rsid w:val="0B60750A"/>
    <w:rsid w:val="0D780B3A"/>
    <w:rsid w:val="10686488"/>
    <w:rsid w:val="10913B4B"/>
    <w:rsid w:val="10DF728A"/>
    <w:rsid w:val="10F62CE4"/>
    <w:rsid w:val="123262C9"/>
    <w:rsid w:val="1264200E"/>
    <w:rsid w:val="12782E29"/>
    <w:rsid w:val="131C0220"/>
    <w:rsid w:val="13B6230F"/>
    <w:rsid w:val="13FD7098"/>
    <w:rsid w:val="141C5B77"/>
    <w:rsid w:val="146C3014"/>
    <w:rsid w:val="18D8339D"/>
    <w:rsid w:val="18F9305F"/>
    <w:rsid w:val="1A21388F"/>
    <w:rsid w:val="1A570D2F"/>
    <w:rsid w:val="1E25755D"/>
    <w:rsid w:val="1F075768"/>
    <w:rsid w:val="1FD24514"/>
    <w:rsid w:val="221B4C93"/>
    <w:rsid w:val="229A1114"/>
    <w:rsid w:val="26134A0D"/>
    <w:rsid w:val="26957990"/>
    <w:rsid w:val="28FB0B8D"/>
    <w:rsid w:val="2A9870FC"/>
    <w:rsid w:val="2C7D16B4"/>
    <w:rsid w:val="2D2B7942"/>
    <w:rsid w:val="2D46481D"/>
    <w:rsid w:val="2D706539"/>
    <w:rsid w:val="2E5C4734"/>
    <w:rsid w:val="2E733B28"/>
    <w:rsid w:val="2E871807"/>
    <w:rsid w:val="30827051"/>
    <w:rsid w:val="31552826"/>
    <w:rsid w:val="31852B5A"/>
    <w:rsid w:val="32D01238"/>
    <w:rsid w:val="34284338"/>
    <w:rsid w:val="37B92239"/>
    <w:rsid w:val="392240FE"/>
    <w:rsid w:val="3A605B46"/>
    <w:rsid w:val="3D456C3E"/>
    <w:rsid w:val="3DFC59A8"/>
    <w:rsid w:val="3EA258FB"/>
    <w:rsid w:val="3ECF245E"/>
    <w:rsid w:val="3F4A2ED1"/>
    <w:rsid w:val="3FB96314"/>
    <w:rsid w:val="41281DC9"/>
    <w:rsid w:val="441B3988"/>
    <w:rsid w:val="473068AF"/>
    <w:rsid w:val="47825423"/>
    <w:rsid w:val="492D66CB"/>
    <w:rsid w:val="49686991"/>
    <w:rsid w:val="4A0316C1"/>
    <w:rsid w:val="4AAB5A17"/>
    <w:rsid w:val="4B0A0D88"/>
    <w:rsid w:val="4C3066B3"/>
    <w:rsid w:val="4FB47127"/>
    <w:rsid w:val="50711FD4"/>
    <w:rsid w:val="516D73D1"/>
    <w:rsid w:val="52D060A1"/>
    <w:rsid w:val="53A44FAF"/>
    <w:rsid w:val="554F1448"/>
    <w:rsid w:val="594329EC"/>
    <w:rsid w:val="59CA708D"/>
    <w:rsid w:val="5AFE6D48"/>
    <w:rsid w:val="5BEE1540"/>
    <w:rsid w:val="5C7710EC"/>
    <w:rsid w:val="5DE61A5D"/>
    <w:rsid w:val="5DFA5C01"/>
    <w:rsid w:val="5F35102F"/>
    <w:rsid w:val="60253DF6"/>
    <w:rsid w:val="61706FFC"/>
    <w:rsid w:val="62EB5E9F"/>
    <w:rsid w:val="63C04243"/>
    <w:rsid w:val="64150812"/>
    <w:rsid w:val="649C01C7"/>
    <w:rsid w:val="64A24125"/>
    <w:rsid w:val="663013A3"/>
    <w:rsid w:val="674C1603"/>
    <w:rsid w:val="692C0EA5"/>
    <w:rsid w:val="699A3F60"/>
    <w:rsid w:val="6A4978BD"/>
    <w:rsid w:val="6B32301C"/>
    <w:rsid w:val="6CCD02A7"/>
    <w:rsid w:val="6E2F78CD"/>
    <w:rsid w:val="6E8A7528"/>
    <w:rsid w:val="6EC2174D"/>
    <w:rsid w:val="70654104"/>
    <w:rsid w:val="71E35131"/>
    <w:rsid w:val="72902E62"/>
    <w:rsid w:val="73C61104"/>
    <w:rsid w:val="75682E56"/>
    <w:rsid w:val="772B5838"/>
    <w:rsid w:val="776452EA"/>
    <w:rsid w:val="78060474"/>
    <w:rsid w:val="79237544"/>
    <w:rsid w:val="798B3FAD"/>
    <w:rsid w:val="7A4E1629"/>
    <w:rsid w:val="7A9B3BFD"/>
    <w:rsid w:val="7B1F449F"/>
    <w:rsid w:val="7DC663B9"/>
    <w:rsid w:val="7DF03455"/>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019&#24180;&#37096;&#38376;&#20915;&#31639;\&#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019&#24180;&#37096;&#38376;&#20915;&#31639;\&#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018&#24180;&#31038;&#20445;&#31185;&#37096;&#38376;&#20915;&#31639;\&#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019&#24180;&#37096;&#38376;&#20915;&#31639;\&#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019&#24180;&#37096;&#38376;&#20915;&#31639;\&#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55704875285384"/>
          <c:y val="0.906716417910448"/>
        </c:manualLayout>
      </c:layout>
      <c:overlay val="0"/>
    </c:title>
    <c:autoTitleDeleted val="0"/>
    <c:plotArea>
      <c:layout>
        <c:manualLayout>
          <c:layoutTarget val="inner"/>
          <c:xMode val="edge"/>
          <c:yMode val="edge"/>
          <c:x val="0.0943148809218805"/>
          <c:y val="0.0575245818153329"/>
          <c:w val="0.811370238156239"/>
          <c:h val="0.765547851294709"/>
        </c:manualLayout>
      </c:layout>
      <c:pieChart>
        <c:varyColors val="1"/>
        <c:ser>
          <c:idx val="0"/>
          <c:order val="0"/>
          <c:explosion val="0"/>
          <c:dPt>
            <c:idx val="0"/>
            <c:bubble3D val="0"/>
            <c:explosion val="14"/>
          </c:dPt>
          <c:dPt>
            <c:idx val="1"/>
            <c:bubble3D val="0"/>
          </c:dPt>
          <c:dPt>
            <c:idx val="2"/>
            <c:bubble3D val="0"/>
          </c:dPt>
          <c:dPt>
            <c:idx val="3"/>
            <c:bubble3D val="0"/>
          </c:dPt>
          <c:dLbls>
            <c:dLbl>
              <c:idx val="1"/>
              <c:delete val="1"/>
            </c:dLbl>
            <c:dLbl>
              <c:idx val="2"/>
              <c:delete val="1"/>
            </c:dLbl>
            <c:dLbl>
              <c:idx val="3"/>
              <c:layout>
                <c:manualLayout>
                  <c:x val="-0.0883094493882407"/>
                  <c:y val="0.00124378109452736"/>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16415.96</c:v>
                </c:pt>
                <c:pt idx="3">
                  <c:v>402.7</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：支出构成情况（按支出性质）</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236222605357175"/>
          <c:y val="0.823232323232322"/>
        </c:manualLayout>
      </c:layout>
      <c:overlay val="0"/>
    </c:title>
    <c:autoTitleDeleted val="0"/>
    <c:plotArea>
      <c:layout>
        <c:manualLayout>
          <c:layoutTarget val="inner"/>
          <c:xMode val="edge"/>
          <c:yMode val="edge"/>
          <c:x val="0.101627059597234"/>
          <c:y val="0.103243458204088"/>
          <c:w val="0.808785007968814"/>
          <c:h val="0.655154696572023"/>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1743.95</c:v>
                </c:pt>
                <c:pt idx="1">
                  <c:v>12946.98</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1"/>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16013.26</c:v>
                </c:pt>
                <c:pt idx="1">
                  <c:v>14690.93</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11510.78</c:v>
                </c:pt>
                <c:pt idx="1">
                  <c:v>10676.15</c:v>
                </c:pt>
              </c:numCache>
            </c:numRef>
          </c:val>
        </c:ser>
        <c:dLbls>
          <c:showLegendKey val="0"/>
          <c:showVal val="1"/>
          <c:showCatName val="0"/>
          <c:showSerName val="0"/>
          <c:showPercent val="0"/>
          <c:showBubbleSize val="0"/>
        </c:dLbls>
        <c:gapWidth val="75"/>
        <c:axId val="183759232"/>
        <c:axId val="184241152"/>
      </c:barChart>
      <c:catAx>
        <c:axId val="18375923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241152"/>
        <c:crosses val="autoZero"/>
        <c:auto val="1"/>
        <c:lblAlgn val="ctr"/>
        <c:lblOffset val="100"/>
        <c:noMultiLvlLbl val="0"/>
      </c:catAx>
      <c:valAx>
        <c:axId val="18424115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3759232"/>
        <c:crosses val="autoZero"/>
        <c:crossBetween val="between"/>
      </c:valAx>
    </c:plotArea>
    <c:legend>
      <c:legendPos val="b"/>
      <c:layout>
        <c:manualLayout>
          <c:xMode val="edge"/>
          <c:yMode val="edge"/>
          <c:x val="0.426340551181102"/>
          <c:y val="0.756835299740888"/>
          <c:w val="0.208429790026247"/>
          <c:h val="0.077030514955598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4"/>
        </c:manualLayout>
      </c:layout>
      <c:overlay val="0"/>
    </c:title>
    <c:autoTitleDeleted val="0"/>
    <c:plotArea>
      <c:layout>
        <c:manualLayout>
          <c:layoutTarget val="inner"/>
          <c:xMode val="edge"/>
          <c:yMode val="edge"/>
          <c:x val="0.100155074365704"/>
          <c:y val="0.0231156048675734"/>
          <c:w val="0.869289370078741"/>
          <c:h val="0.768818002863282"/>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15495</c:v>
                </c:pt>
                <c:pt idx="1">
                  <c:v>15495</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16013.26</c:v>
                </c:pt>
                <c:pt idx="1">
                  <c:v>14690.93</c:v>
                </c:pt>
              </c:numCache>
            </c:numRef>
          </c:val>
        </c:ser>
        <c:dLbls>
          <c:showLegendKey val="0"/>
          <c:showVal val="1"/>
          <c:showCatName val="0"/>
          <c:showSerName val="0"/>
          <c:showPercent val="0"/>
          <c:showBubbleSize val="0"/>
        </c:dLbls>
        <c:gapWidth val="75"/>
        <c:axId val="189177216"/>
        <c:axId val="207379072"/>
      </c:barChart>
      <c:catAx>
        <c:axId val="18917721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7379072"/>
        <c:crosses val="autoZero"/>
        <c:auto val="1"/>
        <c:lblAlgn val="ctr"/>
        <c:lblOffset val="100"/>
        <c:noMultiLvlLbl val="0"/>
      </c:catAx>
      <c:valAx>
        <c:axId val="20737907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9177216"/>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100" b="0" i="0" u="none" strike="noStrike" baseline="0">
                <a:latin typeface="仿宋_GB2312" panose="02010609030101010101" pitchFamily="3" charset="-122"/>
                <a:ea typeface="仿宋_GB2312" panose="02010609030101010101" pitchFamily="3" charset="-122"/>
              </a:rPr>
              <a:t>图</a:t>
            </a:r>
            <a:r>
              <a:rPr lang="en-US" altLang="zh-CN" sz="1100" b="0" i="0" u="none" strike="noStrike" baseline="0">
                <a:latin typeface="仿宋_GB2312" panose="02010609030101010101" pitchFamily="3" charset="-122"/>
                <a:ea typeface="仿宋_GB2312" panose="02010609030101010101" pitchFamily="3" charset="-122"/>
              </a:rPr>
              <a:t>5</a:t>
            </a:r>
            <a:r>
              <a:rPr lang="zh-CN" altLang="zh-CN" sz="11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100" b="0">
              <a:latin typeface="仿宋_GB2312" panose="02010609030101010101" pitchFamily="3" charset="-122"/>
              <a:ea typeface="仿宋_GB2312" panose="02010609030101010101" pitchFamily="3" charset="-122"/>
            </a:endParaRPr>
          </a:p>
        </c:rich>
      </c:tx>
      <c:layout>
        <c:manualLayout>
          <c:xMode val="edge"/>
          <c:yMode val="edge"/>
          <c:x val="0.276201598395706"/>
          <c:y val="0.837121053509931"/>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delete val="1"/>
            </c:dLbl>
            <c:dLbl>
              <c:idx val="1"/>
              <c:delete val="1"/>
            </c:dLbl>
            <c:dLbl>
              <c:idx val="2"/>
              <c:delete val="1"/>
            </c:dLbl>
            <c:dLbl>
              <c:idx val="3"/>
              <c:delete val="1"/>
            </c:dLbl>
            <c:dLbl>
              <c:idx val="4"/>
              <c:delete val="1"/>
            </c:dLbl>
            <c:dLbl>
              <c:idx val="7"/>
              <c:delete val="1"/>
            </c:dLbl>
            <c:dLbl>
              <c:idx val="10"/>
              <c:delete val="1"/>
            </c:dLbl>
            <c:dLbl>
              <c:idx val="11"/>
              <c:delete val="1"/>
            </c:dLbl>
            <c:dLbl>
              <c:idx val="12"/>
              <c:delete val="1"/>
            </c:dLbl>
            <c:dLbl>
              <c:idx val="13"/>
              <c:delete val="1"/>
            </c:dLbl>
            <c:dLbl>
              <c:idx val="14"/>
              <c:delete val="1"/>
            </c:dLbl>
            <c:dLbl>
              <c:idx val="15"/>
              <c:delete val="1"/>
            </c:dLbl>
            <c:dLbl>
              <c:idx val="16"/>
              <c:layout>
                <c:manualLayout>
                  <c:x val="0.18074720996954"/>
                  <c:y val="0.000963391136801541"/>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5">
                  <c:v>10652.44</c:v>
                </c:pt>
                <c:pt idx="6">
                  <c:v>682.6</c:v>
                </c:pt>
                <c:pt idx="8">
                  <c:v>53.97</c:v>
                </c:pt>
                <c:pt idx="9">
                  <c:v>3007.51</c:v>
                </c:pt>
                <c:pt idx="16">
                  <c:v>294.41</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97F442-A42E-49A9-9E65-C9741D37B164}">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38</Pages>
  <Words>2635</Words>
  <Characters>15023</Characters>
  <Lines>125</Lines>
  <Paragraphs>35</Paragraphs>
  <TotalTime>49</TotalTime>
  <ScaleCrop>false</ScaleCrop>
  <LinksUpToDate>false</LinksUpToDate>
  <CharactersWithSpaces>17623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2019-09-12T03:19:00Z</cp:lastPrinted>
  <dcterms:modified xsi:type="dcterms:W3CDTF">2024-01-03T07:07:17Z</dcterms:modified>
  <dc:subject>石家庄市xxx部门</dc:subject>
  <dc:title>2017年度部门决算</dc:title>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2CBA1920A0C54D2CA068462826532648</vt:lpwstr>
  </property>
</Properties>
</file>