
<file path=[Content_Types].xml><?xml version="1.0" encoding="utf-8"?>
<Types xmlns="http://schemas.openxmlformats.org/package/2006/content-types">
  <Default Extension="xml" ContentType="application/xml"/>
  <Default Extension="xls" ContentType="application/vnd.ms-excel"/>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bookmarkStart w:id="2" w:name="_GoBack"/>
      <w:bookmarkEnd w:id="2"/>
      <w:r>
        <w:drawing>
          <wp:anchor distT="0" distB="0" distL="114300" distR="114300" simplePos="0" relativeHeight="25166438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1"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7" descr="wc ga"/>
                    <pic:cNvPicPr>
                      <a:picLocks noChangeAspect="1"/>
                    </pic:cNvPicPr>
                  </pic:nvPicPr>
                  <pic:blipFill>
                    <a:blip r:embed="rId7"/>
                    <a:stretch>
                      <a:fillRect/>
                    </a:stretch>
                  </pic:blipFill>
                  <pic:spPr>
                    <a:xfrm>
                      <a:off x="0" y="0"/>
                      <a:ext cx="7576820" cy="10796905"/>
                    </a:xfrm>
                    <a:prstGeom prst="rect">
                      <a:avLst/>
                    </a:prstGeom>
                    <a:noFill/>
                    <a:ln>
                      <a:noFill/>
                    </a:ln>
                  </pic:spPr>
                </pic:pic>
              </a:graphicData>
            </a:graphic>
          </wp:anchor>
        </w:drawing>
      </w:r>
    </w:p>
    <w:p>
      <w:pPr>
        <w:widowControl/>
        <w:jc w:val="center"/>
        <w:rPr>
          <w:rFonts w:ascii="黑体" w:hAnsi="宋体" w:eastAsia="黑体"/>
          <w:color w:val="002060"/>
          <w:sz w:val="72"/>
          <w:szCs w:val="72"/>
        </w:rPr>
      </w:pPr>
      <w:r>
        <mc:AlternateContent>
          <mc:Choice Requires="wps">
            <w:drawing>
              <wp:anchor distT="0" distB="0" distL="114300" distR="114300" simplePos="0" relativeHeight="251659264"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河北无极经济开发区管委会</w:t>
                            </w:r>
                          </w:p>
                          <w:p>
                            <w:pPr>
                              <w:widowControl/>
                              <w:spacing w:line="1200" w:lineRule="exact"/>
                              <w:jc w:val="center"/>
                              <w:rPr>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w:t>
                            </w:r>
                          </w:p>
                          <w:p>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59264;mso-width-relative:page;mso-height-relative:page;" filled="f" stroked="f" coordsize="21600,21600" o:gfxdata="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FgAAAGRycy9QSwECFAAU&#10;AAAACACHTuJAHDPDVNsAAAAMAQAADwAAAAAAAAABACAAAAA4AAAAZHJzL2Rvd25yZXYueG1sUEsB&#10;AhQAFAAAAAgAh07iQMuksXhOAgAAgQQAAA4AAAAAAAAAAQAgAAAAQAEAAGRycy9lMm9Eb2MueG1s&#10;UEsFBgAAAAAGAAYAWQEAAAAGAAAAAA==&#10;">
                <v:fill on="f" focussize="0,0"/>
                <v:stroke on="f" weight="0.5pt"/>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河北无极经济开发区管委会</w:t>
                      </w:r>
                    </w:p>
                    <w:p>
                      <w:pPr>
                        <w:widowControl/>
                        <w:spacing w:line="1200" w:lineRule="exact"/>
                        <w:jc w:val="center"/>
                        <w:rPr>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w:t>
                      </w:r>
                    </w:p>
                    <w:p>
                      <w:pPr>
                        <w:rPr>
                          <w:color w:val="FDEFBE"/>
                          <w:sz w:val="96"/>
                          <w:szCs w:val="96"/>
                        </w:rPr>
                      </w:pPr>
                    </w:p>
                  </w:txbxContent>
                </v:textbox>
              </v:shape>
            </w:pict>
          </mc:Fallback>
        </mc:AlternateConten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headerReference r:id="rId5" w:type="default"/>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hint="eastAsia" w:eastAsia="黑体"/>
          <w:sz w:val="32"/>
          <w:szCs w:val="32"/>
        </w:rPr>
        <w:t>第一部分部门概况</w:t>
      </w:r>
    </w:p>
    <w:p>
      <w:pPr>
        <w:widowControl/>
        <w:spacing w:line="580" w:lineRule="exact"/>
        <w:ind w:firstLine="1273" w:firstLineChars="398"/>
        <w:rPr>
          <w:rFonts w:eastAsia="仿宋_GB2312"/>
          <w:sz w:val="32"/>
          <w:szCs w:val="32"/>
        </w:rPr>
      </w:pPr>
      <w:r>
        <w:rPr>
          <w:rFonts w:hint="eastAsia" w:eastAsia="仿宋_GB2312"/>
          <w:sz w:val="32"/>
          <w:szCs w:val="32"/>
        </w:rPr>
        <w:t>一、部门职责</w:t>
      </w:r>
    </w:p>
    <w:p>
      <w:pPr>
        <w:widowControl/>
        <w:spacing w:line="580" w:lineRule="exact"/>
        <w:ind w:firstLine="1273" w:firstLineChars="398"/>
        <w:rPr>
          <w:rFonts w:eastAsia="仿宋_GB2312"/>
          <w:sz w:val="32"/>
          <w:szCs w:val="32"/>
        </w:rPr>
      </w:pPr>
      <w:r>
        <w:rPr>
          <w:rFonts w:hint="eastAsia" w:eastAsia="仿宋_GB2312"/>
          <w:sz w:val="32"/>
          <w:szCs w:val="32"/>
        </w:rPr>
        <w:t>二、机构设置</w:t>
      </w:r>
    </w:p>
    <w:p>
      <w:pPr>
        <w:widowControl/>
        <w:spacing w:line="580" w:lineRule="exact"/>
        <w:ind w:firstLine="640" w:firstLineChars="200"/>
        <w:rPr>
          <w:rFonts w:eastAsia="仿宋_GB2312"/>
          <w:sz w:val="20"/>
          <w:szCs w:val="32"/>
        </w:rPr>
      </w:pPr>
      <w:r>
        <w:rPr>
          <w:rFonts w:hint="eastAsia" w:eastAsia="黑体"/>
          <w:sz w:val="32"/>
          <w:szCs w:val="32"/>
        </w:rPr>
        <w:t>第二部分</w:t>
      </w:r>
      <w:r>
        <w:rPr>
          <w:rFonts w:eastAsia="黑体"/>
          <w:sz w:val="32"/>
          <w:szCs w:val="32"/>
        </w:rPr>
        <w:t xml:space="preserve">  2018</w:t>
      </w:r>
      <w:r>
        <w:rPr>
          <w:rFonts w:hint="eastAsia" w:eastAsia="黑体"/>
          <w:sz w:val="32"/>
          <w:szCs w:val="32"/>
        </w:rPr>
        <w:t>年度部门决算报表</w:t>
      </w:r>
    </w:p>
    <w:p>
      <w:pPr>
        <w:widowControl/>
        <w:spacing w:line="580" w:lineRule="exact"/>
        <w:ind w:left="640" w:firstLine="640" w:firstLineChars="200"/>
        <w:rPr>
          <w:rFonts w:eastAsia="仿宋_GB2312"/>
          <w:sz w:val="32"/>
          <w:szCs w:val="32"/>
        </w:rPr>
      </w:pPr>
      <w:r>
        <w:rPr>
          <w:rFonts w:hint="eastAsia"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hint="eastAsia" w:eastAsia="仿宋_GB2312"/>
          <w:sz w:val="32"/>
          <w:szCs w:val="32"/>
        </w:rPr>
        <w:t>二、收入决算表</w:t>
      </w:r>
    </w:p>
    <w:p>
      <w:pPr>
        <w:widowControl/>
        <w:spacing w:line="580" w:lineRule="exact"/>
        <w:ind w:left="640" w:firstLine="640" w:firstLineChars="200"/>
        <w:rPr>
          <w:rFonts w:eastAsia="仿宋_GB2312"/>
          <w:sz w:val="32"/>
          <w:szCs w:val="32"/>
        </w:rPr>
      </w:pPr>
      <w:r>
        <w:rPr>
          <w:rFonts w:hint="eastAsia" w:eastAsia="仿宋_GB2312"/>
          <w:sz w:val="32"/>
          <w:szCs w:val="32"/>
        </w:rPr>
        <w:t>三、支出决算表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七、一般公共预算财政拨款</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九、国有资本经营预算财政拨款支出决算表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hint="eastAsia" w:eastAsia="黑体"/>
          <w:sz w:val="32"/>
          <w:szCs w:val="32"/>
        </w:rPr>
        <w:t>第三部分河北无极经济开发区管理委员会</w:t>
      </w:r>
      <w:r>
        <w:rPr>
          <w:rFonts w:eastAsia="黑体"/>
          <w:sz w:val="32"/>
          <w:szCs w:val="32"/>
        </w:rPr>
        <w:t>2018</w:t>
      </w:r>
      <w:r>
        <w:rPr>
          <w:rFonts w:hint="eastAsia" w:eastAsia="黑体"/>
          <w:sz w:val="32"/>
          <w:szCs w:val="32"/>
        </w:rPr>
        <w:t>年部门决算情况说明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hint="eastAsia"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七、其他重要事项的说明</w:t>
      </w:r>
    </w:p>
    <w:p>
      <w:pPr>
        <w:widowControl/>
        <w:spacing w:line="580" w:lineRule="exact"/>
        <w:ind w:firstLine="640" w:firstLineChars="200"/>
        <w:rPr>
          <w:rFonts w:eastAsia="黑体"/>
          <w:sz w:val="32"/>
          <w:szCs w:val="32"/>
        </w:rPr>
      </w:pPr>
      <w:r>
        <w:rPr>
          <w:rFonts w:hint="eastAsia"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drawing>
          <wp:anchor distT="0" distB="0" distL="114300" distR="114300" simplePos="0" relativeHeight="251664384"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2" descr="2"/>
                    <pic:cNvPicPr>
                      <a:picLocks noChangeAspect="1"/>
                    </pic:cNvPicPr>
                  </pic:nvPicPr>
                  <pic:blipFill>
                    <a:blip r:embed="rId8"/>
                    <a:stretch>
                      <a:fillRect/>
                    </a:stretch>
                  </pic:blipFill>
                  <pic:spPr>
                    <a:xfrm>
                      <a:off x="0" y="0"/>
                      <a:ext cx="7585710" cy="10727055"/>
                    </a:xfrm>
                    <a:prstGeom prst="rect">
                      <a:avLst/>
                    </a:prstGeom>
                    <a:noFill/>
                    <a:ln>
                      <a:noFill/>
                    </a:ln>
                  </pic:spPr>
                </pic:pic>
              </a:graphicData>
            </a:graphic>
          </wp:anchor>
        </w:drawing>
      </w:r>
      <w:r>
        <mc:AlternateContent>
          <mc:Choice Requires="wps">
            <w:drawing>
              <wp:anchor distT="0" distB="0" distL="114300" distR="114300" simplePos="0" relativeHeight="251663360"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pPr>
                              <w:widowControl/>
                              <w:jc w:val="center"/>
                              <w:rPr>
                                <w:color w:val="FDEFBE"/>
                                <w:sz w:val="96"/>
                                <w:szCs w:val="96"/>
                              </w:rPr>
                            </w:pPr>
                            <w:r>
                              <w:rPr>
                                <w:rFonts w:hint="eastAsia" w:ascii="黑体" w:hAnsi="宋体" w:eastAsia="黑体"/>
                                <w:color w:val="FDEFBE"/>
                                <w:sz w:val="96"/>
                                <w:szCs w:val="96"/>
                              </w:rPr>
                              <w:t>第一部分部门概况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63360;mso-width-relative:page;mso-height-relative:page;" filled="f" stroked="f" coordsize="21600,21600" o:gfxdata="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BYAAABkcnMvUEsBAhQAFAAAAAgA&#10;h07iQKiKw6neAAAADQEAAA8AAAAAAAAAAQAgAAAAOAAAAGRycy9kb3ducmV2LnhtbFBLAQIUABQA&#10;AAAIAIdO4kA9X2VzRgIAAHkEAAAOAAAAAAAAAAEAIAAAAEMBAABkcnMvZTJvRG9jLnhtbFBLBQYA&#10;AAAABgAGAFkBAAD7BQAAAAA=&#10;">
                <v:fill on="f" focussize="0,0"/>
                <v:stroke on="f" weight="0.5pt"/>
                <v:imagedata o:title=""/>
                <o:lock v:ext="edit" aspectratio="f"/>
                <v:textbox>
                  <w:txbxContent>
                    <w:p>
                      <w:pPr>
                        <w:widowControl/>
                        <w:jc w:val="center"/>
                        <w:rPr>
                          <w:color w:val="FDEFBE"/>
                          <w:sz w:val="96"/>
                          <w:szCs w:val="96"/>
                        </w:rPr>
                      </w:pPr>
                      <w:r>
                        <w:rPr>
                          <w:rFonts w:hint="eastAsia" w:ascii="黑体" w:hAnsi="宋体" w:eastAsia="黑体"/>
                          <w:color w:val="FDEFBE"/>
                          <w:sz w:val="96"/>
                          <w:szCs w:val="96"/>
                        </w:rPr>
                        <w:t>第一部分部门概况</w:t>
                      </w:r>
                    </w:p>
                  </w:txbxContent>
                </v:textbox>
              </v:shape>
            </w:pict>
          </mc:Fallback>
        </mc:AlternateContent>
      </w:r>
    </w:p>
    <w:p/>
    <w:p/>
    <w:p/>
    <w:p/>
    <w:p/>
    <w:p/>
    <w:p/>
    <w:p/>
    <w:p/>
    <w:p/>
    <w:p/>
    <w:p/>
    <w:p/>
    <w:p/>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一、部门职责</w:t>
      </w:r>
    </w:p>
    <w:p>
      <w:pPr>
        <w:ind w:firstLine="645"/>
        <w:rPr>
          <w:rFonts w:ascii="仿宋_GB2312" w:hAnsi="仿宋" w:eastAsia="仿宋_GB2312" w:cs="宋体"/>
          <w:sz w:val="32"/>
          <w:szCs w:val="32"/>
        </w:rPr>
      </w:pPr>
      <w:r>
        <w:rPr>
          <w:rFonts w:ascii="仿宋_GB2312" w:hAnsi="仿宋" w:eastAsia="仿宋_GB2312" w:cs="宋体"/>
          <w:sz w:val="32"/>
          <w:szCs w:val="32"/>
        </w:rPr>
        <w:t>1</w:t>
      </w:r>
      <w:r>
        <w:rPr>
          <w:rFonts w:hint="eastAsia" w:ascii="仿宋_GB2312" w:hAnsi="仿宋" w:eastAsia="仿宋_GB2312" w:cs="宋体"/>
          <w:sz w:val="32"/>
          <w:szCs w:val="32"/>
        </w:rPr>
        <w:t>、编制辖区的总体规划和经济、社会发展规划，经批准后组织实施。</w:t>
      </w:r>
    </w:p>
    <w:p>
      <w:pPr>
        <w:ind w:firstLine="645"/>
        <w:rPr>
          <w:rFonts w:ascii="仿宋_GB2312" w:hAnsi="仿宋" w:eastAsia="仿宋_GB2312" w:cs="宋体"/>
          <w:sz w:val="32"/>
          <w:szCs w:val="32"/>
        </w:rPr>
      </w:pPr>
      <w:r>
        <w:rPr>
          <w:rFonts w:ascii="仿宋_GB2312" w:hAnsi="仿宋" w:eastAsia="仿宋_GB2312" w:cs="宋体"/>
          <w:sz w:val="32"/>
          <w:szCs w:val="32"/>
        </w:rPr>
        <w:t>2</w:t>
      </w:r>
      <w:r>
        <w:rPr>
          <w:rFonts w:hint="eastAsia" w:ascii="仿宋_GB2312" w:hAnsi="仿宋" w:eastAsia="仿宋_GB2312" w:cs="宋体"/>
          <w:sz w:val="32"/>
          <w:szCs w:val="32"/>
        </w:rPr>
        <w:t>、编制辖区区域性城市发展规划、国土利用规划，经批准后组织实施。</w:t>
      </w:r>
    </w:p>
    <w:p>
      <w:pPr>
        <w:ind w:firstLine="645"/>
        <w:rPr>
          <w:rFonts w:ascii="仿宋_GB2312" w:hAnsi="仿宋" w:eastAsia="仿宋_GB2312" w:cs="宋体"/>
          <w:sz w:val="32"/>
          <w:szCs w:val="32"/>
        </w:rPr>
      </w:pPr>
      <w:r>
        <w:rPr>
          <w:rFonts w:ascii="仿宋_GB2312" w:hAnsi="仿宋" w:eastAsia="仿宋_GB2312" w:cs="宋体"/>
          <w:sz w:val="32"/>
          <w:szCs w:val="32"/>
        </w:rPr>
        <w:t>3</w:t>
      </w:r>
      <w:r>
        <w:rPr>
          <w:rFonts w:hint="eastAsia" w:ascii="仿宋_GB2312" w:hAnsi="仿宋" w:eastAsia="仿宋_GB2312" w:cs="宋体"/>
          <w:sz w:val="32"/>
          <w:szCs w:val="32"/>
        </w:rPr>
        <w:t>、审核或审批辖区固定资产投资项目。</w:t>
      </w:r>
    </w:p>
    <w:p>
      <w:pPr>
        <w:ind w:firstLine="645"/>
        <w:rPr>
          <w:rFonts w:ascii="仿宋_GB2312" w:hAnsi="仿宋" w:eastAsia="仿宋_GB2312" w:cs="宋体"/>
          <w:sz w:val="32"/>
          <w:szCs w:val="32"/>
        </w:rPr>
      </w:pPr>
      <w:r>
        <w:rPr>
          <w:rFonts w:ascii="仿宋_GB2312" w:hAnsi="仿宋" w:eastAsia="仿宋_GB2312" w:cs="宋体"/>
          <w:sz w:val="32"/>
          <w:szCs w:val="32"/>
        </w:rPr>
        <w:t>4</w:t>
      </w:r>
      <w:r>
        <w:rPr>
          <w:rFonts w:hint="eastAsia" w:ascii="仿宋_GB2312" w:hAnsi="仿宋" w:eastAsia="仿宋_GB2312" w:cs="宋体"/>
          <w:sz w:val="32"/>
          <w:szCs w:val="32"/>
        </w:rPr>
        <w:t>、负责辖区基础设施、公用设施的建设与管理。</w:t>
      </w:r>
    </w:p>
    <w:p>
      <w:pPr>
        <w:ind w:firstLine="645"/>
        <w:rPr>
          <w:rFonts w:ascii="仿宋_GB2312" w:hAnsi="仿宋" w:eastAsia="仿宋_GB2312" w:cs="宋体"/>
          <w:sz w:val="32"/>
          <w:szCs w:val="32"/>
        </w:rPr>
      </w:pPr>
      <w:r>
        <w:rPr>
          <w:rFonts w:ascii="仿宋_GB2312" w:hAnsi="仿宋" w:eastAsia="仿宋_GB2312" w:cs="宋体"/>
          <w:sz w:val="32"/>
          <w:szCs w:val="32"/>
        </w:rPr>
        <w:t>5</w:t>
      </w:r>
      <w:r>
        <w:rPr>
          <w:rFonts w:hint="eastAsia" w:ascii="仿宋_GB2312" w:hAnsi="仿宋" w:eastAsia="仿宋_GB2312" w:cs="宋体"/>
          <w:sz w:val="32"/>
          <w:szCs w:val="32"/>
        </w:rPr>
        <w:t>、负责辖区财政管理，实施辖区内财政预算、决算、国有资产管理和财政监督工作。</w:t>
      </w:r>
    </w:p>
    <w:p>
      <w:pPr>
        <w:ind w:firstLine="645"/>
        <w:rPr>
          <w:rFonts w:ascii="仿宋_GB2312" w:hAnsi="仿宋" w:eastAsia="仿宋_GB2312" w:cs="宋体"/>
          <w:sz w:val="32"/>
          <w:szCs w:val="32"/>
        </w:rPr>
      </w:pPr>
      <w:r>
        <w:rPr>
          <w:rFonts w:ascii="仿宋_GB2312" w:hAnsi="仿宋" w:eastAsia="仿宋_GB2312" w:cs="宋体"/>
          <w:sz w:val="32"/>
          <w:szCs w:val="32"/>
        </w:rPr>
        <w:t>6</w:t>
      </w:r>
      <w:r>
        <w:rPr>
          <w:rFonts w:hint="eastAsia" w:ascii="仿宋_GB2312" w:hAnsi="仿宋" w:eastAsia="仿宋_GB2312" w:cs="宋体"/>
          <w:sz w:val="32"/>
          <w:szCs w:val="32"/>
        </w:rPr>
        <w:t>、负责辖区环境保护和安全生产监督管理工作。</w:t>
      </w:r>
    </w:p>
    <w:p>
      <w:pPr>
        <w:ind w:left="638" w:leftChars="304"/>
        <w:rPr>
          <w:rFonts w:ascii="仿宋_GB2312" w:hAnsi="仿宋" w:eastAsia="仿宋_GB2312" w:cs="宋体"/>
          <w:sz w:val="32"/>
          <w:szCs w:val="32"/>
        </w:rPr>
      </w:pPr>
      <w:r>
        <w:rPr>
          <w:rFonts w:ascii="仿宋_GB2312" w:hAnsi="仿宋" w:eastAsia="仿宋_GB2312" w:cs="宋体"/>
          <w:sz w:val="32"/>
          <w:szCs w:val="32"/>
        </w:rPr>
        <w:t>7</w:t>
      </w:r>
      <w:r>
        <w:rPr>
          <w:rFonts w:hint="eastAsia" w:ascii="仿宋_GB2312" w:hAnsi="仿宋" w:eastAsia="仿宋_GB2312" w:cs="宋体"/>
          <w:sz w:val="32"/>
          <w:szCs w:val="32"/>
        </w:rPr>
        <w:t>、负责招商引资、进出口贸易和国内外经济技术合作工作。</w:t>
      </w:r>
      <w:r>
        <w:rPr>
          <w:rFonts w:ascii="仿宋_GB2312" w:hAnsi="仿宋" w:eastAsia="仿宋_GB2312" w:cs="宋体"/>
          <w:sz w:val="32"/>
          <w:szCs w:val="32"/>
        </w:rPr>
        <w:t>8</w:t>
      </w:r>
      <w:r>
        <w:rPr>
          <w:rFonts w:hint="eastAsia" w:ascii="仿宋_GB2312" w:hAnsi="仿宋" w:eastAsia="仿宋_GB2312" w:cs="宋体"/>
          <w:sz w:val="32"/>
          <w:szCs w:val="32"/>
        </w:rPr>
        <w:t>、对区内上级有关部门派驻机构实施双重领导。</w:t>
      </w:r>
    </w:p>
    <w:p>
      <w:pPr>
        <w:ind w:left="638" w:leftChars="304"/>
        <w:rPr>
          <w:rFonts w:ascii="仿宋_GB2312" w:hAnsi="仿宋" w:eastAsia="仿宋_GB2312" w:cs="宋体"/>
          <w:sz w:val="32"/>
          <w:szCs w:val="32"/>
        </w:rPr>
      </w:pPr>
      <w:r>
        <w:rPr>
          <w:rFonts w:ascii="仿宋_GB2312" w:hAnsi="仿宋" w:eastAsia="仿宋_GB2312" w:cs="宋体"/>
          <w:sz w:val="32"/>
          <w:szCs w:val="32"/>
        </w:rPr>
        <w:t>9</w:t>
      </w:r>
      <w:r>
        <w:rPr>
          <w:rFonts w:hint="eastAsia" w:ascii="仿宋_GB2312" w:hAnsi="仿宋" w:eastAsia="仿宋_GB2312" w:cs="宋体"/>
          <w:sz w:val="32"/>
          <w:szCs w:val="32"/>
        </w:rPr>
        <w:t>、负责无极县政府交办的其他事项。</w:t>
      </w:r>
    </w:p>
    <w:p>
      <w:pPr>
        <w:ind w:left="638" w:leftChars="304"/>
        <w:rPr>
          <w:rFonts w:ascii="仿宋_GB2312" w:hAnsi="仿宋" w:eastAsia="仿宋_GB2312" w:cs="宋体"/>
          <w:sz w:val="32"/>
          <w:szCs w:val="32"/>
        </w:rPr>
      </w:pPr>
    </w:p>
    <w:p>
      <w:pPr>
        <w:ind w:left="638" w:leftChars="304"/>
        <w:rPr>
          <w:rFonts w:ascii="仿宋_GB2312" w:hAnsi="仿宋" w:eastAsia="仿宋_GB2312" w:cs="宋体"/>
          <w:sz w:val="32"/>
          <w:szCs w:val="32"/>
        </w:rPr>
      </w:pPr>
    </w:p>
    <w:p>
      <w:pPr>
        <w:ind w:left="638" w:leftChars="304"/>
        <w:rPr>
          <w:rFonts w:ascii="仿宋_GB2312" w:hAnsi="仿宋" w:eastAsia="仿宋_GB2312" w:cs="宋体"/>
          <w:sz w:val="32"/>
          <w:szCs w:val="32"/>
        </w:rPr>
      </w:pPr>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w:t>
      </w:r>
      <w:r>
        <w:rPr>
          <w:rFonts w:ascii="仿宋_GB2312" w:hAnsi="Cambria" w:eastAsia="仿宋_GB2312" w:cs="ArialUnicodeMS"/>
          <w:kern w:val="0"/>
          <w:sz w:val="32"/>
          <w:szCs w:val="32"/>
        </w:rPr>
        <w:t xml:space="preserve">2018 </w:t>
      </w:r>
      <w:r>
        <w:rPr>
          <w:rFonts w:hint="eastAsia" w:ascii="仿宋_GB2312" w:hAnsi="Cambria" w:eastAsia="仿宋_GB2312" w:cs="ArialUnicodeMS"/>
          <w:kern w:val="0"/>
          <w:sz w:val="32"/>
          <w:szCs w:val="32"/>
        </w:rPr>
        <w:t>年度本部门决算汇编范围的独立核算单位（以下简称“单位”）共</w:t>
      </w:r>
      <w:r>
        <w:rPr>
          <w:rFonts w:ascii="仿宋_GB2312" w:hAnsi="Cambria" w:eastAsia="仿宋_GB2312" w:cs="ArialUnicodeMS"/>
          <w:kern w:val="0"/>
          <w:sz w:val="32"/>
          <w:szCs w:val="32"/>
        </w:rPr>
        <w:t xml:space="preserve">1 </w:t>
      </w:r>
      <w:r>
        <w:rPr>
          <w:rFonts w:hint="eastAsia" w:ascii="仿宋_GB2312" w:hAnsi="Cambria" w:eastAsia="仿宋_GB2312" w:cs="ArialUnicodeMS"/>
          <w:kern w:val="0"/>
          <w:sz w:val="32"/>
          <w:szCs w:val="32"/>
        </w:rPr>
        <w:t>个，具体情况如下：</w:t>
      </w:r>
    </w:p>
    <w:p>
      <w:pPr>
        <w:spacing w:after="0" w:line="560" w:lineRule="exact"/>
        <w:rPr>
          <w:rFonts w:ascii="仿宋_GB2312" w:hAnsi="Cambria" w:eastAsia="仿宋_GB2312" w:cs="ArialUnicodeMS"/>
          <w:kern w:val="0"/>
          <w:sz w:val="32"/>
          <w:szCs w:val="32"/>
        </w:rPr>
      </w:pP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638"/>
        <w:gridCol w:w="2292"/>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638"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292"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66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ascii="仿宋_GB2312" w:hAnsi="Cambria" w:eastAsia="仿宋_GB2312" w:cs="ArialUnicodeMS"/>
                <w:kern w:val="0"/>
                <w:sz w:val="28"/>
                <w:szCs w:val="28"/>
              </w:rPr>
              <w:t>1</w:t>
            </w:r>
          </w:p>
        </w:tc>
        <w:tc>
          <w:tcPr>
            <w:tcW w:w="3638" w:type="dxa"/>
          </w:tcPr>
          <w:p>
            <w:pPr>
              <w:spacing w:after="0" w:line="560" w:lineRule="exact"/>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河北无极经济开发区管委会</w:t>
            </w:r>
          </w:p>
        </w:tc>
        <w:tc>
          <w:tcPr>
            <w:tcW w:w="2292"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行政单位</w:t>
            </w:r>
          </w:p>
        </w:tc>
        <w:tc>
          <w:tcPr>
            <w:tcW w:w="266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spacing w:after="0" w:line="560" w:lineRule="exact"/>
              <w:ind w:firstLine="560" w:firstLineChars="200"/>
              <w:jc w:val="left"/>
              <w:rPr>
                <w:rFonts w:ascii="仿宋_GB2312" w:hAnsi="Cambria" w:eastAsia="仿宋_GB2312" w:cs="ArialUnicodeMS"/>
                <w:kern w:val="0"/>
                <w:sz w:val="28"/>
                <w:szCs w:val="28"/>
              </w:rPr>
            </w:pPr>
          </w:p>
        </w:tc>
      </w:tr>
    </w:tbl>
    <w:p>
      <w:pPr>
        <w:spacing w:after="0" w:line="560" w:lineRule="exact"/>
        <w:rPr>
          <w:rFonts w:ascii="仿宋_GB2312" w:hAnsi="Cambria" w:eastAsia="仿宋_GB2312" w:cs="ArialUnicodeMS"/>
          <w:kern w:val="0"/>
          <w:sz w:val="32"/>
          <w:szCs w:val="3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hAnsi="Cambria" w:eastAsia="黑体" w:cs="MS-UIGothic,Bold"/>
          <w:bCs/>
          <w:kern w:val="0"/>
          <w:sz w:val="52"/>
          <w:szCs w:val="52"/>
        </w:rPr>
      </w:pPr>
      <w:r>
        <w:drawing>
          <wp:anchor distT="0" distB="0" distL="114300" distR="114300" simplePos="0" relativeHeight="251665408"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3"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6" descr="2"/>
                    <pic:cNvPicPr>
                      <a:picLocks noChangeAspect="1"/>
                    </pic:cNvPicPr>
                  </pic:nvPicPr>
                  <pic:blipFill>
                    <a:blip r:embed="rId8"/>
                    <a:stretch>
                      <a:fillRect/>
                    </a:stretch>
                  </pic:blipFill>
                  <pic:spPr>
                    <a:xfrm>
                      <a:off x="0" y="0"/>
                      <a:ext cx="7571105" cy="10680065"/>
                    </a:xfrm>
                    <a:prstGeom prst="rect">
                      <a:avLst/>
                    </a:prstGeom>
                    <a:noFill/>
                    <a:ln>
                      <a:noFill/>
                    </a:ln>
                  </pic:spPr>
                </pic:pic>
              </a:graphicData>
            </a:graphic>
          </wp:anchor>
        </w:drawing>
      </w:r>
    </w:p>
    <w:p>
      <w:pPr>
        <w:widowControl/>
        <w:spacing w:line="560" w:lineRule="exact"/>
        <w:jc w:val="center"/>
        <w:rPr>
          <w:rFonts w:ascii="黑体" w:hAnsi="Cambria" w:eastAsia="黑体" w:cs="MS-UIGothic,Bold"/>
          <w:bCs/>
          <w:kern w:val="0"/>
          <w:sz w:val="52"/>
          <w:szCs w:val="52"/>
        </w:rPr>
      </w:pPr>
    </w:p>
    <w:p>
      <w:pPr>
        <w:rPr>
          <w:rFonts w:ascii="宋体" w:cs="ArialUnicodeMS"/>
          <w:color w:val="000000"/>
          <w:kern w:val="0"/>
        </w:rPr>
      </w:pPr>
    </w:p>
    <w:p>
      <w:pPr>
        <w:rPr>
          <w:rFonts w:ascii="宋体" w:cs="ArialUnicodeMS"/>
          <w:color w:val="000000"/>
          <w:kern w:val="0"/>
        </w:rPr>
        <w:sectPr>
          <w:pgSz w:w="11906" w:h="16838"/>
          <w:pgMar w:top="2098" w:right="1474" w:bottom="1984" w:left="1588" w:header="851" w:footer="992" w:gutter="0"/>
          <w:cols w:space="0" w:num="1"/>
          <w:docGrid w:type="lines" w:linePitch="312" w:charSpace="0"/>
        </w:sectPr>
      </w:pPr>
      <w:r>
        <mc:AlternateContent>
          <mc:Choice Requires="wps">
            <w:drawing>
              <wp:anchor distT="0" distB="0" distL="114300" distR="114300" simplePos="0" relativeHeight="251660288"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0288;mso-width-relative:page;mso-height-relative:page;" filled="f" stroked="f" coordsize="21600,21600" o:gfxdata="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WAAAAZHJzL1BLAQIUABQAAAAIAIdO4kBO&#10;az3Q3AAAAA0BAAAPAAAAAAAAAAEAIAAAADgAAABkcnMvZG93bnJldi54bWxQSwECFAAUAAAACACH&#10;TuJAQn4EAkMCAAB3BAAADgAAAAAAAAABACAAAABBAQAAZHJzL2Uyb0RvYy54bWxQSwUGAAAAAAYA&#10;BgBZAQAA9gUAAAAA&#10;">
                <v:fill on="f" focussize="0,0"/>
                <v:stroke on="f" weight="0.5pt"/>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年度部门决算报表</w:t>
                      </w:r>
                    </w:p>
                  </w:txbxContent>
                </v:textbox>
              </v:shape>
            </w:pict>
          </mc:Fallback>
        </mc:AlternateContent>
      </w:r>
    </w:p>
    <w:tbl>
      <w:tblPr>
        <w:tblStyle w:val="12"/>
        <w:tblW w:w="10350" w:type="dxa"/>
        <w:jc w:val="center"/>
        <w:tblLayout w:type="fixed"/>
        <w:tblCellMar>
          <w:top w:w="0" w:type="dxa"/>
          <w:left w:w="0" w:type="dxa"/>
          <w:bottom w:w="0" w:type="dxa"/>
          <w:right w:w="0" w:type="dxa"/>
        </w:tblCellMar>
      </w:tblPr>
      <w:tblGrid>
        <w:gridCol w:w="3588"/>
        <w:gridCol w:w="50"/>
        <w:gridCol w:w="112"/>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10350" w:type="dxa"/>
            <w:gridSpan w:val="8"/>
            <w:tcBorders>
              <w:top w:val="nil"/>
              <w:left w:val="nil"/>
              <w:bottom w:val="nil"/>
              <w:right w:val="nil"/>
            </w:tcBorders>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488" w:hRule="atLeast"/>
          <w:jc w:val="center"/>
        </w:trPr>
        <w:tc>
          <w:tcPr>
            <w:tcW w:w="3588"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015" w:type="dxa"/>
            <w:gridSpan w:val="3"/>
            <w:tcBorders>
              <w:top w:val="nil"/>
              <w:left w:val="nil"/>
              <w:bottom w:val="nil"/>
              <w:right w:val="nil"/>
            </w:tcBorders>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noWrap/>
            <w:tcMar>
              <w:top w:w="15" w:type="dxa"/>
              <w:left w:w="15" w:type="dxa"/>
              <w:right w:w="15" w:type="dxa"/>
            </w:tcMar>
            <w:vAlign w:val="center"/>
          </w:tcPr>
          <w:p>
            <w:pPr>
              <w:widowControl/>
              <w:spacing w:after="0" w:line="240" w:lineRule="exact"/>
              <w:jc w:val="right"/>
              <w:textAlignment w:val="center"/>
              <w:rPr>
                <w:rFonts w:ascii="宋体" w:cs="宋体"/>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01</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418" w:hRule="atLeast"/>
          <w:jc w:val="center"/>
        </w:trPr>
        <w:tc>
          <w:tcPr>
            <w:tcW w:w="3588" w:type="dxa"/>
            <w:tcBorders>
              <w:top w:val="nil"/>
              <w:left w:val="nil"/>
              <w:bottom w:val="nil"/>
              <w:right w:val="nil"/>
            </w:tcBorders>
            <w:tcMar>
              <w:top w:w="15" w:type="dxa"/>
              <w:left w:w="15" w:type="dxa"/>
              <w:right w:w="15" w:type="dxa"/>
            </w:tcMar>
            <w:vAlign w:val="center"/>
          </w:tcPr>
          <w:p>
            <w:pPr>
              <w:widowControl/>
              <w:spacing w:after="0" w:line="240" w:lineRule="exact"/>
              <w:ind w:left="1400" w:right="-1065" w:rightChars="-507" w:hanging="1400" w:hangingChars="700"/>
              <w:jc w:val="left"/>
              <w:textAlignment w:val="center"/>
              <w:rPr>
                <w:rFonts w:ascii="宋体" w:cs="宋体"/>
                <w:color w:val="000000"/>
                <w:kern w:val="0"/>
                <w:sz w:val="20"/>
                <w:szCs w:val="20"/>
              </w:rPr>
            </w:pPr>
            <w:r>
              <w:rPr>
                <w:rFonts w:hint="eastAsia" w:ascii="宋体" w:hAnsi="宋体" w:cs="宋体"/>
                <w:color w:val="000000"/>
                <w:kern w:val="0"/>
                <w:sz w:val="20"/>
                <w:szCs w:val="20"/>
              </w:rPr>
              <w:t>部门：河北无极经济开发区管理委员会</w:t>
            </w:r>
          </w:p>
        </w:tc>
        <w:tc>
          <w:tcPr>
            <w:tcW w:w="50" w:type="dxa"/>
            <w:tcBorders>
              <w:top w:val="nil"/>
              <w:left w:val="nil"/>
              <w:bottom w:val="nil"/>
              <w:right w:val="nil"/>
            </w:tcBorders>
            <w:tcMar>
              <w:top w:w="15" w:type="dxa"/>
              <w:left w:w="15" w:type="dxa"/>
              <w:right w:w="15" w:type="dxa"/>
            </w:tcMar>
            <w:vAlign w:val="center"/>
          </w:tcPr>
          <w:p>
            <w:pPr>
              <w:widowControl/>
              <w:spacing w:after="0" w:line="240" w:lineRule="exact"/>
              <w:ind w:left="-120" w:leftChars="-57" w:firstLine="120" w:firstLineChars="60"/>
              <w:rPr>
                <w:rFonts w:ascii="宋体" w:cs="宋体"/>
                <w:color w:val="000000"/>
                <w:sz w:val="20"/>
                <w:szCs w:val="20"/>
              </w:rPr>
            </w:pPr>
          </w:p>
        </w:tc>
        <w:tc>
          <w:tcPr>
            <w:tcW w:w="2015" w:type="dxa"/>
            <w:gridSpan w:val="3"/>
            <w:tcBorders>
              <w:top w:val="nil"/>
              <w:left w:val="nil"/>
              <w:bottom w:val="nil"/>
              <w:right w:val="nil"/>
            </w:tcBorders>
            <w:tcMar>
              <w:top w:w="15" w:type="dxa"/>
              <w:left w:w="15" w:type="dxa"/>
              <w:right w:w="15" w:type="dxa"/>
            </w:tcMar>
            <w:vAlign w:val="center"/>
          </w:tcPr>
          <w:p>
            <w:pPr>
              <w:widowControl/>
              <w:spacing w:after="0" w:line="240" w:lineRule="exact"/>
              <w:ind w:left="-168" w:leftChars="-80"/>
              <w:jc w:val="left"/>
              <w:rPr>
                <w:rFonts w:ascii="宋体" w:cs="宋体"/>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宋体" w:cs="宋体"/>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cs="宋体"/>
                <w:color w:val="000000"/>
                <w:sz w:val="20"/>
                <w:szCs w:val="20"/>
              </w:rPr>
            </w:pPr>
          </w:p>
        </w:tc>
        <w:tc>
          <w:tcPr>
            <w:tcW w:w="1430" w:type="dxa"/>
            <w:tcBorders>
              <w:top w:val="nil"/>
              <w:left w:val="nil"/>
              <w:bottom w:val="nil"/>
              <w:right w:val="nil"/>
            </w:tcBorders>
            <w:noWrap/>
            <w:tcMar>
              <w:top w:w="15" w:type="dxa"/>
              <w:left w:w="15" w:type="dxa"/>
              <w:right w:w="15" w:type="dxa"/>
            </w:tcMar>
            <w:vAlign w:val="center"/>
          </w:tcPr>
          <w:p>
            <w:pPr>
              <w:widowControl/>
              <w:spacing w:after="0" w:line="240" w:lineRule="exact"/>
              <w:jc w:val="right"/>
              <w:textAlignment w:val="center"/>
              <w:rPr>
                <w:rFonts w:asci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5653"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exact"/>
              <w:jc w:val="center"/>
              <w:rPr>
                <w:rFonts w:ascii="宋体" w:cs="宋体"/>
                <w:color w:val="000000"/>
                <w:sz w:val="20"/>
                <w:szCs w:val="20"/>
              </w:rPr>
            </w:pP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exact"/>
              <w:jc w:val="center"/>
              <w:textAlignment w:val="center"/>
              <w:rPr>
                <w:rFonts w:ascii="宋体" w:cs="宋体"/>
                <w:color w:val="000000"/>
                <w:sz w:val="20"/>
                <w:szCs w:val="20"/>
              </w:rPr>
            </w:pPr>
            <w:r>
              <w:rPr>
                <w:rFonts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exact"/>
              <w:jc w:val="center"/>
              <w:rPr>
                <w:rFonts w:ascii="宋体" w:cs="宋体"/>
                <w:color w:val="000000"/>
                <w:sz w:val="20"/>
                <w:szCs w:val="20"/>
              </w:rPr>
            </w:pP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exact"/>
              <w:jc w:val="center"/>
              <w:textAlignment w:val="center"/>
              <w:rPr>
                <w:rFonts w:ascii="宋体" w:cs="宋体"/>
                <w:color w:val="000000"/>
                <w:sz w:val="20"/>
                <w:szCs w:val="20"/>
              </w:rPr>
            </w:pPr>
            <w:r>
              <w:rPr>
                <w:rFonts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r>
              <w:rPr>
                <w:rFonts w:ascii="宋体" w:cs="宋体"/>
                <w:color w:val="000000"/>
                <w:sz w:val="20"/>
                <w:szCs w:val="20"/>
              </w:rPr>
              <w:t>9678.05</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r>
              <w:rPr>
                <w:rFonts w:ascii="宋体" w:cs="宋体"/>
                <w:color w:val="000000"/>
                <w:sz w:val="20"/>
                <w:szCs w:val="20"/>
              </w:rPr>
              <w:t>3183.22</w:t>
            </w: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r>
              <w:rPr>
                <w:rFonts w:ascii="宋体" w:cs="宋体"/>
                <w:color w:val="000000"/>
                <w:sz w:val="20"/>
                <w:szCs w:val="20"/>
              </w:rPr>
              <w:t>222</w:t>
            </w: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r>
              <w:rPr>
                <w:rFonts w:ascii="宋体" w:cs="宋体"/>
                <w:color w:val="000000"/>
                <w:sz w:val="20"/>
                <w:szCs w:val="20"/>
              </w:rPr>
              <w:t>4068.31</w:t>
            </w: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18"/>
                <w:szCs w:val="18"/>
              </w:rPr>
            </w:pPr>
            <w:r>
              <w:rPr>
                <w:rFonts w:ascii="宋体" w:cs="宋体"/>
                <w:color w:val="000000"/>
                <w:sz w:val="18"/>
                <w:szCs w:val="18"/>
              </w:rPr>
              <w:t>9678.05</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r>
              <w:rPr>
                <w:rFonts w:ascii="宋体" w:cs="宋体"/>
                <w:color w:val="000000"/>
                <w:sz w:val="20"/>
                <w:szCs w:val="20"/>
              </w:rPr>
              <w:t>7473.53</w:t>
            </w:r>
          </w:p>
        </w:tc>
      </w:tr>
      <w:tr>
        <w:tblPrEx>
          <w:tblCellMar>
            <w:top w:w="0" w:type="dxa"/>
            <w:left w:w="0" w:type="dxa"/>
            <w:bottom w:w="0" w:type="dxa"/>
            <w:right w:w="0" w:type="dxa"/>
          </w:tblCellMar>
        </w:tblPrEx>
        <w:trPr>
          <w:trHeight w:val="385"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18"/>
                <w:szCs w:val="18"/>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18"/>
                <w:szCs w:val="18"/>
              </w:rPr>
            </w:pPr>
            <w:r>
              <w:rPr>
                <w:rFonts w:ascii="宋体" w:cs="宋体"/>
                <w:color w:val="000000"/>
                <w:sz w:val="18"/>
                <w:szCs w:val="18"/>
              </w:rPr>
              <w:t>3046.83</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r>
              <w:rPr>
                <w:rFonts w:ascii="宋体" w:cs="宋体"/>
                <w:color w:val="000000"/>
                <w:sz w:val="20"/>
                <w:szCs w:val="20"/>
              </w:rPr>
              <w:t>5251.35</w:t>
            </w:r>
          </w:p>
        </w:tc>
      </w:tr>
      <w:tr>
        <w:tblPrEx>
          <w:tblCellMar>
            <w:top w:w="0" w:type="dxa"/>
            <w:left w:w="0" w:type="dxa"/>
            <w:bottom w:w="0" w:type="dxa"/>
            <w:right w:w="0" w:type="dxa"/>
          </w:tblCellMar>
        </w:tblPrEx>
        <w:trPr>
          <w:trHeight w:val="337" w:hRule="atLeast"/>
          <w:jc w:val="center"/>
        </w:trPr>
        <w:tc>
          <w:tcPr>
            <w:tcW w:w="375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18"/>
                <w:szCs w:val="18"/>
              </w:rPr>
            </w:pPr>
            <w:r>
              <w:rPr>
                <w:rFonts w:ascii="宋体" w:cs="宋体"/>
                <w:color w:val="000000"/>
                <w:sz w:val="18"/>
                <w:szCs w:val="18"/>
              </w:rPr>
              <w:t>12724.88</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r>
              <w:rPr>
                <w:rFonts w:ascii="宋体" w:cs="宋体"/>
                <w:color w:val="000000"/>
                <w:sz w:val="20"/>
                <w:szCs w:val="20"/>
              </w:rPr>
              <w:t>12724.88</w:t>
            </w:r>
          </w:p>
        </w:tc>
      </w:tr>
      <w:tr>
        <w:tblPrEx>
          <w:tblCellMar>
            <w:top w:w="0" w:type="dxa"/>
            <w:left w:w="0" w:type="dxa"/>
            <w:bottom w:w="0" w:type="dxa"/>
            <w:right w:w="0" w:type="dxa"/>
          </w:tblCellMar>
        </w:tblPrEx>
        <w:trPr>
          <w:trHeight w:val="417" w:hRule="atLeast"/>
          <w:jc w:val="center"/>
        </w:trPr>
        <w:tc>
          <w:tcPr>
            <w:tcW w:w="10350" w:type="dxa"/>
            <w:gridSpan w:val="8"/>
            <w:tcBorders>
              <w:top w:val="nil"/>
              <w:left w:val="nil"/>
              <w:bottom w:val="nil"/>
              <w:right w:val="nil"/>
            </w:tcBorders>
            <w:tcMar>
              <w:top w:w="15" w:type="dxa"/>
              <w:left w:w="15" w:type="dxa"/>
              <w:right w:w="15" w:type="dxa"/>
            </w:tcMar>
            <w:vAlign w:val="center"/>
          </w:tcPr>
          <w:p>
            <w:pPr>
              <w:widowControl/>
              <w:spacing w:after="0" w:line="200" w:lineRule="exact"/>
              <w:jc w:val="left"/>
              <w:textAlignment w:val="center"/>
              <w:rPr>
                <w:rFonts w:asci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10652" w:type="dxa"/>
        <w:jc w:val="center"/>
        <w:tblLayout w:type="fixed"/>
        <w:tblCellMar>
          <w:top w:w="0" w:type="dxa"/>
          <w:left w:w="0" w:type="dxa"/>
          <w:bottom w:w="0" w:type="dxa"/>
          <w:right w:w="0" w:type="dxa"/>
        </w:tblCellMar>
      </w:tblPr>
      <w:tblGrid>
        <w:gridCol w:w="335"/>
        <w:gridCol w:w="179"/>
        <w:gridCol w:w="309"/>
        <w:gridCol w:w="2214"/>
        <w:gridCol w:w="818"/>
        <w:gridCol w:w="492"/>
        <w:gridCol w:w="616"/>
        <w:gridCol w:w="688"/>
        <w:gridCol w:w="393"/>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10652" w:type="dxa"/>
            <w:gridSpan w:val="17"/>
            <w:tcBorders>
              <w:top w:val="nil"/>
              <w:left w:val="nil"/>
              <w:bottom w:val="nil"/>
              <w:right w:val="nil"/>
            </w:tcBorders>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09"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214"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8"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492"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04"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977"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noWrap/>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公开</w:t>
            </w:r>
            <w:r>
              <w:rPr>
                <w:rFonts w:ascii="宋体" w:hAnsi="宋体" w:cs="宋体"/>
                <w:color w:val="000000"/>
                <w:kern w:val="0"/>
                <w:szCs w:val="21"/>
              </w:rPr>
              <w:t>02</w:t>
            </w:r>
            <w:r>
              <w:rPr>
                <w:rFonts w:hint="eastAsia" w:ascii="宋体" w:hAnsi="宋体" w:cs="宋体"/>
                <w:color w:val="000000"/>
                <w:kern w:val="0"/>
                <w:szCs w:val="21"/>
              </w:rPr>
              <w:t>表</w:t>
            </w:r>
          </w:p>
        </w:tc>
      </w:tr>
      <w:tr>
        <w:tblPrEx>
          <w:tblCellMar>
            <w:top w:w="0" w:type="dxa"/>
            <w:left w:w="0" w:type="dxa"/>
            <w:bottom w:w="0" w:type="dxa"/>
            <w:right w:w="0" w:type="dxa"/>
          </w:tblCellMar>
        </w:tblPrEx>
        <w:trPr>
          <w:trHeight w:val="362" w:hRule="atLeast"/>
          <w:jc w:val="center"/>
        </w:trPr>
        <w:tc>
          <w:tcPr>
            <w:tcW w:w="3855" w:type="dxa"/>
            <w:gridSpan w:val="5"/>
            <w:tcBorders>
              <w:top w:val="nil"/>
              <w:left w:val="nil"/>
              <w:bottom w:val="nil"/>
              <w:right w:val="nil"/>
            </w:tcBorders>
            <w:noWrap/>
            <w:tcMar>
              <w:top w:w="15" w:type="dxa"/>
              <w:left w:w="15" w:type="dxa"/>
              <w:right w:w="15" w:type="dxa"/>
            </w:tcMar>
            <w:vAlign w:val="center"/>
          </w:tcPr>
          <w:p>
            <w:pPr>
              <w:widowControl/>
              <w:spacing w:after="0" w:line="240" w:lineRule="atLeast"/>
              <w:ind w:right="-821" w:rightChars="-391"/>
              <w:jc w:val="left"/>
              <w:textAlignment w:val="center"/>
              <w:rPr>
                <w:rFonts w:ascii="宋体" w:cs="宋体"/>
                <w:color w:val="000000"/>
                <w:szCs w:val="21"/>
              </w:rPr>
            </w:pPr>
            <w:r>
              <w:rPr>
                <w:rFonts w:hint="eastAsia" w:ascii="宋体" w:hAnsi="宋体" w:cs="宋体"/>
                <w:color w:val="000000"/>
                <w:kern w:val="0"/>
                <w:szCs w:val="21"/>
              </w:rPr>
              <w:t>部门：河北无极经济开发区管理委员会</w:t>
            </w:r>
          </w:p>
        </w:tc>
        <w:tc>
          <w:tcPr>
            <w:tcW w:w="492"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04"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977"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noWrap/>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3037" w:type="dxa"/>
            <w:gridSpan w:val="4"/>
            <w:tcBorders>
              <w:top w:val="single" w:color="000000" w:sz="4" w:space="0"/>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项目</w:t>
            </w:r>
          </w:p>
        </w:tc>
        <w:tc>
          <w:tcPr>
            <w:tcW w:w="1926" w:type="dxa"/>
            <w:gridSpan w:val="3"/>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本年收入合计</w:t>
            </w:r>
          </w:p>
        </w:tc>
        <w:tc>
          <w:tcPr>
            <w:tcW w:w="108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82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功能分类科目编码</w:t>
            </w:r>
          </w:p>
        </w:tc>
        <w:tc>
          <w:tcPr>
            <w:tcW w:w="2214" w:type="dxa"/>
            <w:tcBorders>
              <w:top w:val="nil"/>
              <w:left w:val="nil"/>
              <w:bottom w:val="single" w:color="000000" w:sz="4" w:space="0"/>
              <w:right w:val="single" w:color="auto"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科目名称</w:t>
            </w:r>
          </w:p>
        </w:tc>
        <w:tc>
          <w:tcPr>
            <w:tcW w:w="1926" w:type="dxa"/>
            <w:gridSpan w:val="3"/>
            <w:vMerge w:val="continue"/>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 w:val="20"/>
                <w:szCs w:val="20"/>
              </w:rPr>
            </w:pPr>
          </w:p>
        </w:tc>
        <w:tc>
          <w:tcPr>
            <w:tcW w:w="108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3037"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栏次</w:t>
            </w:r>
          </w:p>
        </w:tc>
        <w:tc>
          <w:tcPr>
            <w:tcW w:w="1926"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w:t>
            </w:r>
          </w:p>
        </w:tc>
        <w:tc>
          <w:tcPr>
            <w:tcW w:w="108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3037"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合计</w:t>
            </w:r>
          </w:p>
        </w:tc>
        <w:tc>
          <w:tcPr>
            <w:tcW w:w="1926" w:type="dxa"/>
            <w:gridSpan w:val="3"/>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b/>
                <w:color w:val="000000"/>
                <w:szCs w:val="21"/>
              </w:rPr>
            </w:pPr>
            <w:r>
              <w:rPr>
                <w:rFonts w:ascii="宋体" w:cs="宋体"/>
                <w:b/>
                <w:color w:val="000000"/>
                <w:szCs w:val="21"/>
              </w:rPr>
              <w:t>9678.05</w:t>
            </w:r>
          </w:p>
        </w:tc>
        <w:tc>
          <w:tcPr>
            <w:tcW w:w="1081" w:type="dxa"/>
            <w:gridSpan w:val="2"/>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b/>
                <w:color w:val="000000"/>
                <w:szCs w:val="21"/>
              </w:rPr>
            </w:pPr>
            <w:r>
              <w:rPr>
                <w:rFonts w:ascii="宋体" w:cs="宋体"/>
                <w:b/>
                <w:color w:val="000000"/>
                <w:szCs w:val="21"/>
              </w:rPr>
              <w:t>9678.05</w:t>
            </w:r>
          </w:p>
        </w:tc>
        <w:tc>
          <w:tcPr>
            <w:tcW w:w="921" w:type="dxa"/>
            <w:gridSpan w:val="2"/>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b/>
                <w:color w:val="000000"/>
                <w:sz w:val="18"/>
                <w:szCs w:val="18"/>
              </w:rPr>
            </w:pPr>
          </w:p>
        </w:tc>
        <w:tc>
          <w:tcPr>
            <w:tcW w:w="920" w:type="dxa"/>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b/>
                <w:color w:val="000000"/>
                <w:sz w:val="18"/>
                <w:szCs w:val="18"/>
              </w:rPr>
            </w:pPr>
          </w:p>
        </w:tc>
        <w:tc>
          <w:tcPr>
            <w:tcW w:w="926" w:type="dxa"/>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823"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201</w:t>
            </w:r>
          </w:p>
        </w:tc>
        <w:tc>
          <w:tcPr>
            <w:tcW w:w="221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一般公共服务支出</w:t>
            </w:r>
          </w:p>
        </w:tc>
        <w:tc>
          <w:tcPr>
            <w:tcW w:w="192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5569.74</w:t>
            </w:r>
          </w:p>
        </w:tc>
        <w:tc>
          <w:tcPr>
            <w:tcW w:w="108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5569.74</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71" w:hRule="atLeast"/>
          <w:jc w:val="center"/>
        </w:trPr>
        <w:tc>
          <w:tcPr>
            <w:tcW w:w="823"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20103</w:t>
            </w:r>
          </w:p>
        </w:tc>
        <w:tc>
          <w:tcPr>
            <w:tcW w:w="221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3"/>
                <w:szCs w:val="13"/>
              </w:rPr>
            </w:pPr>
            <w:r>
              <w:rPr>
                <w:rFonts w:hint="eastAsia" w:ascii="宋体" w:cs="宋体"/>
                <w:color w:val="000000"/>
                <w:sz w:val="13"/>
                <w:szCs w:val="13"/>
              </w:rPr>
              <w:t>政府办公厅（室）及相关机构事务</w:t>
            </w:r>
          </w:p>
        </w:tc>
        <w:tc>
          <w:tcPr>
            <w:tcW w:w="192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5569.74</w:t>
            </w:r>
          </w:p>
        </w:tc>
        <w:tc>
          <w:tcPr>
            <w:tcW w:w="108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5569.74</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71" w:hRule="atLeast"/>
          <w:jc w:val="center"/>
        </w:trPr>
        <w:tc>
          <w:tcPr>
            <w:tcW w:w="823"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2010301</w:t>
            </w:r>
          </w:p>
        </w:tc>
        <w:tc>
          <w:tcPr>
            <w:tcW w:w="221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行政运行</w:t>
            </w:r>
          </w:p>
        </w:tc>
        <w:tc>
          <w:tcPr>
            <w:tcW w:w="192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310.88</w:t>
            </w:r>
          </w:p>
        </w:tc>
        <w:tc>
          <w:tcPr>
            <w:tcW w:w="108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310.88</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71" w:hRule="atLeast"/>
          <w:jc w:val="center"/>
        </w:trPr>
        <w:tc>
          <w:tcPr>
            <w:tcW w:w="823"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2010399</w:t>
            </w:r>
          </w:p>
        </w:tc>
        <w:tc>
          <w:tcPr>
            <w:tcW w:w="221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 w:val="13"/>
                <w:szCs w:val="13"/>
              </w:rPr>
              <w:t>其他政府办公厅（室）及相关机构事务</w:t>
            </w:r>
          </w:p>
        </w:tc>
        <w:tc>
          <w:tcPr>
            <w:tcW w:w="192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5258.86</w:t>
            </w:r>
          </w:p>
        </w:tc>
        <w:tc>
          <w:tcPr>
            <w:tcW w:w="108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5258.86</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71" w:hRule="atLeast"/>
          <w:jc w:val="center"/>
        </w:trPr>
        <w:tc>
          <w:tcPr>
            <w:tcW w:w="823"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215</w:t>
            </w:r>
          </w:p>
        </w:tc>
        <w:tc>
          <w:tcPr>
            <w:tcW w:w="221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资源勘探信息等支出</w:t>
            </w:r>
          </w:p>
        </w:tc>
        <w:tc>
          <w:tcPr>
            <w:tcW w:w="192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4108.31</w:t>
            </w:r>
          </w:p>
        </w:tc>
        <w:tc>
          <w:tcPr>
            <w:tcW w:w="108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4108.31</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71" w:hRule="atLeast"/>
          <w:jc w:val="center"/>
        </w:trPr>
        <w:tc>
          <w:tcPr>
            <w:tcW w:w="823"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21508</w:t>
            </w:r>
          </w:p>
        </w:tc>
        <w:tc>
          <w:tcPr>
            <w:tcW w:w="221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5"/>
                <w:szCs w:val="15"/>
              </w:rPr>
            </w:pPr>
            <w:r>
              <w:rPr>
                <w:rFonts w:hint="eastAsia" w:ascii="宋体" w:cs="宋体"/>
                <w:color w:val="000000"/>
                <w:sz w:val="15"/>
                <w:szCs w:val="15"/>
              </w:rPr>
              <w:t>支持中小企业发展和管理支出</w:t>
            </w:r>
          </w:p>
        </w:tc>
        <w:tc>
          <w:tcPr>
            <w:tcW w:w="192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4108.31</w:t>
            </w:r>
          </w:p>
        </w:tc>
        <w:tc>
          <w:tcPr>
            <w:tcW w:w="108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4108.31</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71" w:hRule="atLeast"/>
          <w:jc w:val="center"/>
        </w:trPr>
        <w:tc>
          <w:tcPr>
            <w:tcW w:w="823"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2150805</w:t>
            </w:r>
          </w:p>
        </w:tc>
        <w:tc>
          <w:tcPr>
            <w:tcW w:w="221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中小企业发展专项</w:t>
            </w:r>
          </w:p>
        </w:tc>
        <w:tc>
          <w:tcPr>
            <w:tcW w:w="192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4108.31</w:t>
            </w:r>
          </w:p>
        </w:tc>
        <w:tc>
          <w:tcPr>
            <w:tcW w:w="108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4108.31</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481" w:hRule="atLeast"/>
          <w:jc w:val="center"/>
        </w:trPr>
        <w:tc>
          <w:tcPr>
            <w:tcW w:w="10652" w:type="dxa"/>
            <w:gridSpan w:val="17"/>
            <w:tcBorders>
              <w:top w:val="nil"/>
              <w:left w:val="nil"/>
              <w:bottom w:val="nil"/>
              <w:right w:val="nil"/>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10005" w:type="dxa"/>
        <w:tblInd w:w="0" w:type="dxa"/>
        <w:tblLayout w:type="fixed"/>
        <w:tblCellMar>
          <w:top w:w="0" w:type="dxa"/>
          <w:left w:w="0" w:type="dxa"/>
          <w:bottom w:w="0" w:type="dxa"/>
          <w:right w:w="0" w:type="dxa"/>
        </w:tblCellMar>
      </w:tblPr>
      <w:tblGrid>
        <w:gridCol w:w="290"/>
        <w:gridCol w:w="289"/>
        <w:gridCol w:w="276"/>
        <w:gridCol w:w="527"/>
        <w:gridCol w:w="1117"/>
        <w:gridCol w:w="561"/>
        <w:gridCol w:w="630"/>
        <w:gridCol w:w="1069"/>
        <w:gridCol w:w="49"/>
        <w:gridCol w:w="1001"/>
        <w:gridCol w:w="329"/>
        <w:gridCol w:w="616"/>
        <w:gridCol w:w="753"/>
        <w:gridCol w:w="331"/>
        <w:gridCol w:w="789"/>
        <w:gridCol w:w="294"/>
        <w:gridCol w:w="1084"/>
      </w:tblGrid>
      <w:tr>
        <w:tblPrEx>
          <w:tblCellMar>
            <w:top w:w="0" w:type="dxa"/>
            <w:left w:w="0" w:type="dxa"/>
            <w:bottom w:w="0" w:type="dxa"/>
            <w:right w:w="0" w:type="dxa"/>
          </w:tblCellMar>
        </w:tblPrEx>
        <w:trPr>
          <w:trHeight w:val="798" w:hRule="atLeast"/>
        </w:trPr>
        <w:tc>
          <w:tcPr>
            <w:tcW w:w="10005" w:type="dxa"/>
            <w:gridSpan w:val="17"/>
            <w:tcBorders>
              <w:top w:val="nil"/>
              <w:left w:val="nil"/>
              <w:bottom w:val="nil"/>
              <w:right w:val="nil"/>
            </w:tcBorders>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91"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30"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69"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noWrap/>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公开</w:t>
            </w:r>
            <w:r>
              <w:rPr>
                <w:rFonts w:ascii="宋体" w:hAnsi="宋体" w:cs="宋体"/>
                <w:color w:val="000000"/>
                <w:kern w:val="0"/>
                <w:szCs w:val="21"/>
              </w:rPr>
              <w:t>03</w:t>
            </w:r>
            <w:r>
              <w:rPr>
                <w:rFonts w:hint="eastAsia" w:ascii="宋体" w:hAnsi="宋体" w:cs="宋体"/>
                <w:color w:val="000000"/>
                <w:kern w:val="0"/>
                <w:szCs w:val="21"/>
              </w:rPr>
              <w:t>表</w:t>
            </w:r>
          </w:p>
        </w:tc>
      </w:tr>
      <w:tr>
        <w:tblPrEx>
          <w:tblCellMar>
            <w:top w:w="0" w:type="dxa"/>
            <w:left w:w="0" w:type="dxa"/>
            <w:bottom w:w="0" w:type="dxa"/>
            <w:right w:w="0" w:type="dxa"/>
          </w:tblCellMar>
        </w:tblPrEx>
        <w:trPr>
          <w:trHeight w:val="380" w:hRule="atLeast"/>
        </w:trPr>
        <w:tc>
          <w:tcPr>
            <w:tcW w:w="3690" w:type="dxa"/>
            <w:gridSpan w:val="7"/>
            <w:tcBorders>
              <w:top w:val="nil"/>
              <w:left w:val="nil"/>
              <w:bottom w:val="nil"/>
              <w:right w:val="nil"/>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Cs w:val="21"/>
              </w:rPr>
            </w:pPr>
            <w:r>
              <w:rPr>
                <w:rFonts w:hint="eastAsia" w:ascii="宋体" w:hAnsi="宋体" w:cs="宋体"/>
                <w:color w:val="000000"/>
                <w:kern w:val="0"/>
                <w:szCs w:val="21"/>
              </w:rPr>
              <w:t>部门：河北无极经济开发区管理委员会</w:t>
            </w:r>
          </w:p>
        </w:tc>
        <w:tc>
          <w:tcPr>
            <w:tcW w:w="1118"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30"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69"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noWrap/>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3060" w:type="dxa"/>
            <w:gridSpan w:val="6"/>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项目</w:t>
            </w:r>
          </w:p>
        </w:tc>
        <w:tc>
          <w:tcPr>
            <w:tcW w:w="1699"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本年支出合计</w:t>
            </w:r>
          </w:p>
        </w:tc>
        <w:tc>
          <w:tcPr>
            <w:tcW w:w="1050"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基本支出</w:t>
            </w:r>
          </w:p>
        </w:tc>
        <w:tc>
          <w:tcPr>
            <w:tcW w:w="945"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功能分类科目编码</w:t>
            </w:r>
          </w:p>
        </w:tc>
        <w:tc>
          <w:tcPr>
            <w:tcW w:w="167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科目名称</w:t>
            </w:r>
          </w:p>
        </w:tc>
        <w:tc>
          <w:tcPr>
            <w:tcW w:w="1699"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050"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945"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084"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084"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r>
      <w:tr>
        <w:tblPrEx>
          <w:tblCellMar>
            <w:top w:w="0" w:type="dxa"/>
            <w:left w:w="0" w:type="dxa"/>
            <w:bottom w:w="0" w:type="dxa"/>
            <w:right w:w="0" w:type="dxa"/>
          </w:tblCellMar>
        </w:tblPrEx>
        <w:trPr>
          <w:trHeight w:val="395" w:hRule="atLeast"/>
        </w:trPr>
        <w:tc>
          <w:tcPr>
            <w:tcW w:w="3060" w:type="dxa"/>
            <w:gridSpan w:val="6"/>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栏次</w:t>
            </w:r>
          </w:p>
        </w:tc>
        <w:tc>
          <w:tcPr>
            <w:tcW w:w="169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1</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2</w:t>
            </w:r>
          </w:p>
        </w:tc>
        <w:tc>
          <w:tcPr>
            <w:tcW w:w="9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5</w:t>
            </w: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3060" w:type="dxa"/>
            <w:gridSpan w:val="6"/>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合计</w:t>
            </w:r>
          </w:p>
        </w:tc>
        <w:tc>
          <w:tcPr>
            <w:tcW w:w="169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b/>
                <w:color w:val="000000"/>
                <w:szCs w:val="21"/>
              </w:rPr>
            </w:pPr>
            <w:r>
              <w:rPr>
                <w:rFonts w:ascii="宋体" w:cs="宋体"/>
                <w:b/>
                <w:color w:val="000000"/>
                <w:szCs w:val="21"/>
              </w:rPr>
              <w:t>7473.53</w:t>
            </w:r>
          </w:p>
        </w:tc>
        <w:tc>
          <w:tcPr>
            <w:tcW w:w="105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b/>
                <w:color w:val="000000"/>
                <w:szCs w:val="21"/>
              </w:rPr>
            </w:pPr>
            <w:r>
              <w:rPr>
                <w:rFonts w:ascii="宋体" w:cs="宋体"/>
                <w:b/>
                <w:color w:val="000000"/>
                <w:szCs w:val="21"/>
              </w:rPr>
              <w:t>161.11</w:t>
            </w:r>
          </w:p>
        </w:tc>
        <w:tc>
          <w:tcPr>
            <w:tcW w:w="9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b/>
                <w:color w:val="000000"/>
                <w:szCs w:val="21"/>
              </w:rPr>
            </w:pPr>
            <w:r>
              <w:rPr>
                <w:rFonts w:ascii="宋体" w:cs="宋体"/>
                <w:b/>
                <w:color w:val="000000"/>
                <w:szCs w:val="21"/>
              </w:rPr>
              <w:t>7312.41</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b/>
                <w:color w:val="000000"/>
                <w:szCs w:val="21"/>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b/>
                <w:color w:val="000000"/>
                <w:szCs w:val="21"/>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b/>
                <w:color w:val="000000"/>
                <w:szCs w:val="21"/>
              </w:rPr>
            </w:pPr>
          </w:p>
        </w:tc>
      </w:tr>
      <w:tr>
        <w:tblPrEx>
          <w:tblCellMar>
            <w:top w:w="0" w:type="dxa"/>
            <w:left w:w="0" w:type="dxa"/>
            <w:bottom w:w="0" w:type="dxa"/>
            <w:right w:w="0" w:type="dxa"/>
          </w:tblCellMar>
        </w:tblPrEx>
        <w:trPr>
          <w:trHeight w:val="468" w:hRule="atLeast"/>
        </w:trPr>
        <w:tc>
          <w:tcPr>
            <w:tcW w:w="85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201</w:t>
            </w:r>
          </w:p>
        </w:tc>
        <w:tc>
          <w:tcPr>
            <w:tcW w:w="22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一般公共服务支出</w:t>
            </w:r>
          </w:p>
        </w:tc>
        <w:tc>
          <w:tcPr>
            <w:tcW w:w="169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3183.22</w:t>
            </w:r>
          </w:p>
        </w:tc>
        <w:tc>
          <w:tcPr>
            <w:tcW w:w="105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161.11</w:t>
            </w:r>
          </w:p>
        </w:tc>
        <w:tc>
          <w:tcPr>
            <w:tcW w:w="9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3022.11</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468" w:hRule="atLeast"/>
        </w:trPr>
        <w:tc>
          <w:tcPr>
            <w:tcW w:w="85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20103</w:t>
            </w:r>
          </w:p>
        </w:tc>
        <w:tc>
          <w:tcPr>
            <w:tcW w:w="22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5"/>
                <w:szCs w:val="15"/>
              </w:rPr>
            </w:pPr>
            <w:r>
              <w:rPr>
                <w:rFonts w:hint="eastAsia" w:ascii="宋体" w:cs="宋体"/>
                <w:color w:val="000000"/>
                <w:sz w:val="15"/>
                <w:szCs w:val="15"/>
              </w:rPr>
              <w:t>政府办公厅（室）及相关机构事务</w:t>
            </w:r>
          </w:p>
        </w:tc>
        <w:tc>
          <w:tcPr>
            <w:tcW w:w="169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3183.22</w:t>
            </w:r>
          </w:p>
        </w:tc>
        <w:tc>
          <w:tcPr>
            <w:tcW w:w="105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161.11</w:t>
            </w:r>
          </w:p>
        </w:tc>
        <w:tc>
          <w:tcPr>
            <w:tcW w:w="9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3022.11</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468" w:hRule="atLeast"/>
        </w:trPr>
        <w:tc>
          <w:tcPr>
            <w:tcW w:w="85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2010301</w:t>
            </w:r>
          </w:p>
        </w:tc>
        <w:tc>
          <w:tcPr>
            <w:tcW w:w="22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行政运行</w:t>
            </w:r>
          </w:p>
        </w:tc>
        <w:tc>
          <w:tcPr>
            <w:tcW w:w="169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515.71</w:t>
            </w:r>
          </w:p>
        </w:tc>
        <w:tc>
          <w:tcPr>
            <w:tcW w:w="105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161.11</w:t>
            </w:r>
          </w:p>
        </w:tc>
        <w:tc>
          <w:tcPr>
            <w:tcW w:w="9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351.6</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468" w:hRule="atLeast"/>
        </w:trPr>
        <w:tc>
          <w:tcPr>
            <w:tcW w:w="85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2010399</w:t>
            </w:r>
          </w:p>
        </w:tc>
        <w:tc>
          <w:tcPr>
            <w:tcW w:w="22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 w:val="13"/>
                <w:szCs w:val="13"/>
              </w:rPr>
              <w:t>其他政府办公厅（室）及相关机构事务</w:t>
            </w:r>
          </w:p>
        </w:tc>
        <w:tc>
          <w:tcPr>
            <w:tcW w:w="169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2667.51</w:t>
            </w:r>
          </w:p>
        </w:tc>
        <w:tc>
          <w:tcPr>
            <w:tcW w:w="105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2667.51</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468" w:hRule="atLeast"/>
        </w:trPr>
        <w:tc>
          <w:tcPr>
            <w:tcW w:w="85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212</w:t>
            </w:r>
          </w:p>
        </w:tc>
        <w:tc>
          <w:tcPr>
            <w:tcW w:w="22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城乡社区支出</w:t>
            </w:r>
          </w:p>
        </w:tc>
        <w:tc>
          <w:tcPr>
            <w:tcW w:w="169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222</w:t>
            </w:r>
          </w:p>
        </w:tc>
        <w:tc>
          <w:tcPr>
            <w:tcW w:w="105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222</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468" w:hRule="atLeast"/>
        </w:trPr>
        <w:tc>
          <w:tcPr>
            <w:tcW w:w="85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21208</w:t>
            </w:r>
          </w:p>
        </w:tc>
        <w:tc>
          <w:tcPr>
            <w:tcW w:w="22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5"/>
                <w:szCs w:val="15"/>
              </w:rPr>
            </w:pPr>
            <w:r>
              <w:rPr>
                <w:rFonts w:hint="eastAsia" w:ascii="宋体" w:cs="宋体"/>
                <w:color w:val="000000"/>
                <w:sz w:val="15"/>
                <w:szCs w:val="15"/>
              </w:rPr>
              <w:t>国有土地使用权出让收入及对应专项债务收入安排的支出</w:t>
            </w:r>
          </w:p>
        </w:tc>
        <w:tc>
          <w:tcPr>
            <w:tcW w:w="169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222</w:t>
            </w:r>
          </w:p>
        </w:tc>
        <w:tc>
          <w:tcPr>
            <w:tcW w:w="105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222</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468" w:hRule="atLeast"/>
        </w:trPr>
        <w:tc>
          <w:tcPr>
            <w:tcW w:w="85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2120803</w:t>
            </w:r>
          </w:p>
        </w:tc>
        <w:tc>
          <w:tcPr>
            <w:tcW w:w="22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城市建设支出</w:t>
            </w:r>
          </w:p>
        </w:tc>
        <w:tc>
          <w:tcPr>
            <w:tcW w:w="169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222</w:t>
            </w:r>
          </w:p>
        </w:tc>
        <w:tc>
          <w:tcPr>
            <w:tcW w:w="105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222</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468" w:hRule="atLeast"/>
        </w:trPr>
        <w:tc>
          <w:tcPr>
            <w:tcW w:w="85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215</w:t>
            </w:r>
          </w:p>
        </w:tc>
        <w:tc>
          <w:tcPr>
            <w:tcW w:w="22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资源勘探信息等支出</w:t>
            </w:r>
          </w:p>
        </w:tc>
        <w:tc>
          <w:tcPr>
            <w:tcW w:w="169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4068.31</w:t>
            </w:r>
          </w:p>
        </w:tc>
        <w:tc>
          <w:tcPr>
            <w:tcW w:w="105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4068.31</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468" w:hRule="atLeast"/>
        </w:trPr>
        <w:tc>
          <w:tcPr>
            <w:tcW w:w="85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21508</w:t>
            </w:r>
          </w:p>
        </w:tc>
        <w:tc>
          <w:tcPr>
            <w:tcW w:w="22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 w:val="15"/>
                <w:szCs w:val="15"/>
              </w:rPr>
              <w:t>支持中小企业发展和管理支出</w:t>
            </w:r>
          </w:p>
        </w:tc>
        <w:tc>
          <w:tcPr>
            <w:tcW w:w="169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4068.31</w:t>
            </w:r>
          </w:p>
        </w:tc>
        <w:tc>
          <w:tcPr>
            <w:tcW w:w="105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4068.31</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468" w:hRule="atLeast"/>
        </w:trPr>
        <w:tc>
          <w:tcPr>
            <w:tcW w:w="85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2150805</w:t>
            </w:r>
          </w:p>
        </w:tc>
        <w:tc>
          <w:tcPr>
            <w:tcW w:w="22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中小企业发展专项</w:t>
            </w:r>
          </w:p>
        </w:tc>
        <w:tc>
          <w:tcPr>
            <w:tcW w:w="169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4068.31</w:t>
            </w:r>
          </w:p>
        </w:tc>
        <w:tc>
          <w:tcPr>
            <w:tcW w:w="105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4068.31</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748" w:hRule="atLeast"/>
        </w:trPr>
        <w:tc>
          <w:tcPr>
            <w:tcW w:w="10005" w:type="dxa"/>
            <w:gridSpan w:val="17"/>
            <w:tcBorders>
              <w:top w:val="nil"/>
              <w:left w:val="nil"/>
              <w:bottom w:val="nil"/>
              <w:right w:val="nil"/>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noWrap/>
            <w:tcMar>
              <w:top w:w="15" w:type="dxa"/>
              <w:left w:w="15" w:type="dxa"/>
              <w:right w:w="15" w:type="dxa"/>
            </w:tcMar>
            <w:vAlign w:val="center"/>
          </w:tcPr>
          <w:p>
            <w:pPr>
              <w:widowControl/>
              <w:spacing w:after="0" w:line="240" w:lineRule="atLeast"/>
              <w:jc w:val="right"/>
              <w:textAlignment w:val="center"/>
              <w:rPr>
                <w:rFonts w:ascii="宋体" w:cs="宋体"/>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20"/>
                <w:szCs w:val="20"/>
              </w:rPr>
            </w:pPr>
            <w:r>
              <w:rPr>
                <w:rFonts w:hint="eastAsia" w:ascii="宋体" w:hAnsi="宋体" w:cs="宋体"/>
                <w:color w:val="000000"/>
                <w:kern w:val="0"/>
                <w:sz w:val="20"/>
                <w:szCs w:val="20"/>
              </w:rPr>
              <w:t>部门：河北无极经济开发区管理委员会</w:t>
            </w:r>
          </w:p>
        </w:tc>
        <w:tc>
          <w:tcPr>
            <w:tcW w:w="650"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noWrap/>
            <w:tcMar>
              <w:top w:w="15" w:type="dxa"/>
              <w:left w:w="15" w:type="dxa"/>
              <w:right w:w="15" w:type="dxa"/>
            </w:tcMar>
            <w:vAlign w:val="center"/>
          </w:tcPr>
          <w:p>
            <w:pPr>
              <w:widowControl/>
              <w:spacing w:after="0" w:line="240" w:lineRule="atLeast"/>
              <w:jc w:val="right"/>
              <w:textAlignment w:val="center"/>
              <w:rPr>
                <w:rFonts w:asci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收入</w:t>
            </w:r>
          </w:p>
        </w:tc>
        <w:tc>
          <w:tcPr>
            <w:tcW w:w="6153" w:type="dxa"/>
            <w:gridSpan w:val="9"/>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支出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rPr>
                <w:rFonts w:ascii="宋体" w:cs="宋体"/>
                <w:color w:val="000000"/>
                <w:sz w:val="18"/>
                <w:szCs w:val="18"/>
              </w:rPr>
            </w:pP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9678.05</w:t>
            </w: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3183.22</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3183.22</w:t>
            </w: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222</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222</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4068.31</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4068.31</w:t>
            </w: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9678.05</w:t>
            </w: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7473.53</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7251.53</w:t>
            </w: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222</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3046.83</w:t>
            </w: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5251.35</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4154.35</w:t>
            </w: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1097</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一般公共预算财政拨款</w:t>
            </w: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1727.83</w:t>
            </w: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政府性基金预算财政拨款</w:t>
            </w: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1319</w:t>
            </w: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12724.88</w:t>
            </w: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12724.88</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11405.88</w:t>
            </w: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cs="宋体"/>
                <w:color w:val="000000"/>
                <w:sz w:val="18"/>
                <w:szCs w:val="18"/>
              </w:rPr>
              <w:t>1319</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219"/>
        <w:gridCol w:w="138"/>
        <w:gridCol w:w="2109"/>
        <w:gridCol w:w="168"/>
        <w:gridCol w:w="577"/>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11"/>
            <w:tcBorders>
              <w:top w:val="nil"/>
              <w:left w:val="nil"/>
              <w:bottom w:val="nil"/>
              <w:right w:val="nil"/>
            </w:tcBorders>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noWrap/>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公开</w:t>
            </w:r>
            <w:r>
              <w:rPr>
                <w:rFonts w:ascii="宋体" w:hAnsi="宋体" w:cs="宋体"/>
                <w:color w:val="000000"/>
                <w:kern w:val="0"/>
                <w:szCs w:val="21"/>
              </w:rPr>
              <w:t>05</w:t>
            </w:r>
            <w:r>
              <w:rPr>
                <w:rFonts w:hint="eastAsia" w:ascii="宋体" w:hAnsi="宋体" w:cs="宋体"/>
                <w:color w:val="000000"/>
                <w:kern w:val="0"/>
                <w:szCs w:val="21"/>
              </w:rPr>
              <w:t>表</w:t>
            </w:r>
          </w:p>
        </w:tc>
      </w:tr>
      <w:tr>
        <w:tblPrEx>
          <w:tblCellMar>
            <w:top w:w="0" w:type="dxa"/>
            <w:left w:w="0" w:type="dxa"/>
            <w:bottom w:w="0" w:type="dxa"/>
            <w:right w:w="0" w:type="dxa"/>
          </w:tblCellMar>
        </w:tblPrEx>
        <w:trPr>
          <w:trHeight w:val="334" w:hRule="atLeast"/>
        </w:trPr>
        <w:tc>
          <w:tcPr>
            <w:tcW w:w="3847" w:type="dxa"/>
            <w:gridSpan w:val="7"/>
            <w:tcBorders>
              <w:top w:val="nil"/>
              <w:left w:val="nil"/>
              <w:bottom w:val="nil"/>
              <w:right w:val="nil"/>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Cs w:val="21"/>
              </w:rPr>
            </w:pPr>
            <w:r>
              <w:rPr>
                <w:rFonts w:hint="eastAsia" w:ascii="宋体" w:hAnsi="宋体" w:cs="宋体"/>
                <w:color w:val="000000"/>
                <w:kern w:val="0"/>
                <w:szCs w:val="21"/>
              </w:rPr>
              <w:t>部门：河北无极经济开发区管理委员会</w:t>
            </w:r>
          </w:p>
        </w:tc>
        <w:tc>
          <w:tcPr>
            <w:tcW w:w="1892"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noWrap/>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270" w:type="dxa"/>
            <w:gridSpan w:val="6"/>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项目</w:t>
            </w:r>
          </w:p>
        </w:tc>
        <w:tc>
          <w:tcPr>
            <w:tcW w:w="5590"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4"/>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功能分类科目编码</w:t>
            </w:r>
          </w:p>
        </w:tc>
        <w:tc>
          <w:tcPr>
            <w:tcW w:w="2277" w:type="dxa"/>
            <w:gridSpan w:val="2"/>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科目名称</w:t>
            </w:r>
          </w:p>
        </w:tc>
        <w:tc>
          <w:tcPr>
            <w:tcW w:w="1751"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4"/>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2277" w:type="dxa"/>
            <w:gridSpan w:val="2"/>
            <w:vMerge w:val="continue"/>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751"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4"/>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2277" w:type="dxa"/>
            <w:gridSpan w:val="2"/>
            <w:vMerge w:val="continue"/>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751"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r>
      <w:tr>
        <w:tblPrEx>
          <w:tblCellMar>
            <w:top w:w="0" w:type="dxa"/>
            <w:left w:w="0" w:type="dxa"/>
            <w:bottom w:w="0" w:type="dxa"/>
            <w:right w:w="0" w:type="dxa"/>
          </w:tblCellMar>
        </w:tblPrEx>
        <w:trPr>
          <w:trHeight w:val="368" w:hRule="atLeast"/>
        </w:trPr>
        <w:tc>
          <w:tcPr>
            <w:tcW w:w="3270" w:type="dxa"/>
            <w:gridSpan w:val="6"/>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栏次</w:t>
            </w:r>
          </w:p>
        </w:tc>
        <w:tc>
          <w:tcPr>
            <w:tcW w:w="175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2</w:t>
            </w:r>
          </w:p>
        </w:tc>
        <w:tc>
          <w:tcPr>
            <w:tcW w:w="1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270" w:type="dxa"/>
            <w:gridSpan w:val="6"/>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合计</w:t>
            </w:r>
          </w:p>
        </w:tc>
        <w:tc>
          <w:tcPr>
            <w:tcW w:w="175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b/>
                <w:color w:val="000000"/>
                <w:szCs w:val="21"/>
              </w:rPr>
            </w:pPr>
            <w:r>
              <w:rPr>
                <w:rFonts w:ascii="宋体" w:cs="宋体"/>
                <w:b/>
                <w:color w:val="000000"/>
                <w:szCs w:val="21"/>
              </w:rPr>
              <w:t>7251.53</w:t>
            </w:r>
          </w:p>
        </w:tc>
        <w:tc>
          <w:tcPr>
            <w:tcW w:w="191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b/>
                <w:color w:val="000000"/>
                <w:szCs w:val="21"/>
              </w:rPr>
            </w:pPr>
            <w:r>
              <w:rPr>
                <w:rFonts w:ascii="宋体" w:cs="宋体"/>
                <w:b/>
                <w:color w:val="000000"/>
                <w:szCs w:val="21"/>
              </w:rPr>
              <w:t>161.11</w:t>
            </w:r>
          </w:p>
        </w:tc>
        <w:tc>
          <w:tcPr>
            <w:tcW w:w="1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b/>
                <w:color w:val="000000"/>
                <w:szCs w:val="21"/>
              </w:rPr>
            </w:pPr>
            <w:r>
              <w:rPr>
                <w:rFonts w:ascii="宋体" w:cs="宋体"/>
                <w:b/>
                <w:color w:val="000000"/>
                <w:szCs w:val="21"/>
              </w:rPr>
              <w:t>7090.41</w:t>
            </w:r>
          </w:p>
        </w:tc>
      </w:tr>
      <w:tr>
        <w:tblPrEx>
          <w:tblCellMar>
            <w:top w:w="0" w:type="dxa"/>
            <w:left w:w="0" w:type="dxa"/>
            <w:bottom w:w="0" w:type="dxa"/>
            <w:right w:w="0" w:type="dxa"/>
          </w:tblCellMar>
        </w:tblPrEx>
        <w:trPr>
          <w:trHeight w:val="368" w:hRule="atLeast"/>
        </w:trPr>
        <w:tc>
          <w:tcPr>
            <w:tcW w:w="85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201</w:t>
            </w:r>
          </w:p>
        </w:tc>
        <w:tc>
          <w:tcPr>
            <w:tcW w:w="241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一般公共服务支出</w:t>
            </w:r>
          </w:p>
        </w:tc>
        <w:tc>
          <w:tcPr>
            <w:tcW w:w="175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3183.22</w:t>
            </w:r>
          </w:p>
        </w:tc>
        <w:tc>
          <w:tcPr>
            <w:tcW w:w="191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161.11</w:t>
            </w:r>
          </w:p>
        </w:tc>
        <w:tc>
          <w:tcPr>
            <w:tcW w:w="1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3022.11</w:t>
            </w:r>
          </w:p>
        </w:tc>
      </w:tr>
      <w:tr>
        <w:tblPrEx>
          <w:tblCellMar>
            <w:top w:w="0" w:type="dxa"/>
            <w:left w:w="0" w:type="dxa"/>
            <w:bottom w:w="0" w:type="dxa"/>
            <w:right w:w="0" w:type="dxa"/>
          </w:tblCellMar>
        </w:tblPrEx>
        <w:trPr>
          <w:trHeight w:val="368" w:hRule="atLeast"/>
        </w:trPr>
        <w:tc>
          <w:tcPr>
            <w:tcW w:w="85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20103</w:t>
            </w:r>
          </w:p>
        </w:tc>
        <w:tc>
          <w:tcPr>
            <w:tcW w:w="241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 w:val="15"/>
                <w:szCs w:val="15"/>
              </w:rPr>
              <w:t>政府办公厅（室）及相关机构事务</w:t>
            </w:r>
          </w:p>
        </w:tc>
        <w:tc>
          <w:tcPr>
            <w:tcW w:w="175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3183.22</w:t>
            </w:r>
          </w:p>
        </w:tc>
        <w:tc>
          <w:tcPr>
            <w:tcW w:w="191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161.11</w:t>
            </w:r>
          </w:p>
        </w:tc>
        <w:tc>
          <w:tcPr>
            <w:tcW w:w="1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3022.11</w:t>
            </w:r>
          </w:p>
        </w:tc>
      </w:tr>
      <w:tr>
        <w:tblPrEx>
          <w:tblCellMar>
            <w:top w:w="0" w:type="dxa"/>
            <w:left w:w="0" w:type="dxa"/>
            <w:bottom w:w="0" w:type="dxa"/>
            <w:right w:w="0" w:type="dxa"/>
          </w:tblCellMar>
        </w:tblPrEx>
        <w:trPr>
          <w:trHeight w:val="368" w:hRule="atLeast"/>
        </w:trPr>
        <w:tc>
          <w:tcPr>
            <w:tcW w:w="85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2010301</w:t>
            </w:r>
          </w:p>
        </w:tc>
        <w:tc>
          <w:tcPr>
            <w:tcW w:w="241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行政运行</w:t>
            </w:r>
          </w:p>
        </w:tc>
        <w:tc>
          <w:tcPr>
            <w:tcW w:w="175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515.71</w:t>
            </w:r>
          </w:p>
        </w:tc>
        <w:tc>
          <w:tcPr>
            <w:tcW w:w="191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161.11</w:t>
            </w:r>
          </w:p>
        </w:tc>
        <w:tc>
          <w:tcPr>
            <w:tcW w:w="1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354.6</w:t>
            </w:r>
          </w:p>
        </w:tc>
      </w:tr>
      <w:tr>
        <w:tblPrEx>
          <w:tblCellMar>
            <w:top w:w="0" w:type="dxa"/>
            <w:left w:w="0" w:type="dxa"/>
            <w:bottom w:w="0" w:type="dxa"/>
            <w:right w:w="0" w:type="dxa"/>
          </w:tblCellMar>
        </w:tblPrEx>
        <w:trPr>
          <w:trHeight w:val="368" w:hRule="atLeast"/>
        </w:trPr>
        <w:tc>
          <w:tcPr>
            <w:tcW w:w="85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2010399</w:t>
            </w:r>
          </w:p>
        </w:tc>
        <w:tc>
          <w:tcPr>
            <w:tcW w:w="241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 w:val="13"/>
                <w:szCs w:val="13"/>
              </w:rPr>
              <w:t>其他政府办公厅（室）及相关机构事务</w:t>
            </w:r>
          </w:p>
        </w:tc>
        <w:tc>
          <w:tcPr>
            <w:tcW w:w="175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2667.51</w:t>
            </w:r>
          </w:p>
        </w:tc>
        <w:tc>
          <w:tcPr>
            <w:tcW w:w="191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2667.51</w:t>
            </w:r>
          </w:p>
        </w:tc>
      </w:tr>
      <w:tr>
        <w:tblPrEx>
          <w:tblCellMar>
            <w:top w:w="0" w:type="dxa"/>
            <w:left w:w="0" w:type="dxa"/>
            <w:bottom w:w="0" w:type="dxa"/>
            <w:right w:w="0" w:type="dxa"/>
          </w:tblCellMar>
        </w:tblPrEx>
        <w:trPr>
          <w:trHeight w:val="368" w:hRule="atLeast"/>
        </w:trPr>
        <w:tc>
          <w:tcPr>
            <w:tcW w:w="85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215</w:t>
            </w:r>
          </w:p>
        </w:tc>
        <w:tc>
          <w:tcPr>
            <w:tcW w:w="241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资源勘探信息等支出</w:t>
            </w:r>
          </w:p>
        </w:tc>
        <w:tc>
          <w:tcPr>
            <w:tcW w:w="175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bookmarkStart w:id="0" w:name="OLE_LINK1"/>
            <w:r>
              <w:rPr>
                <w:rFonts w:ascii="宋体" w:cs="宋体"/>
                <w:color w:val="000000"/>
                <w:szCs w:val="21"/>
              </w:rPr>
              <w:t>4068.31</w:t>
            </w:r>
            <w:bookmarkEnd w:id="0"/>
          </w:p>
        </w:tc>
        <w:tc>
          <w:tcPr>
            <w:tcW w:w="191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4068.31</w:t>
            </w:r>
          </w:p>
        </w:tc>
      </w:tr>
      <w:tr>
        <w:tblPrEx>
          <w:tblCellMar>
            <w:top w:w="0" w:type="dxa"/>
            <w:left w:w="0" w:type="dxa"/>
            <w:bottom w:w="0" w:type="dxa"/>
            <w:right w:w="0" w:type="dxa"/>
          </w:tblCellMar>
        </w:tblPrEx>
        <w:trPr>
          <w:trHeight w:val="368" w:hRule="atLeast"/>
        </w:trPr>
        <w:tc>
          <w:tcPr>
            <w:tcW w:w="85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21508</w:t>
            </w:r>
          </w:p>
        </w:tc>
        <w:tc>
          <w:tcPr>
            <w:tcW w:w="241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 w:val="15"/>
                <w:szCs w:val="15"/>
              </w:rPr>
              <w:t>支持中小企业发展和管理支出</w:t>
            </w:r>
          </w:p>
        </w:tc>
        <w:tc>
          <w:tcPr>
            <w:tcW w:w="175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4068.31</w:t>
            </w:r>
          </w:p>
        </w:tc>
        <w:tc>
          <w:tcPr>
            <w:tcW w:w="191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4068.31</w:t>
            </w:r>
          </w:p>
        </w:tc>
      </w:tr>
      <w:tr>
        <w:tblPrEx>
          <w:tblCellMar>
            <w:top w:w="0" w:type="dxa"/>
            <w:left w:w="0" w:type="dxa"/>
            <w:bottom w:w="0" w:type="dxa"/>
            <w:right w:w="0" w:type="dxa"/>
          </w:tblCellMar>
        </w:tblPrEx>
        <w:trPr>
          <w:trHeight w:val="368" w:hRule="atLeast"/>
        </w:trPr>
        <w:tc>
          <w:tcPr>
            <w:tcW w:w="85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cs="宋体"/>
                <w:color w:val="000000"/>
                <w:szCs w:val="21"/>
              </w:rPr>
              <w:t>2150805</w:t>
            </w:r>
          </w:p>
        </w:tc>
        <w:tc>
          <w:tcPr>
            <w:tcW w:w="241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中小企业发展专项</w:t>
            </w:r>
          </w:p>
        </w:tc>
        <w:tc>
          <w:tcPr>
            <w:tcW w:w="175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4068.31</w:t>
            </w:r>
          </w:p>
        </w:tc>
        <w:tc>
          <w:tcPr>
            <w:tcW w:w="191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cs="宋体"/>
                <w:color w:val="000000"/>
                <w:szCs w:val="21"/>
              </w:rPr>
              <w:t>4068.31</w:t>
            </w:r>
          </w:p>
        </w:tc>
      </w:tr>
      <w:tr>
        <w:tblPrEx>
          <w:tblCellMar>
            <w:top w:w="0" w:type="dxa"/>
            <w:left w:w="0" w:type="dxa"/>
            <w:bottom w:w="0" w:type="dxa"/>
            <w:right w:w="0" w:type="dxa"/>
          </w:tblCellMar>
        </w:tblPrEx>
        <w:trPr>
          <w:trHeight w:val="368" w:hRule="atLeast"/>
        </w:trPr>
        <w:tc>
          <w:tcPr>
            <w:tcW w:w="8860" w:type="dxa"/>
            <w:gridSpan w:val="11"/>
            <w:tcBorders>
              <w:top w:val="nil"/>
              <w:left w:val="nil"/>
              <w:bottom w:val="nil"/>
              <w:right w:val="nil"/>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Cs w:val="21"/>
              </w:rPr>
            </w:pPr>
            <w:r>
              <w:rPr>
                <w:rFonts w:hint="eastAsia" w:ascii="宋体" w:hAnsi="宋体" w:cs="宋体"/>
                <w:color w:val="000000"/>
                <w:kern w:val="0"/>
                <w:szCs w:val="21"/>
              </w:rPr>
              <w:t>注：本表反映部门本年度一般公共预算财政拨款收入及支出情况。</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cs="宋体"/>
                <w:color w:val="000000"/>
                <w:sz w:val="22"/>
                <w:szCs w:val="22"/>
              </w:rPr>
            </w:pPr>
            <w:r>
              <w:rPr>
                <w:rFonts w:hint="eastAsia" w:ascii="宋体" w:hAnsi="宋体" w:cs="宋体"/>
                <w:color w:val="000000"/>
                <w:kern w:val="0"/>
                <w:sz w:val="22"/>
                <w:szCs w:val="22"/>
              </w:rPr>
              <w:t>公开</w:t>
            </w:r>
            <w:r>
              <w:rPr>
                <w:rFonts w:ascii="宋体" w:hAnsi="宋体" w:cs="宋体"/>
                <w:color w:val="000000"/>
                <w:kern w:val="0"/>
                <w:sz w:val="22"/>
                <w:szCs w:val="22"/>
              </w:rPr>
              <w:t>06</w:t>
            </w:r>
            <w:r>
              <w:rPr>
                <w:rFonts w:hint="eastAsia" w:ascii="宋体" w:hAnsi="宋体" w:cs="宋体"/>
                <w:color w:val="000000"/>
                <w:kern w:val="0"/>
                <w:sz w:val="22"/>
                <w:szCs w:val="22"/>
              </w:rPr>
              <w:t>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noWrap/>
            <w:tcMar>
              <w:top w:w="15" w:type="dxa"/>
              <w:left w:w="15" w:type="dxa"/>
              <w:right w:w="15" w:type="dxa"/>
            </w:tcMar>
            <w:vAlign w:val="center"/>
          </w:tcPr>
          <w:p>
            <w:pPr>
              <w:widowControl/>
              <w:spacing w:after="0" w:line="240" w:lineRule="auto"/>
              <w:jc w:val="left"/>
              <w:textAlignment w:val="center"/>
              <w:rPr>
                <w:rFonts w:ascii="宋体" w:cs="宋体"/>
                <w:color w:val="000000"/>
                <w:sz w:val="22"/>
                <w:szCs w:val="22"/>
              </w:rPr>
            </w:pPr>
            <w:r>
              <w:rPr>
                <w:rFonts w:hint="eastAsia" w:ascii="宋体" w:hAnsi="宋体" w:cs="宋体"/>
                <w:color w:val="000000"/>
                <w:kern w:val="0"/>
                <w:sz w:val="22"/>
                <w:szCs w:val="22"/>
              </w:rPr>
              <w:t>部门：河北无极经济开发区管理委员会</w:t>
            </w:r>
          </w:p>
        </w:tc>
        <w:tc>
          <w:tcPr>
            <w:tcW w:w="740" w:type="dxa"/>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159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8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47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176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7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56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1788"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85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116.05</w:t>
            </w: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45.07</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基本工资</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90.26</w:t>
            </w: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办公费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4.11</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国内债务付息</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津贴补贴</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8.85</w:t>
            </w: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印刷费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0.5</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国外债务付息</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奖金</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15.44</w:t>
            </w: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咨询费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伙食补助费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手续费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0.22</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房屋建筑物购建</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绩效工资</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1.5</w:t>
            </w: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水费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办公设备购置</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机关事业单位基本养老保险缴费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电费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7.2</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专用设备购置</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职业年金缴费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邮电费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0.34</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基础设施建设</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职工基本医疗保险缴费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取暖费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9.7</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大型修缮</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公务员医疗补助缴费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物业管理费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信息网络及软件购置更新</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其他社会保障缴费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差旅费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0.67</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物资储备</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住房公积金</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因公出国（境）费用</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土地补偿</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医疗费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维修（护）费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0.8</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安置补助</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其他工资福利支出</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租赁费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地上附着物和青苗补偿</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会议费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4.49</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拆迁补偿</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离休费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培训费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公务用车购置</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退休费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公务接待费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其他交通工具购置</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退职（役）费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专用材料费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文物和陈列品购置</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抚恤金</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被装购置费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无形资产购置</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生活补助</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专用燃料费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其他资本性支出</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救济费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劳务费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4.55</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医疗费补助</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委托业务费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3.22</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赠与</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助学金</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工会经费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国家赔偿费用支出</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奖励金</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福利费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对民间非营利组织和群众性自治组织补贴</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个人农业生产补贴</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公务用车运行维护费</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1.32</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其他对个人和家庭的补助支出</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其他交通费用</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5.16</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税金及附加费用</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其他商品和服务支出</w:t>
            </w:r>
          </w:p>
        </w:tc>
        <w:tc>
          <w:tcPr>
            <w:tcW w:w="7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2.77</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center"/>
              <w:textAlignment w:val="center"/>
              <w:rPr>
                <w:rFonts w:asci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116.05</w:t>
            </w:r>
          </w:p>
        </w:tc>
        <w:tc>
          <w:tcPr>
            <w:tcW w:w="5328"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center"/>
              <w:textAlignment w:val="center"/>
              <w:rPr>
                <w:rFonts w:asci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cs="宋体"/>
                <w:color w:val="000000"/>
                <w:sz w:val="16"/>
                <w:szCs w:val="16"/>
              </w:rPr>
              <w:t>45.07</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noWrap/>
            <w:tcMar>
              <w:top w:w="15" w:type="dxa"/>
              <w:left w:w="15" w:type="dxa"/>
              <w:right w:w="15" w:type="dxa"/>
            </w:tcMar>
            <w:vAlign w:val="center"/>
          </w:tcPr>
          <w:p>
            <w:pPr>
              <w:widowControl/>
              <w:spacing w:after="0" w:line="240" w:lineRule="auto"/>
              <w:jc w:val="left"/>
              <w:textAlignment w:val="center"/>
              <w:rPr>
                <w:rFonts w:ascii="宋体" w:cs="宋体"/>
                <w:color w:val="000000"/>
                <w:sz w:val="20"/>
                <w:szCs w:val="20"/>
              </w:rPr>
            </w:pPr>
            <w:r>
              <w:rPr>
                <w:rFonts w:hint="eastAsia" w:ascii="宋体" w:hAnsi="宋体" w:cs="宋体"/>
                <w:color w:val="000000"/>
                <w:kern w:val="0"/>
                <w:sz w:val="20"/>
                <w:szCs w:val="20"/>
              </w:rPr>
              <w:t>注：本表反映部门本年度一般公共预算财政拨款基本支出明细情况。</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jc w:val="right"/>
              <w:textAlignment w:val="center"/>
              <w:rPr>
                <w:rFonts w:ascii="宋体" w:cs="宋体"/>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07</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jc w:val="left"/>
              <w:textAlignment w:val="center"/>
              <w:rPr>
                <w:rFonts w:ascii="宋体" w:cs="宋体"/>
                <w:color w:val="000000"/>
                <w:sz w:val="20"/>
                <w:szCs w:val="20"/>
              </w:rPr>
            </w:pPr>
            <w:r>
              <w:rPr>
                <w:rFonts w:hint="eastAsia" w:ascii="宋体" w:hAnsi="宋体" w:cs="宋体"/>
                <w:color w:val="000000"/>
                <w:kern w:val="0"/>
                <w:sz w:val="20"/>
                <w:szCs w:val="20"/>
              </w:rPr>
              <w:t>部门：河北无极经济开发区管理委员会</w:t>
            </w:r>
          </w:p>
        </w:tc>
        <w:tc>
          <w:tcPr>
            <w:tcW w:w="1527" w:type="dxa"/>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jc w:val="right"/>
              <w:textAlignment w:val="center"/>
              <w:rPr>
                <w:rFonts w:asci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cs="宋体"/>
                <w:color w:val="000000"/>
                <w:szCs w:val="21"/>
              </w:rPr>
              <w:t>1.32</w:t>
            </w:r>
          </w:p>
        </w:tc>
        <w:tc>
          <w:tcPr>
            <w:tcW w:w="15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cs="宋体"/>
                <w:color w:val="000000"/>
                <w:szCs w:val="21"/>
              </w:rPr>
              <w:t>1.32</w:t>
            </w:r>
          </w:p>
        </w:tc>
        <w:tc>
          <w:tcPr>
            <w:tcW w:w="15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368"/>
        <w:gridCol w:w="111"/>
        <w:gridCol w:w="669"/>
        <w:gridCol w:w="1005"/>
        <w:gridCol w:w="945"/>
        <w:gridCol w:w="840"/>
        <w:gridCol w:w="783"/>
        <w:gridCol w:w="162"/>
        <w:gridCol w:w="1030"/>
        <w:gridCol w:w="1192"/>
        <w:gridCol w:w="1268"/>
      </w:tblGrid>
      <w:tr>
        <w:tblPrEx>
          <w:tblCellMar>
            <w:top w:w="0" w:type="dxa"/>
            <w:left w:w="0" w:type="dxa"/>
            <w:bottom w:w="0" w:type="dxa"/>
            <w:right w:w="0" w:type="dxa"/>
          </w:tblCellMar>
        </w:tblPrEx>
        <w:trPr>
          <w:trHeight w:val="707" w:hRule="atLeast"/>
        </w:trPr>
        <w:tc>
          <w:tcPr>
            <w:tcW w:w="8860" w:type="dxa"/>
            <w:gridSpan w:val="13"/>
            <w:tcBorders>
              <w:top w:val="nil"/>
              <w:left w:val="nil"/>
              <w:bottom w:val="nil"/>
              <w:right w:val="nil"/>
            </w:tcBorders>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gridSpan w:val="2"/>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50" w:type="dxa"/>
            <w:gridSpan w:val="2"/>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783" w:type="dxa"/>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gridSpan w:val="2"/>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noWrap/>
            <w:tcMar>
              <w:top w:w="15" w:type="dxa"/>
              <w:left w:w="15" w:type="dxa"/>
              <w:right w:w="15" w:type="dxa"/>
            </w:tcMar>
            <w:vAlign w:val="center"/>
          </w:tcPr>
          <w:p>
            <w:pPr>
              <w:widowControl/>
              <w:adjustRightInd w:val="0"/>
              <w:spacing w:after="0" w:line="240" w:lineRule="auto"/>
              <w:jc w:val="right"/>
              <w:textAlignment w:val="center"/>
              <w:rPr>
                <w:rFonts w:ascii="宋体" w:cs="宋体"/>
                <w:color w:val="000000"/>
                <w:szCs w:val="21"/>
              </w:rPr>
            </w:pPr>
            <w:r>
              <w:rPr>
                <w:rFonts w:hint="eastAsia" w:ascii="宋体" w:hAnsi="宋体" w:cs="宋体"/>
                <w:color w:val="000000"/>
                <w:kern w:val="0"/>
                <w:szCs w:val="21"/>
              </w:rPr>
              <w:t>公开</w:t>
            </w:r>
            <w:r>
              <w:rPr>
                <w:rFonts w:ascii="宋体" w:hAnsi="宋体" w:cs="宋体"/>
                <w:color w:val="000000"/>
                <w:kern w:val="0"/>
                <w:szCs w:val="21"/>
              </w:rPr>
              <w:t>08</w:t>
            </w:r>
            <w:r>
              <w:rPr>
                <w:rFonts w:hint="eastAsia" w:ascii="宋体" w:hAnsi="宋体" w:cs="宋体"/>
                <w:color w:val="000000"/>
                <w:kern w:val="0"/>
                <w:szCs w:val="21"/>
              </w:rPr>
              <w:t>表</w:t>
            </w:r>
          </w:p>
        </w:tc>
      </w:tr>
      <w:tr>
        <w:tblPrEx>
          <w:tblCellMar>
            <w:top w:w="0" w:type="dxa"/>
            <w:left w:w="0" w:type="dxa"/>
            <w:bottom w:w="0" w:type="dxa"/>
            <w:right w:w="0" w:type="dxa"/>
          </w:tblCellMar>
        </w:tblPrEx>
        <w:trPr>
          <w:trHeight w:val="411" w:hRule="atLeast"/>
        </w:trPr>
        <w:tc>
          <w:tcPr>
            <w:tcW w:w="3585" w:type="dxa"/>
            <w:gridSpan w:val="7"/>
            <w:tcBorders>
              <w:top w:val="nil"/>
              <w:left w:val="nil"/>
              <w:bottom w:val="nil"/>
              <w:right w:val="nil"/>
            </w:tcBorders>
            <w:noWrap/>
            <w:tcMar>
              <w:top w:w="15" w:type="dxa"/>
              <w:left w:w="15" w:type="dxa"/>
              <w:right w:w="15" w:type="dxa"/>
            </w:tcMar>
            <w:vAlign w:val="center"/>
          </w:tcPr>
          <w:p>
            <w:pPr>
              <w:widowControl/>
              <w:adjustRightInd w:val="0"/>
              <w:spacing w:after="0" w:line="240" w:lineRule="auto"/>
              <w:jc w:val="left"/>
              <w:textAlignment w:val="center"/>
              <w:rPr>
                <w:rFonts w:ascii="宋体" w:cs="宋体"/>
                <w:color w:val="000000"/>
                <w:szCs w:val="21"/>
              </w:rPr>
            </w:pPr>
            <w:r>
              <w:rPr>
                <w:rFonts w:hint="eastAsia" w:ascii="宋体" w:hAnsi="宋体" w:cs="宋体"/>
                <w:color w:val="000000"/>
                <w:kern w:val="0"/>
                <w:szCs w:val="21"/>
              </w:rPr>
              <w:t>部门：河北无极经济开发区管理委员会</w:t>
            </w:r>
          </w:p>
        </w:tc>
        <w:tc>
          <w:tcPr>
            <w:tcW w:w="840" w:type="dxa"/>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783" w:type="dxa"/>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gridSpan w:val="2"/>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noWrap/>
            <w:tcMar>
              <w:top w:w="15" w:type="dxa"/>
              <w:left w:w="15" w:type="dxa"/>
              <w:right w:w="15" w:type="dxa"/>
            </w:tcMar>
            <w:vAlign w:val="center"/>
          </w:tcPr>
          <w:p>
            <w:pPr>
              <w:widowControl/>
              <w:adjustRightInd w:val="0"/>
              <w:spacing w:after="0" w:line="240" w:lineRule="auto"/>
              <w:jc w:val="right"/>
              <w:textAlignment w:val="center"/>
              <w:rPr>
                <w:rFonts w:asci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640" w:type="dxa"/>
            <w:gridSpan w:val="6"/>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项目</w:t>
            </w:r>
          </w:p>
        </w:tc>
        <w:tc>
          <w:tcPr>
            <w:tcW w:w="94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本年收入</w:t>
            </w:r>
          </w:p>
        </w:tc>
        <w:tc>
          <w:tcPr>
            <w:tcW w:w="3167" w:type="dxa"/>
            <w:gridSpan w:val="4"/>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4"/>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功能分类科目编码</w:t>
            </w:r>
          </w:p>
        </w:tc>
        <w:tc>
          <w:tcPr>
            <w:tcW w:w="1674" w:type="dxa"/>
            <w:gridSpan w:val="2"/>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科目名称</w:t>
            </w:r>
          </w:p>
        </w:tc>
        <w:tc>
          <w:tcPr>
            <w:tcW w:w="94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945"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小计</w:t>
            </w:r>
          </w:p>
        </w:tc>
        <w:tc>
          <w:tcPr>
            <w:tcW w:w="103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4"/>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674" w:type="dxa"/>
            <w:gridSpan w:val="2"/>
            <w:vMerge w:val="continue"/>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94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9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03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4"/>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674" w:type="dxa"/>
            <w:gridSpan w:val="2"/>
            <w:vMerge w:val="continue"/>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94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9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03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324" w:hRule="atLeast"/>
        </w:trPr>
        <w:tc>
          <w:tcPr>
            <w:tcW w:w="2640" w:type="dxa"/>
            <w:gridSpan w:val="6"/>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栏次</w:t>
            </w:r>
          </w:p>
        </w:tc>
        <w:tc>
          <w:tcPr>
            <w:tcW w:w="945"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1</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2</w:t>
            </w:r>
          </w:p>
        </w:tc>
        <w:tc>
          <w:tcPr>
            <w:tcW w:w="9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3</w:t>
            </w:r>
          </w:p>
        </w:tc>
        <w:tc>
          <w:tcPr>
            <w:tcW w:w="1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4</w:t>
            </w: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5</w:t>
            </w:r>
          </w:p>
        </w:tc>
        <w:tc>
          <w:tcPr>
            <w:tcW w:w="1268"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640" w:type="dxa"/>
            <w:gridSpan w:val="6"/>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945"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b/>
                <w:color w:val="000000"/>
                <w:szCs w:val="21"/>
              </w:rPr>
            </w:pPr>
            <w:r>
              <w:rPr>
                <w:rFonts w:ascii="宋体" w:cs="宋体"/>
                <w:b/>
                <w:color w:val="000000"/>
                <w:szCs w:val="21"/>
              </w:rPr>
              <w:t>1319</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b/>
                <w:color w:val="000000"/>
                <w:szCs w:val="21"/>
              </w:rPr>
            </w:pPr>
          </w:p>
        </w:tc>
        <w:tc>
          <w:tcPr>
            <w:tcW w:w="9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b/>
                <w:color w:val="000000"/>
                <w:szCs w:val="21"/>
              </w:rPr>
            </w:pPr>
            <w:r>
              <w:rPr>
                <w:rFonts w:ascii="宋体" w:cs="宋体"/>
                <w:b/>
                <w:color w:val="000000"/>
                <w:szCs w:val="21"/>
              </w:rPr>
              <w:t>222</w:t>
            </w:r>
          </w:p>
        </w:tc>
        <w:tc>
          <w:tcPr>
            <w:tcW w:w="1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b/>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b/>
                <w:color w:val="000000"/>
                <w:szCs w:val="21"/>
              </w:rPr>
            </w:pPr>
            <w:r>
              <w:rPr>
                <w:rFonts w:ascii="宋体" w:cs="宋体"/>
                <w:b/>
                <w:color w:val="000000"/>
                <w:szCs w:val="21"/>
              </w:rPr>
              <w:t>222</w:t>
            </w:r>
          </w:p>
        </w:tc>
        <w:tc>
          <w:tcPr>
            <w:tcW w:w="1268"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b/>
                <w:color w:val="000000"/>
                <w:szCs w:val="21"/>
              </w:rPr>
            </w:pPr>
            <w:r>
              <w:rPr>
                <w:rFonts w:ascii="宋体" w:cs="宋体"/>
                <w:b/>
                <w:color w:val="000000"/>
                <w:szCs w:val="21"/>
              </w:rPr>
              <w:t>1097</w:t>
            </w:r>
          </w:p>
        </w:tc>
      </w:tr>
      <w:tr>
        <w:tblPrEx>
          <w:tblCellMar>
            <w:top w:w="0" w:type="dxa"/>
            <w:left w:w="0" w:type="dxa"/>
            <w:bottom w:w="0" w:type="dxa"/>
            <w:right w:w="0" w:type="dxa"/>
          </w:tblCellMar>
        </w:tblPrEx>
        <w:trPr>
          <w:trHeight w:val="324" w:hRule="atLeast"/>
        </w:trPr>
        <w:tc>
          <w:tcPr>
            <w:tcW w:w="85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r>
              <w:rPr>
                <w:rFonts w:ascii="宋体" w:cs="宋体"/>
                <w:color w:val="000000"/>
                <w:szCs w:val="21"/>
              </w:rPr>
              <w:t>212</w:t>
            </w:r>
          </w:p>
        </w:tc>
        <w:tc>
          <w:tcPr>
            <w:tcW w:w="17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r>
              <w:rPr>
                <w:rFonts w:hint="eastAsia" w:ascii="宋体" w:cs="宋体"/>
                <w:color w:val="000000"/>
                <w:szCs w:val="21"/>
              </w:rPr>
              <w:t>城乡社区支出</w:t>
            </w:r>
          </w:p>
        </w:tc>
        <w:tc>
          <w:tcPr>
            <w:tcW w:w="945"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r>
              <w:rPr>
                <w:rFonts w:ascii="宋体" w:cs="宋体"/>
                <w:color w:val="000000"/>
                <w:szCs w:val="21"/>
              </w:rPr>
              <w:t>1319</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9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r>
              <w:rPr>
                <w:rFonts w:ascii="宋体" w:cs="宋体"/>
                <w:color w:val="000000"/>
                <w:szCs w:val="21"/>
              </w:rPr>
              <w:t>222</w:t>
            </w:r>
          </w:p>
        </w:tc>
        <w:tc>
          <w:tcPr>
            <w:tcW w:w="1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r>
              <w:rPr>
                <w:rFonts w:ascii="宋体" w:cs="宋体"/>
                <w:color w:val="000000"/>
                <w:szCs w:val="21"/>
              </w:rPr>
              <w:t>222</w:t>
            </w:r>
          </w:p>
        </w:tc>
        <w:tc>
          <w:tcPr>
            <w:tcW w:w="1268"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r>
              <w:rPr>
                <w:rFonts w:ascii="宋体" w:cs="宋体"/>
                <w:color w:val="000000"/>
                <w:szCs w:val="21"/>
              </w:rPr>
              <w:t>1097</w:t>
            </w:r>
          </w:p>
        </w:tc>
      </w:tr>
      <w:tr>
        <w:tblPrEx>
          <w:tblCellMar>
            <w:top w:w="0" w:type="dxa"/>
            <w:left w:w="0" w:type="dxa"/>
            <w:bottom w:w="0" w:type="dxa"/>
            <w:right w:w="0" w:type="dxa"/>
          </w:tblCellMar>
        </w:tblPrEx>
        <w:trPr>
          <w:trHeight w:val="628" w:hRule="atLeast"/>
        </w:trPr>
        <w:tc>
          <w:tcPr>
            <w:tcW w:w="85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r>
              <w:rPr>
                <w:rFonts w:ascii="宋体" w:cs="宋体"/>
                <w:color w:val="000000"/>
                <w:szCs w:val="21"/>
              </w:rPr>
              <w:t>21208</w:t>
            </w:r>
          </w:p>
        </w:tc>
        <w:tc>
          <w:tcPr>
            <w:tcW w:w="17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 w:val="18"/>
                <w:szCs w:val="18"/>
              </w:rPr>
            </w:pPr>
            <w:r>
              <w:rPr>
                <w:rFonts w:hint="eastAsia" w:ascii="宋体" w:cs="宋体"/>
                <w:color w:val="000000"/>
                <w:sz w:val="18"/>
                <w:szCs w:val="18"/>
              </w:rPr>
              <w:t>国有土地使用权出让收入及对应专项债务收入安排的支出</w:t>
            </w:r>
          </w:p>
        </w:tc>
        <w:tc>
          <w:tcPr>
            <w:tcW w:w="945"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r>
              <w:rPr>
                <w:rFonts w:ascii="宋体" w:cs="宋体"/>
                <w:color w:val="000000"/>
                <w:szCs w:val="21"/>
              </w:rPr>
              <w:t>1319</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9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r>
              <w:rPr>
                <w:rFonts w:ascii="宋体" w:cs="宋体"/>
                <w:color w:val="000000"/>
                <w:szCs w:val="21"/>
              </w:rPr>
              <w:t>222</w:t>
            </w:r>
          </w:p>
        </w:tc>
        <w:tc>
          <w:tcPr>
            <w:tcW w:w="1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r>
              <w:rPr>
                <w:rFonts w:ascii="宋体" w:cs="宋体"/>
                <w:color w:val="000000"/>
                <w:szCs w:val="21"/>
              </w:rPr>
              <w:t>222</w:t>
            </w:r>
          </w:p>
        </w:tc>
        <w:tc>
          <w:tcPr>
            <w:tcW w:w="1268"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r>
              <w:rPr>
                <w:rFonts w:ascii="宋体" w:cs="宋体"/>
                <w:color w:val="000000"/>
                <w:szCs w:val="21"/>
              </w:rPr>
              <w:t>1097</w:t>
            </w:r>
          </w:p>
        </w:tc>
      </w:tr>
      <w:tr>
        <w:tblPrEx>
          <w:tblCellMar>
            <w:top w:w="0" w:type="dxa"/>
            <w:left w:w="0" w:type="dxa"/>
            <w:bottom w:w="0" w:type="dxa"/>
            <w:right w:w="0" w:type="dxa"/>
          </w:tblCellMar>
        </w:tblPrEx>
        <w:trPr>
          <w:trHeight w:val="442" w:hRule="atLeast"/>
        </w:trPr>
        <w:tc>
          <w:tcPr>
            <w:tcW w:w="85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r>
              <w:rPr>
                <w:rFonts w:ascii="宋体" w:cs="宋体"/>
                <w:color w:val="000000"/>
                <w:szCs w:val="21"/>
              </w:rPr>
              <w:t>2120803</w:t>
            </w:r>
          </w:p>
        </w:tc>
        <w:tc>
          <w:tcPr>
            <w:tcW w:w="17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r>
              <w:rPr>
                <w:rFonts w:hint="eastAsia" w:ascii="宋体" w:cs="宋体"/>
                <w:color w:val="000000"/>
                <w:szCs w:val="21"/>
              </w:rPr>
              <w:t>城市建设支出</w:t>
            </w:r>
          </w:p>
        </w:tc>
        <w:tc>
          <w:tcPr>
            <w:tcW w:w="945"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r>
              <w:rPr>
                <w:rFonts w:ascii="宋体" w:cs="宋体"/>
                <w:color w:val="000000"/>
                <w:szCs w:val="21"/>
              </w:rPr>
              <w:t>1319</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9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r>
              <w:rPr>
                <w:rFonts w:ascii="宋体" w:cs="宋体"/>
                <w:color w:val="000000"/>
                <w:szCs w:val="21"/>
              </w:rPr>
              <w:t>222</w:t>
            </w:r>
          </w:p>
        </w:tc>
        <w:tc>
          <w:tcPr>
            <w:tcW w:w="1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r>
              <w:rPr>
                <w:rFonts w:ascii="宋体" w:cs="宋体"/>
                <w:color w:val="000000"/>
                <w:szCs w:val="21"/>
              </w:rPr>
              <w:t>222</w:t>
            </w:r>
          </w:p>
        </w:tc>
        <w:tc>
          <w:tcPr>
            <w:tcW w:w="1268"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r>
              <w:rPr>
                <w:rFonts w:ascii="宋体" w:cs="宋体"/>
                <w:color w:val="000000"/>
                <w:szCs w:val="21"/>
              </w:rPr>
              <w:t>1097</w:t>
            </w:r>
          </w:p>
        </w:tc>
      </w:tr>
      <w:tr>
        <w:tblPrEx>
          <w:tblCellMar>
            <w:top w:w="0" w:type="dxa"/>
            <w:left w:w="0" w:type="dxa"/>
            <w:bottom w:w="0" w:type="dxa"/>
            <w:right w:w="0" w:type="dxa"/>
          </w:tblCellMar>
        </w:tblPrEx>
        <w:trPr>
          <w:trHeight w:val="324" w:hRule="atLeast"/>
        </w:trPr>
        <w:tc>
          <w:tcPr>
            <w:tcW w:w="8860" w:type="dxa"/>
            <w:gridSpan w:val="13"/>
            <w:tcBorders>
              <w:top w:val="nil"/>
              <w:left w:val="nil"/>
              <w:bottom w:val="nil"/>
              <w:right w:val="nil"/>
            </w:tcBorders>
            <w:noWrap/>
            <w:tcMar>
              <w:top w:w="15" w:type="dxa"/>
              <w:left w:w="15" w:type="dxa"/>
              <w:right w:w="15" w:type="dxa"/>
            </w:tcMar>
            <w:vAlign w:val="center"/>
          </w:tcPr>
          <w:p>
            <w:pPr>
              <w:widowControl/>
              <w:adjustRightInd w:val="0"/>
              <w:spacing w:after="0" w:line="240" w:lineRule="auto"/>
              <w:jc w:val="left"/>
              <w:textAlignment w:val="center"/>
              <w:rPr>
                <w:rFonts w:ascii="宋体" w:cs="宋体"/>
                <w:color w:val="000000"/>
                <w:szCs w:val="21"/>
              </w:rPr>
            </w:pPr>
            <w:r>
              <w:rPr>
                <w:rFonts w:hint="eastAsia" w:ascii="宋体" w:hAnsi="宋体" w:cs="宋体"/>
                <w:color w:val="000000"/>
                <w:kern w:val="0"/>
                <w:szCs w:val="21"/>
              </w:rPr>
              <w:t>注：本表反映部门本年度政府性基金预算财政拨款收入、支出及结转和结余情况。</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763" w:type="dxa"/>
        <w:tblInd w:w="0" w:type="dxa"/>
        <w:tblLayout w:type="fixed"/>
        <w:tblCellMar>
          <w:top w:w="0" w:type="dxa"/>
          <w:left w:w="0" w:type="dxa"/>
          <w:bottom w:w="0" w:type="dxa"/>
          <w:right w:w="0" w:type="dxa"/>
        </w:tblCellMar>
      </w:tblPr>
      <w:tblGrid>
        <w:gridCol w:w="442"/>
        <w:gridCol w:w="208"/>
        <w:gridCol w:w="504"/>
        <w:gridCol w:w="274"/>
        <w:gridCol w:w="894"/>
        <w:gridCol w:w="783"/>
        <w:gridCol w:w="1215"/>
        <w:gridCol w:w="1646"/>
        <w:gridCol w:w="359"/>
        <w:gridCol w:w="1539"/>
        <w:gridCol w:w="1899"/>
      </w:tblGrid>
      <w:tr>
        <w:tblPrEx>
          <w:tblCellMar>
            <w:top w:w="0" w:type="dxa"/>
            <w:left w:w="0" w:type="dxa"/>
            <w:bottom w:w="0" w:type="dxa"/>
            <w:right w:w="0" w:type="dxa"/>
          </w:tblCellMar>
        </w:tblPrEx>
        <w:trPr>
          <w:trHeight w:val="656" w:hRule="atLeast"/>
        </w:trPr>
        <w:tc>
          <w:tcPr>
            <w:tcW w:w="9763" w:type="dxa"/>
            <w:gridSpan w:val="11"/>
            <w:tcBorders>
              <w:top w:val="nil"/>
              <w:left w:val="nil"/>
              <w:bottom w:val="nil"/>
              <w:right w:val="nil"/>
            </w:tcBorders>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998" w:type="dxa"/>
            <w:gridSpan w:val="2"/>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noWrap/>
            <w:tcMar>
              <w:top w:w="15" w:type="dxa"/>
              <w:left w:w="15" w:type="dxa"/>
              <w:right w:w="15" w:type="dxa"/>
            </w:tcMar>
            <w:vAlign w:val="center"/>
          </w:tcPr>
          <w:p>
            <w:pPr>
              <w:widowControl/>
              <w:spacing w:after="0" w:line="240" w:lineRule="auto"/>
              <w:jc w:val="right"/>
              <w:textAlignment w:val="center"/>
              <w:rPr>
                <w:rFonts w:ascii="宋体" w:cs="宋体"/>
                <w:color w:val="000000"/>
                <w:sz w:val="22"/>
                <w:szCs w:val="22"/>
              </w:rPr>
            </w:pPr>
            <w:r>
              <w:rPr>
                <w:rFonts w:hint="eastAsia" w:ascii="宋体" w:hAnsi="宋体" w:cs="宋体"/>
                <w:color w:val="000000"/>
                <w:kern w:val="0"/>
                <w:sz w:val="22"/>
                <w:szCs w:val="22"/>
              </w:rPr>
              <w:t>公开</w:t>
            </w:r>
            <w:r>
              <w:rPr>
                <w:rFonts w:ascii="宋体" w:hAnsi="宋体" w:cs="宋体"/>
                <w:color w:val="000000"/>
                <w:kern w:val="0"/>
                <w:sz w:val="22"/>
                <w:szCs w:val="22"/>
              </w:rPr>
              <w:t>09</w:t>
            </w:r>
            <w:r>
              <w:rPr>
                <w:rFonts w:hint="eastAsia" w:ascii="宋体" w:hAnsi="宋体" w:cs="宋体"/>
                <w:color w:val="000000"/>
                <w:kern w:val="0"/>
                <w:sz w:val="22"/>
                <w:szCs w:val="22"/>
              </w:rPr>
              <w:t>表</w:t>
            </w:r>
          </w:p>
        </w:tc>
      </w:tr>
      <w:tr>
        <w:tblPrEx>
          <w:tblCellMar>
            <w:top w:w="0" w:type="dxa"/>
            <w:left w:w="0" w:type="dxa"/>
            <w:bottom w:w="0" w:type="dxa"/>
            <w:right w:w="0" w:type="dxa"/>
          </w:tblCellMar>
        </w:tblPrEx>
        <w:trPr>
          <w:trHeight w:val="335" w:hRule="atLeast"/>
        </w:trPr>
        <w:tc>
          <w:tcPr>
            <w:tcW w:w="4320" w:type="dxa"/>
            <w:gridSpan w:val="7"/>
            <w:tcBorders>
              <w:top w:val="nil"/>
              <w:left w:val="nil"/>
              <w:bottom w:val="nil"/>
              <w:right w:val="nil"/>
            </w:tcBorders>
            <w:noWrap/>
            <w:tcMar>
              <w:top w:w="15" w:type="dxa"/>
              <w:left w:w="15" w:type="dxa"/>
              <w:right w:w="15" w:type="dxa"/>
            </w:tcMar>
            <w:vAlign w:val="center"/>
          </w:tcPr>
          <w:p>
            <w:pPr>
              <w:widowControl/>
              <w:spacing w:after="0" w:line="240" w:lineRule="auto"/>
              <w:ind w:left="2519" w:right="-661" w:rightChars="-315" w:hanging="2519" w:hangingChars="1145"/>
              <w:jc w:val="left"/>
              <w:textAlignment w:val="center"/>
              <w:rPr>
                <w:rFonts w:ascii="宋体" w:cs="宋体"/>
                <w:color w:val="000000"/>
                <w:sz w:val="22"/>
                <w:szCs w:val="22"/>
              </w:rPr>
            </w:pPr>
            <w:r>
              <w:rPr>
                <w:rFonts w:hint="eastAsia" w:ascii="宋体" w:hAnsi="宋体" w:cs="宋体"/>
                <w:color w:val="000000"/>
                <w:kern w:val="0"/>
                <w:sz w:val="22"/>
                <w:szCs w:val="22"/>
              </w:rPr>
              <w:t>编制单位：河北无极经济开发区管理委员会</w:t>
            </w:r>
          </w:p>
        </w:tc>
        <w:tc>
          <w:tcPr>
            <w:tcW w:w="2005" w:type="dxa"/>
            <w:gridSpan w:val="2"/>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noWrap/>
            <w:tcMar>
              <w:top w:w="15" w:type="dxa"/>
              <w:left w:w="15" w:type="dxa"/>
              <w:right w:w="15" w:type="dxa"/>
            </w:tcMar>
            <w:vAlign w:val="center"/>
          </w:tcPr>
          <w:p>
            <w:pPr>
              <w:widowControl/>
              <w:spacing w:after="0" w:line="240" w:lineRule="auto"/>
              <w:jc w:val="right"/>
              <w:textAlignment w:val="center"/>
              <w:rPr>
                <w:rFonts w:asci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科目</w:t>
            </w:r>
          </w:p>
        </w:tc>
        <w:tc>
          <w:tcPr>
            <w:tcW w:w="6658" w:type="dxa"/>
            <w:gridSpan w:val="5"/>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科目名称</w:t>
            </w:r>
          </w:p>
        </w:tc>
        <w:tc>
          <w:tcPr>
            <w:tcW w:w="286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栏次</w:t>
            </w:r>
          </w:p>
        </w:tc>
        <w:tc>
          <w:tcPr>
            <w:tcW w:w="286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合计</w:t>
            </w:r>
          </w:p>
        </w:tc>
        <w:tc>
          <w:tcPr>
            <w:tcW w:w="286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286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286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286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286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286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286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58" w:hRule="atLeast"/>
        </w:trPr>
        <w:tc>
          <w:tcPr>
            <w:tcW w:w="9763" w:type="dxa"/>
            <w:gridSpan w:val="11"/>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cs="宋体"/>
                <w:color w:val="000000"/>
                <w:kern w:val="0"/>
                <w:sz w:val="22"/>
                <w:szCs w:val="22"/>
              </w:rPr>
            </w:pPr>
            <w:r>
              <w:rPr>
                <w:rFonts w:hint="eastAsia" w:ascii="宋体" w:hAnsi="宋体" w:cs="宋体"/>
                <w:color w:val="000000"/>
                <w:kern w:val="0"/>
                <w:sz w:val="22"/>
                <w:szCs w:val="22"/>
              </w:rPr>
              <w:t>注：本表反映部门本年度国有资本经营预算财政拨款支出情况。本部门本年度无相关支出情</w:t>
            </w:r>
          </w:p>
          <w:p>
            <w:pPr>
              <w:widowControl/>
              <w:spacing w:after="0" w:line="240" w:lineRule="auto"/>
              <w:jc w:val="left"/>
              <w:textAlignment w:val="center"/>
              <w:rPr>
                <w:rFonts w:ascii="宋体" w:cs="宋体"/>
                <w:color w:val="000000"/>
                <w:kern w:val="0"/>
                <w:sz w:val="22"/>
                <w:szCs w:val="22"/>
              </w:rPr>
            </w:pPr>
            <w:r>
              <w:rPr>
                <w:rFonts w:hint="eastAsia" w:ascii="宋体" w:hAnsi="宋体" w:cs="宋体"/>
                <w:color w:val="000000"/>
                <w:kern w:val="0"/>
                <w:sz w:val="22"/>
                <w:szCs w:val="22"/>
              </w:rPr>
              <w:t>况，按要求以空表列式。</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jc w:val="right"/>
              <w:textAlignment w:val="center"/>
              <w:rPr>
                <w:rFonts w:ascii="宋体" w:cs="宋体"/>
                <w:color w:val="000000"/>
                <w:szCs w:val="21"/>
              </w:rPr>
            </w:pPr>
            <w:r>
              <w:rPr>
                <w:rFonts w:hint="eastAsia" w:ascii="宋体" w:hAnsi="宋体" w:cs="宋体"/>
                <w:color w:val="000000"/>
                <w:kern w:val="0"/>
                <w:szCs w:val="21"/>
              </w:rPr>
              <w:t>公开</w:t>
            </w:r>
            <w:r>
              <w:rPr>
                <w:rFonts w:ascii="宋体" w:hAnsi="宋体" w:cs="宋体"/>
                <w:color w:val="000000"/>
                <w:kern w:val="0"/>
                <w:szCs w:val="21"/>
              </w:rPr>
              <w:t>10</w:t>
            </w:r>
            <w:r>
              <w:rPr>
                <w:rFonts w:hint="eastAsia" w:ascii="宋体" w:hAnsi="宋体" w:cs="宋体"/>
                <w:color w:val="000000"/>
                <w:kern w:val="0"/>
                <w:szCs w:val="21"/>
              </w:rPr>
              <w:t>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jc w:val="left"/>
              <w:textAlignment w:val="center"/>
              <w:rPr>
                <w:rFonts w:ascii="宋体" w:cs="宋体"/>
                <w:color w:val="000000"/>
                <w:szCs w:val="21"/>
              </w:rPr>
            </w:pPr>
            <w:r>
              <w:rPr>
                <w:rFonts w:hint="eastAsia" w:ascii="宋体" w:hAnsi="宋体" w:cs="宋体"/>
                <w:color w:val="000000"/>
                <w:kern w:val="0"/>
                <w:szCs w:val="21"/>
              </w:rPr>
              <w:t>编制单位：河北无极经济开发区管理委员会</w:t>
            </w:r>
          </w:p>
        </w:tc>
        <w:tc>
          <w:tcPr>
            <w:tcW w:w="2500" w:type="dxa"/>
            <w:gridSpan w:val="3"/>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jc w:val="right"/>
              <w:textAlignment w:val="center"/>
              <w:rPr>
                <w:rFonts w:asci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203"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203"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4</w:t>
            </w:r>
          </w:p>
        </w:tc>
        <w:tc>
          <w:tcPr>
            <w:tcW w:w="11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5</w:t>
            </w:r>
          </w:p>
        </w:tc>
        <w:tc>
          <w:tcPr>
            <w:tcW w:w="12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cs="宋体"/>
                <w:color w:val="000000"/>
                <w:szCs w:val="21"/>
              </w:rPr>
              <w:t>383.4</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cs="宋体"/>
                <w:color w:val="000000"/>
                <w:szCs w:val="21"/>
              </w:rPr>
              <w:t>383.4</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cs="宋体"/>
                <w:color w:val="000000"/>
                <w:szCs w:val="21"/>
              </w:rPr>
              <w:t>383.4</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cs="宋体"/>
                <w:color w:val="000000"/>
                <w:szCs w:val="21"/>
              </w:rPr>
              <w:t>383.4</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cs="宋体"/>
                <w:color w:val="000000"/>
                <w:szCs w:val="21"/>
              </w:rPr>
              <w:t>383.4</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cs="宋体"/>
                <w:color w:val="000000"/>
                <w:szCs w:val="21"/>
              </w:rPr>
              <w:t>383.4</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203"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203"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4</w:t>
            </w:r>
          </w:p>
        </w:tc>
        <w:tc>
          <w:tcPr>
            <w:tcW w:w="11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5</w:t>
            </w:r>
          </w:p>
        </w:tc>
        <w:tc>
          <w:tcPr>
            <w:tcW w:w="12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cs="宋体"/>
                <w:color w:val="000000"/>
                <w:szCs w:val="21"/>
              </w:rPr>
              <w:t>382.83</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cs="宋体"/>
                <w:color w:val="000000"/>
                <w:szCs w:val="21"/>
              </w:rPr>
              <w:t>382.83</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cs="宋体"/>
                <w:color w:val="000000"/>
                <w:szCs w:val="21"/>
              </w:rPr>
              <w:t>382.83</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cs="宋体"/>
                <w:color w:val="000000"/>
                <w:szCs w:val="21"/>
              </w:rPr>
              <w:t>382.83</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cs="宋体"/>
                <w:color w:val="000000"/>
                <w:szCs w:val="21"/>
              </w:rPr>
              <w:t>382.83</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cs="宋体"/>
                <w:color w:val="000000"/>
                <w:szCs w:val="21"/>
              </w:rPr>
              <w:t>382.83</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jc w:val="left"/>
              <w:textAlignment w:val="center"/>
              <w:rPr>
                <w:rFonts w:ascii="宋体" w:cs="宋体"/>
                <w:color w:val="000000"/>
                <w:szCs w:val="21"/>
              </w:rPr>
            </w:pPr>
            <w:r>
              <w:rPr>
                <w:rFonts w:hint="eastAsia" w:ascii="宋体" w:hAnsi="宋体" w:cs="宋体"/>
                <w:color w:val="000000"/>
                <w:kern w:val="0"/>
                <w:szCs w:val="21"/>
              </w:rPr>
              <w:t>注：本表反映部门本年度纳入部门预算范围的政府采购预算及支出情况。</w:t>
            </w:r>
          </w:p>
        </w:tc>
      </w:tr>
    </w:tbl>
    <w:p>
      <w:pPr>
        <w:widowControl/>
        <w:spacing w:after="0" w:line="560" w:lineRule="exact"/>
        <w:jc w:val="left"/>
        <w:rPr>
          <w:rFonts w:ascii="仿宋_GB2312" w:hAnsi="宋体" w:eastAsia="仿宋_GB2312"/>
          <w:b/>
          <w:sz w:val="28"/>
          <w:szCs w:val="28"/>
          <w:highlight w:val="yellow"/>
        </w:rPr>
      </w:pPr>
    </w:p>
    <w:p/>
    <w:p/>
    <w:p/>
    <w:p/>
    <w:p>
      <w:pPr>
        <w:tabs>
          <w:tab w:val="left" w:pos="1086"/>
        </w:tabs>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r>
        <w:tab/>
      </w:r>
    </w:p>
    <w:p>
      <w:pPr>
        <w:rPr>
          <w:rFonts w:ascii="宋体" w:cs="ArialUnicodeMS"/>
          <w:color w:val="000000"/>
          <w:kern w:val="0"/>
        </w:rPr>
        <w:sectPr>
          <w:pgSz w:w="11906" w:h="16838"/>
          <w:pgMar w:top="2098" w:right="1474" w:bottom="1984" w:left="1588" w:header="851" w:footer="992" w:gutter="0"/>
          <w:cols w:space="0" w:num="1"/>
          <w:docGrid w:type="lines" w:linePitch="312" w:charSpace="0"/>
        </w:sectPr>
      </w:pPr>
      <w: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8"/>
                    <a:stretch>
                      <a:fillRect/>
                    </a:stretch>
                  </pic:blipFill>
                  <pic:spPr>
                    <a:xfrm>
                      <a:off x="0" y="0"/>
                      <a:ext cx="7550150" cy="10680065"/>
                    </a:xfrm>
                    <a:prstGeom prst="rect">
                      <a:avLst/>
                    </a:prstGeom>
                    <a:noFill/>
                    <a:ln>
                      <a:noFill/>
                    </a:ln>
                  </pic:spPr>
                </pic:pic>
              </a:graphicData>
            </a:graphic>
          </wp:anchor>
        </w:drawing>
      </w:r>
      <w:r>
        <mc:AlternateContent>
          <mc:Choice Requires="wps">
            <w:drawing>
              <wp:anchor distT="0" distB="0" distL="114300" distR="114300" simplePos="0" relativeHeight="25166131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1312;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BYAAABkcnMvUEsBAhQAFAAAAAgAh07i&#10;QNlmnozeAAAADQEAAA8AAAAAAAAAAQAgAAAAOAAAAGRycy9kb3ducmV2LnhtbFBLAQIUABQAAAAI&#10;AIdO4kDAN8yzQwIAAHUEAAAOAAAAAAAAAAEAIAAAAEMBAABkcnMvZTJvRG9jLnhtbFBLBQYAAAAA&#10;BgAGAFkBAAD4BQAAAAA=&#10;">
                <v:fill on="f" focussize="0,0"/>
                <v:stroke on="f" weight="0.5pt"/>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cs="黑体"/>
          <w:b w:val="0"/>
          <w:bCs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年度收支总计（含结转和结余）</w:t>
      </w:r>
      <w:r>
        <w:rPr>
          <w:rFonts w:ascii="仿宋_GB2312" w:eastAsia="仿宋_GB2312" w:cs="DengXian-Regular"/>
          <w:sz w:val="32"/>
          <w:szCs w:val="32"/>
        </w:rPr>
        <w:t>12724.88</w:t>
      </w:r>
      <w:r>
        <w:rPr>
          <w:rFonts w:hint="eastAsia" w:ascii="仿宋_GB2312" w:eastAsia="仿宋_GB2312" w:cs="DengXian-Regular"/>
          <w:sz w:val="32"/>
          <w:szCs w:val="32"/>
        </w:rPr>
        <w:t>万元。与</w:t>
      </w:r>
      <w:r>
        <w:rPr>
          <w:rFonts w:ascii="仿宋_GB2312" w:eastAsia="仿宋_GB2312" w:cs="DengXian-Regular"/>
          <w:sz w:val="32"/>
          <w:szCs w:val="32"/>
        </w:rPr>
        <w:t>2017</w:t>
      </w:r>
      <w:r>
        <w:rPr>
          <w:rFonts w:hint="eastAsia" w:ascii="仿宋_GB2312" w:eastAsia="仿宋_GB2312" w:cs="DengXian-Regular"/>
          <w:sz w:val="32"/>
          <w:szCs w:val="32"/>
        </w:rPr>
        <w:t>年度决算相比，收支各增加</w:t>
      </w:r>
      <w:r>
        <w:rPr>
          <w:rFonts w:ascii="仿宋_GB2312" w:eastAsia="仿宋_GB2312" w:cs="DengXian-Regular"/>
          <w:sz w:val="32"/>
          <w:szCs w:val="32"/>
        </w:rPr>
        <w:t>1842.21</w:t>
      </w:r>
      <w:r>
        <w:rPr>
          <w:rFonts w:hint="eastAsia" w:ascii="仿宋_GB2312" w:eastAsia="仿宋_GB2312" w:cs="DengXian-Regular"/>
          <w:sz w:val="32"/>
          <w:szCs w:val="32"/>
        </w:rPr>
        <w:t>万元，增长</w:t>
      </w:r>
      <w:r>
        <w:rPr>
          <w:rFonts w:ascii="仿宋_GB2312" w:eastAsia="仿宋_GB2312" w:cs="DengXian-Regular"/>
          <w:sz w:val="32"/>
          <w:szCs w:val="32"/>
        </w:rPr>
        <w:t>16.93%</w:t>
      </w:r>
      <w:r>
        <w:rPr>
          <w:rFonts w:hint="eastAsia" w:ascii="仿宋_GB2312" w:eastAsia="仿宋_GB2312" w:cs="DengXian-Regular"/>
          <w:sz w:val="32"/>
          <w:szCs w:val="32"/>
        </w:rPr>
        <w:t>，主要原因是</w:t>
      </w:r>
      <w:bookmarkStart w:id="1" w:name="OLE_LINK2"/>
      <w:r>
        <w:rPr>
          <w:rFonts w:hint="eastAsia" w:ascii="仿宋_GB2312" w:eastAsia="仿宋_GB2312" w:cs="DengXian-Regular"/>
          <w:sz w:val="32"/>
          <w:szCs w:val="32"/>
        </w:rPr>
        <w:t>今年新增开发区道路建设项目资金</w:t>
      </w:r>
      <w:bookmarkEnd w:id="1"/>
      <w:r>
        <w:rPr>
          <w:rFonts w:hint="eastAsia" w:ascii="仿宋_GB2312" w:eastAsia="仿宋_GB2312" w:cs="DengXian-Regular"/>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年度本年收入合计</w:t>
      </w:r>
      <w:r>
        <w:rPr>
          <w:rFonts w:ascii="仿宋_GB2312" w:eastAsia="仿宋_GB2312" w:cs="DengXian-Regular"/>
          <w:sz w:val="32"/>
          <w:szCs w:val="32"/>
        </w:rPr>
        <w:t>9678.05</w:t>
      </w:r>
      <w:r>
        <w:rPr>
          <w:rFonts w:hint="eastAsia" w:ascii="仿宋_GB2312" w:eastAsia="仿宋_GB2312" w:cs="DengXian-Regular"/>
          <w:sz w:val="32"/>
          <w:szCs w:val="32"/>
        </w:rPr>
        <w:t>万元，其中：财政拨款收入</w:t>
      </w:r>
      <w:r>
        <w:rPr>
          <w:rFonts w:ascii="仿宋_GB2312" w:eastAsia="仿宋_GB2312" w:cs="DengXian-Regular"/>
          <w:sz w:val="32"/>
          <w:szCs w:val="32"/>
        </w:rPr>
        <w:t>9678.05</w:t>
      </w:r>
      <w:r>
        <w:rPr>
          <w:rFonts w:hint="eastAsia" w:ascii="仿宋_GB2312" w:eastAsia="仿宋_GB2312" w:cs="DengXian-Regular"/>
          <w:sz w:val="32"/>
          <w:szCs w:val="32"/>
        </w:rPr>
        <w:t>万元，占</w:t>
      </w:r>
      <w:r>
        <w:rPr>
          <w:rFonts w:ascii="仿宋_GB2312" w:eastAsia="仿宋_GB2312" w:cs="DengXian-Regular"/>
          <w:sz w:val="32"/>
          <w:szCs w:val="32"/>
        </w:rPr>
        <w:t>100%</w:t>
      </w:r>
      <w:r>
        <w:rPr>
          <w:rFonts w:hint="eastAsia" w:ascii="仿宋_GB2312" w:eastAsia="仿宋_GB2312" w:cs="DengXian-Regular"/>
          <w:sz w:val="32"/>
          <w:szCs w:val="32"/>
        </w:rPr>
        <w:t>；事业收入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；经营收入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；其他收入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。如图所示：</w:t>
      </w:r>
    </w:p>
    <w:p>
      <w:pPr>
        <w:pStyle w:val="3"/>
        <w:spacing w:before="0" w:after="0" w:line="240" w:lineRule="auto"/>
        <w:ind w:firstLine="643" w:firstLineChars="200"/>
        <w:rPr>
          <w:rFonts w:ascii="黑体" w:eastAsia="黑体"/>
        </w:rPr>
      </w:pPr>
      <w:r>
        <w:object>
          <v:shape id="_x0000_i1025" o:spt="75" type="#_x0000_t75" style="height:201pt;width:346.5pt;" o:ole="t" filled="f" o:preferrelative="t" stroked="f" coordsize="21600,21600">
            <v:path/>
            <v:fill on="f" focussize="0,0"/>
            <v:stroke on="f" joinstyle="miter"/>
            <v:imagedata r:id="rId10" o:title=""/>
            <o:lock v:ext="edit" aspectratio="f"/>
            <w10:wrap type="none"/>
            <w10:anchorlock/>
          </v:shape>
          <o:OLEObject Type="Embed" ProgID="Excel.Sheet.8" ShapeID="_x0000_i1025" DrawAspect="Content" ObjectID="_1468075725" r:id="rId9">
            <o:LockedField>false</o:LockedField>
          </o:OLEObject>
        </w:object>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年度本年支出合计</w:t>
      </w:r>
      <w:r>
        <w:rPr>
          <w:rFonts w:ascii="仿宋_GB2312" w:eastAsia="仿宋_GB2312" w:cs="DengXian-Regular"/>
          <w:sz w:val="32"/>
          <w:szCs w:val="32"/>
        </w:rPr>
        <w:t>7473.53</w:t>
      </w:r>
      <w:r>
        <w:rPr>
          <w:rFonts w:hint="eastAsia" w:ascii="仿宋_GB2312" w:eastAsia="仿宋_GB2312" w:cs="DengXian-Regular"/>
          <w:sz w:val="32"/>
          <w:szCs w:val="32"/>
        </w:rPr>
        <w:t>万元，其中：基本支出</w:t>
      </w:r>
      <w:r>
        <w:rPr>
          <w:rFonts w:ascii="仿宋_GB2312" w:eastAsia="仿宋_GB2312" w:cs="DengXian-Regular"/>
          <w:sz w:val="32"/>
          <w:szCs w:val="32"/>
        </w:rPr>
        <w:t>161.12</w:t>
      </w:r>
      <w:r>
        <w:rPr>
          <w:rFonts w:hint="eastAsia" w:ascii="仿宋_GB2312" w:eastAsia="仿宋_GB2312" w:cs="DengXian-Regular"/>
          <w:sz w:val="32"/>
          <w:szCs w:val="32"/>
        </w:rPr>
        <w:t>万元，占</w:t>
      </w:r>
      <w:r>
        <w:rPr>
          <w:rFonts w:ascii="仿宋_GB2312" w:eastAsia="仿宋_GB2312" w:cs="DengXian-Regular"/>
          <w:sz w:val="32"/>
          <w:szCs w:val="32"/>
        </w:rPr>
        <w:t>2.16%</w:t>
      </w:r>
      <w:r>
        <w:rPr>
          <w:rFonts w:hint="eastAsia" w:ascii="仿宋_GB2312" w:eastAsia="仿宋_GB2312" w:cs="DengXian-Regular"/>
          <w:sz w:val="32"/>
          <w:szCs w:val="32"/>
        </w:rPr>
        <w:t>；项目支出</w:t>
      </w:r>
      <w:r>
        <w:rPr>
          <w:rFonts w:ascii="仿宋_GB2312" w:eastAsia="仿宋_GB2312" w:cs="DengXian-Regular"/>
          <w:sz w:val="32"/>
          <w:szCs w:val="32"/>
        </w:rPr>
        <w:t>7312.41</w:t>
      </w:r>
      <w:r>
        <w:rPr>
          <w:rFonts w:hint="eastAsia" w:ascii="仿宋_GB2312" w:eastAsia="仿宋_GB2312" w:cs="DengXian-Regular"/>
          <w:sz w:val="32"/>
          <w:szCs w:val="32"/>
        </w:rPr>
        <w:t>万元，占</w:t>
      </w:r>
      <w:r>
        <w:rPr>
          <w:rFonts w:ascii="仿宋_GB2312" w:eastAsia="仿宋_GB2312" w:cs="DengXian-Regular"/>
          <w:sz w:val="32"/>
          <w:szCs w:val="32"/>
        </w:rPr>
        <w:t>97.84%</w:t>
      </w:r>
      <w:r>
        <w:rPr>
          <w:rFonts w:hint="eastAsia" w:ascii="仿宋_GB2312" w:eastAsia="仿宋_GB2312" w:cs="DengXian-Regular"/>
          <w:sz w:val="32"/>
          <w:szCs w:val="32"/>
        </w:rPr>
        <w:t>；经营支出</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。如图所示：</w:t>
      </w:r>
    </w:p>
    <w:p>
      <w:pPr>
        <w:pStyle w:val="3"/>
        <w:spacing w:before="0" w:after="0" w:line="240" w:lineRule="auto"/>
        <w:ind w:firstLine="643" w:firstLineChars="200"/>
        <w:rPr>
          <w:rFonts w:ascii="黑体" w:eastAsia="黑体"/>
        </w:rPr>
      </w:pPr>
      <w:r>
        <w:object>
          <v:shape id="_x0000_i1026" o:spt="75" type="#_x0000_t75" style="height:202.5pt;width:337.5pt;" o:ole="t" filled="f" o:preferrelative="t" stroked="f" coordsize="21600,21600">
            <v:path/>
            <v:fill on="f" focussize="0,0"/>
            <v:stroke on="f" joinstyle="miter"/>
            <v:imagedata r:id="rId12" o:title=""/>
            <o:lock v:ext="edit" aspectratio="f"/>
            <w10:wrap type="none"/>
            <w10:anchorlock/>
          </v:shape>
          <o:OLEObject Type="Embed" ProgID="Excel.Sheet.8" ShapeID="_x0000_i1026" DrawAspect="Content" ObjectID="_1468075726" r:id="rId11">
            <o:LockedField>false</o:LockedField>
          </o:OLEObject>
        </w:object>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cs="黑体"/>
          <w:b w:val="0"/>
          <w:bCs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ascii="楷体_GB2312" w:eastAsia="楷体_GB2312" w:cs="DengXian-Bold"/>
          <w:b/>
          <w:bCs/>
          <w:sz w:val="32"/>
          <w:szCs w:val="32"/>
        </w:rPr>
        <w:t xml:space="preserve">2017 </w:t>
      </w:r>
      <w:r>
        <w:rPr>
          <w:rFonts w:hint="eastAsia" w:ascii="楷体_GB2312" w:eastAsia="楷体_GB2312" w:cs="DengXian-Bold"/>
          <w:b/>
          <w:bCs/>
          <w:sz w:val="32"/>
          <w:szCs w:val="32"/>
        </w:rPr>
        <w:t>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年度财政拨款本年收入</w:t>
      </w:r>
      <w:r>
        <w:rPr>
          <w:rFonts w:ascii="仿宋_GB2312" w:eastAsia="仿宋_GB2312" w:cs="DengXian-Regular"/>
          <w:sz w:val="32"/>
          <w:szCs w:val="32"/>
        </w:rPr>
        <w:t>9678.05</w:t>
      </w:r>
      <w:r>
        <w:rPr>
          <w:rFonts w:hint="eastAsia" w:ascii="仿宋_GB2312" w:eastAsia="仿宋_GB2312" w:cs="DengXian-Regular"/>
          <w:sz w:val="32"/>
          <w:szCs w:val="32"/>
        </w:rPr>
        <w:t>万元</w:t>
      </w:r>
      <w:r>
        <w:rPr>
          <w:rFonts w:ascii="仿宋_GB2312" w:eastAsia="仿宋_GB2312" w:cs="DengXian-Regular"/>
          <w:sz w:val="32"/>
          <w:szCs w:val="32"/>
        </w:rPr>
        <w:t>,</w:t>
      </w:r>
      <w:r>
        <w:rPr>
          <w:rFonts w:hint="eastAsia" w:ascii="仿宋_GB2312" w:eastAsia="仿宋_GB2312" w:cs="DengXian-Regular"/>
          <w:sz w:val="32"/>
          <w:szCs w:val="32"/>
        </w:rPr>
        <w:t>比</w:t>
      </w:r>
      <w:r>
        <w:rPr>
          <w:rFonts w:ascii="仿宋_GB2312" w:eastAsia="仿宋_GB2312" w:cs="DengXian-Regular"/>
          <w:sz w:val="32"/>
          <w:szCs w:val="32"/>
        </w:rPr>
        <w:t>2017</w:t>
      </w:r>
      <w:r>
        <w:rPr>
          <w:rFonts w:hint="eastAsia" w:ascii="仿宋_GB2312" w:eastAsia="仿宋_GB2312" w:cs="DengXian-Regular"/>
          <w:sz w:val="32"/>
          <w:szCs w:val="32"/>
        </w:rPr>
        <w:t>年度减少</w:t>
      </w:r>
      <w:r>
        <w:rPr>
          <w:rFonts w:ascii="仿宋_GB2312" w:eastAsia="仿宋_GB2312" w:cs="DengXian-Regular"/>
          <w:sz w:val="32"/>
          <w:szCs w:val="32"/>
        </w:rPr>
        <w:t>1123.26</w:t>
      </w:r>
      <w:r>
        <w:rPr>
          <w:rFonts w:hint="eastAsia" w:ascii="仿宋_GB2312" w:eastAsia="仿宋_GB2312" w:cs="DengXian-Regular"/>
          <w:sz w:val="32"/>
          <w:szCs w:val="32"/>
        </w:rPr>
        <w:t>万元，降低</w:t>
      </w:r>
      <w:r>
        <w:rPr>
          <w:rFonts w:ascii="仿宋_GB2312" w:eastAsia="仿宋_GB2312" w:cs="DengXian-Regular"/>
          <w:sz w:val="32"/>
          <w:szCs w:val="32"/>
        </w:rPr>
        <w:t>10.4%</w:t>
      </w:r>
      <w:r>
        <w:rPr>
          <w:rFonts w:hint="eastAsia" w:ascii="仿宋_GB2312" w:eastAsia="仿宋_GB2312" w:cs="DengXian-Regular"/>
          <w:sz w:val="32"/>
          <w:szCs w:val="32"/>
        </w:rPr>
        <w:t>，主要是减少项目资金；本年支出</w:t>
      </w:r>
      <w:r>
        <w:rPr>
          <w:rFonts w:ascii="仿宋_GB2312" w:eastAsia="仿宋_GB2312" w:cs="DengXian-Regular"/>
          <w:sz w:val="32"/>
          <w:szCs w:val="32"/>
        </w:rPr>
        <w:t>7473.53</w:t>
      </w:r>
      <w:r>
        <w:rPr>
          <w:rFonts w:hint="eastAsia" w:ascii="仿宋_GB2312" w:eastAsia="仿宋_GB2312" w:cs="DengXian-Regular"/>
          <w:sz w:val="32"/>
          <w:szCs w:val="32"/>
        </w:rPr>
        <w:t>万元，减少</w:t>
      </w:r>
      <w:r>
        <w:rPr>
          <w:rFonts w:ascii="仿宋_GB2312" w:eastAsia="仿宋_GB2312" w:cs="DengXian-Regular"/>
          <w:sz w:val="32"/>
          <w:szCs w:val="32"/>
        </w:rPr>
        <w:t>353.82</w:t>
      </w:r>
      <w:r>
        <w:rPr>
          <w:rFonts w:hint="eastAsia" w:ascii="仿宋_GB2312" w:eastAsia="仿宋_GB2312" w:cs="DengXian-Regular"/>
          <w:sz w:val="32"/>
          <w:szCs w:val="32"/>
        </w:rPr>
        <w:t>万元，降低</w:t>
      </w:r>
      <w:r>
        <w:rPr>
          <w:rFonts w:ascii="仿宋_GB2312" w:eastAsia="仿宋_GB2312" w:cs="DengXian-Regular"/>
          <w:sz w:val="32"/>
          <w:szCs w:val="32"/>
        </w:rPr>
        <w:t>4.52%</w:t>
      </w:r>
      <w:r>
        <w:rPr>
          <w:rFonts w:hint="eastAsia" w:ascii="仿宋_GB2312" w:eastAsia="仿宋_GB2312" w:cs="DengXian-Regular"/>
          <w:sz w:val="32"/>
          <w:szCs w:val="32"/>
        </w:rPr>
        <w:t>，与上年基本持平。</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w:t>
      </w:r>
      <w:r>
        <w:rPr>
          <w:rFonts w:ascii="仿宋_GB2312" w:eastAsia="仿宋_GB2312" w:cs="DengXian-Regular"/>
          <w:sz w:val="32"/>
          <w:szCs w:val="32"/>
        </w:rPr>
        <w:t>9678.05</w:t>
      </w:r>
      <w:r>
        <w:rPr>
          <w:rFonts w:hint="eastAsia" w:ascii="仿宋_GB2312" w:eastAsia="仿宋_GB2312" w:cs="DengXian-Regular"/>
          <w:sz w:val="32"/>
          <w:szCs w:val="32"/>
        </w:rPr>
        <w:t>万元，比上年增加</w:t>
      </w:r>
      <w:r>
        <w:rPr>
          <w:rFonts w:ascii="仿宋_GB2312" w:eastAsia="仿宋_GB2312" w:cs="DengXian-Regular"/>
          <w:sz w:val="32"/>
          <w:szCs w:val="32"/>
        </w:rPr>
        <w:t>892.09</w:t>
      </w:r>
      <w:r>
        <w:rPr>
          <w:rFonts w:hint="eastAsia" w:ascii="仿宋_GB2312" w:eastAsia="仿宋_GB2312" w:cs="DengXian-Regular"/>
          <w:sz w:val="32"/>
          <w:szCs w:val="32"/>
        </w:rPr>
        <w:t>万元；主要是今年新增开发区道路建设项目资金；本年支出</w:t>
      </w:r>
      <w:r>
        <w:rPr>
          <w:rFonts w:ascii="仿宋_GB2312" w:eastAsia="仿宋_GB2312" w:cs="DengXian-Regular"/>
          <w:sz w:val="32"/>
          <w:szCs w:val="32"/>
        </w:rPr>
        <w:t>7251.53</w:t>
      </w:r>
      <w:r>
        <w:rPr>
          <w:rFonts w:hint="eastAsia" w:ascii="仿宋_GB2312" w:eastAsia="仿宋_GB2312" w:cs="DengXian-Regular"/>
          <w:sz w:val="32"/>
          <w:szCs w:val="32"/>
        </w:rPr>
        <w:t>万元，比上年增加</w:t>
      </w:r>
      <w:r>
        <w:rPr>
          <w:rFonts w:ascii="仿宋_GB2312" w:eastAsia="仿宋_GB2312" w:cs="DengXian-Regular"/>
          <w:sz w:val="32"/>
          <w:szCs w:val="32"/>
        </w:rPr>
        <w:t>120.52</w:t>
      </w:r>
      <w:r>
        <w:rPr>
          <w:rFonts w:hint="eastAsia" w:ascii="仿宋_GB2312" w:eastAsia="仿宋_GB2312" w:cs="DengXian-Regular"/>
          <w:sz w:val="32"/>
          <w:szCs w:val="32"/>
        </w:rPr>
        <w:t>万元，增长</w:t>
      </w:r>
      <w:r>
        <w:rPr>
          <w:rFonts w:ascii="仿宋_GB2312" w:eastAsia="仿宋_GB2312" w:cs="DengXian-Regular"/>
          <w:sz w:val="32"/>
          <w:szCs w:val="32"/>
        </w:rPr>
        <w:t>1.69%</w:t>
      </w:r>
      <w:r>
        <w:rPr>
          <w:rFonts w:hint="eastAsia" w:ascii="仿宋_GB2312" w:eastAsia="仿宋_GB2312" w:cs="DengXian-Regular"/>
          <w:sz w:val="32"/>
          <w:szCs w:val="32"/>
        </w:rPr>
        <w:t>，与上年基本持平。政府性基金预算财政拨款本年收入</w:t>
      </w:r>
      <w:r>
        <w:rPr>
          <w:rFonts w:ascii="仿宋_GB2312" w:eastAsia="仿宋_GB2312" w:cs="DengXian-Regular"/>
          <w:sz w:val="32"/>
          <w:szCs w:val="32"/>
        </w:rPr>
        <w:t>0</w:t>
      </w:r>
      <w:r>
        <w:rPr>
          <w:rFonts w:hint="eastAsia" w:ascii="仿宋_GB2312" w:eastAsia="仿宋_GB2312" w:cs="DengXian-Regular"/>
          <w:sz w:val="32"/>
          <w:szCs w:val="32"/>
        </w:rPr>
        <w:t>万元，比上年减少</w:t>
      </w:r>
      <w:r>
        <w:rPr>
          <w:rFonts w:ascii="仿宋_GB2312" w:eastAsia="仿宋_GB2312" w:cs="DengXian-Regular"/>
          <w:sz w:val="32"/>
          <w:szCs w:val="32"/>
        </w:rPr>
        <w:t>2015.34</w:t>
      </w:r>
      <w:r>
        <w:rPr>
          <w:rFonts w:hint="eastAsia" w:ascii="仿宋_GB2312" w:eastAsia="仿宋_GB2312" w:cs="DengXian-Regular"/>
          <w:sz w:val="32"/>
          <w:szCs w:val="32"/>
        </w:rPr>
        <w:t>万元，降低</w:t>
      </w:r>
      <w:r>
        <w:rPr>
          <w:rFonts w:ascii="仿宋_GB2312" w:eastAsia="仿宋_GB2312" w:cs="DengXian-Regular"/>
          <w:sz w:val="32"/>
          <w:szCs w:val="32"/>
        </w:rPr>
        <w:t>100%</w:t>
      </w:r>
      <w:r>
        <w:rPr>
          <w:rFonts w:hint="eastAsia" w:ascii="仿宋_GB2312" w:eastAsia="仿宋_GB2312" w:cs="DengXian-Regular"/>
          <w:sz w:val="32"/>
          <w:szCs w:val="32"/>
        </w:rPr>
        <w:t>，主要原因是上年末财政拨款资金结转，本年无收入；本年支出</w:t>
      </w:r>
      <w:r>
        <w:rPr>
          <w:rFonts w:ascii="仿宋_GB2312" w:eastAsia="仿宋_GB2312" w:cs="DengXian-Regular"/>
          <w:sz w:val="32"/>
          <w:szCs w:val="32"/>
        </w:rPr>
        <w:t>222</w:t>
      </w:r>
      <w:r>
        <w:rPr>
          <w:rFonts w:hint="eastAsia" w:ascii="仿宋_GB2312" w:eastAsia="仿宋_GB2312" w:cs="DengXian-Regular"/>
          <w:sz w:val="32"/>
          <w:szCs w:val="32"/>
        </w:rPr>
        <w:t>万元，比上年减少</w:t>
      </w:r>
      <w:r>
        <w:rPr>
          <w:rFonts w:ascii="仿宋_GB2312" w:eastAsia="仿宋_GB2312" w:cs="DengXian-Regular"/>
          <w:sz w:val="32"/>
          <w:szCs w:val="32"/>
        </w:rPr>
        <w:t>474.34</w:t>
      </w:r>
      <w:r>
        <w:rPr>
          <w:rFonts w:hint="eastAsia" w:ascii="仿宋_GB2312" w:eastAsia="仿宋_GB2312" w:cs="DengXian-Regular"/>
          <w:sz w:val="32"/>
          <w:szCs w:val="32"/>
        </w:rPr>
        <w:t>万元，降低</w:t>
      </w:r>
      <w:r>
        <w:rPr>
          <w:rFonts w:ascii="仿宋_GB2312" w:eastAsia="仿宋_GB2312" w:cs="DengXian-Regular"/>
          <w:sz w:val="32"/>
          <w:szCs w:val="32"/>
        </w:rPr>
        <w:t>68.12%</w:t>
      </w:r>
      <w:r>
        <w:rPr>
          <w:rFonts w:hint="eastAsia" w:ascii="仿宋_GB2312" w:eastAsia="仿宋_GB2312" w:cs="DengXian-Regular"/>
          <w:sz w:val="32"/>
          <w:szCs w:val="32"/>
        </w:rPr>
        <w:t>，主要是本年无新增政府性基金预算项目。</w:t>
      </w:r>
    </w:p>
    <w:p>
      <w:pPr>
        <w:adjustRightInd w:val="0"/>
        <w:snapToGrid w:val="0"/>
        <w:spacing w:after="0" w:line="240" w:lineRule="auto"/>
        <w:ind w:firstLine="420" w:firstLineChars="200"/>
        <w:rPr>
          <w:rFonts w:ascii="仿宋_GB2312" w:eastAsia="仿宋_GB2312" w:cs="DengXian-Regular"/>
          <w:sz w:val="32"/>
          <w:szCs w:val="32"/>
        </w:rPr>
      </w:pPr>
      <w:r>
        <w:object>
          <v:shape id="_x0000_i1027" o:spt="75" type="#_x0000_t75" style="height:243.75pt;width:369pt;" o:ole="t" filled="f" o:preferrelative="t" stroked="f" coordsize="21600,21600">
            <v:path/>
            <v:fill on="f" focussize="0,0"/>
            <v:stroke on="f" joinstyle="miter"/>
            <v:imagedata r:id="rId14" o:title=""/>
            <o:lock v:ext="edit" aspectratio="f"/>
            <w10:wrap type="none"/>
            <w10:anchorlock/>
          </v:shape>
          <o:OLEObject Type="Embed" ProgID="Excel.Sheet.8" ShapeID="_x0000_i1027" DrawAspect="Content" ObjectID="_1468075727" r:id="rId13">
            <o:LockedField>false</o:LockedField>
          </o:OLEObject>
        </w:object>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年度财政拨款本年收入</w:t>
      </w:r>
      <w:r>
        <w:rPr>
          <w:rFonts w:ascii="仿宋_GB2312" w:eastAsia="仿宋_GB2312" w:cs="DengXian-Regular"/>
          <w:sz w:val="32"/>
          <w:szCs w:val="32"/>
        </w:rPr>
        <w:t>9678.05</w:t>
      </w:r>
      <w:r>
        <w:rPr>
          <w:rFonts w:hint="eastAsia" w:ascii="仿宋_GB2312" w:eastAsia="仿宋_GB2312" w:cs="DengXian-Regular"/>
          <w:sz w:val="32"/>
          <w:szCs w:val="32"/>
        </w:rPr>
        <w:t>万元，完成年初预算的</w:t>
      </w:r>
      <w:r>
        <w:rPr>
          <w:rFonts w:ascii="仿宋_GB2312" w:eastAsia="仿宋_GB2312" w:cs="DengXian-Regular"/>
          <w:sz w:val="32"/>
          <w:szCs w:val="32"/>
        </w:rPr>
        <w:t>2646.72%,</w:t>
      </w:r>
      <w:r>
        <w:rPr>
          <w:rFonts w:hint="eastAsia" w:ascii="仿宋_GB2312" w:eastAsia="仿宋_GB2312" w:cs="DengXian-Regular"/>
          <w:sz w:val="32"/>
          <w:szCs w:val="32"/>
        </w:rPr>
        <w:t>比年初预算增加</w:t>
      </w:r>
      <w:r>
        <w:rPr>
          <w:rFonts w:ascii="仿宋_GB2312" w:eastAsia="仿宋_GB2312" w:cs="DengXian-Regular"/>
          <w:sz w:val="32"/>
          <w:szCs w:val="32"/>
        </w:rPr>
        <w:t>9325.7</w:t>
      </w:r>
      <w:r>
        <w:rPr>
          <w:rFonts w:hint="eastAsia" w:ascii="仿宋_GB2312" w:eastAsia="仿宋_GB2312" w:cs="DengXian-Regular"/>
          <w:sz w:val="32"/>
          <w:szCs w:val="32"/>
        </w:rPr>
        <w:t>万元，决算数大于预算数主要原因是今年新增开发区道路建设项目资金，中小企业发展专项资金增加等；本年支出</w:t>
      </w:r>
      <w:r>
        <w:rPr>
          <w:rFonts w:ascii="仿宋_GB2312" w:eastAsia="仿宋_GB2312" w:cs="DengXian-Regular"/>
          <w:sz w:val="32"/>
          <w:szCs w:val="32"/>
        </w:rPr>
        <w:t>7473.53</w:t>
      </w:r>
      <w:r>
        <w:rPr>
          <w:rFonts w:hint="eastAsia" w:ascii="仿宋_GB2312" w:eastAsia="仿宋_GB2312" w:cs="DengXian-Regular"/>
          <w:sz w:val="32"/>
          <w:szCs w:val="32"/>
        </w:rPr>
        <w:t>万元，完成年初预算的</w:t>
      </w:r>
      <w:r>
        <w:rPr>
          <w:rFonts w:ascii="仿宋_GB2312" w:eastAsia="仿宋_GB2312" w:cs="DengXian-Regular"/>
          <w:sz w:val="32"/>
          <w:szCs w:val="32"/>
        </w:rPr>
        <w:t>2021.05%,</w:t>
      </w:r>
      <w:r>
        <w:rPr>
          <w:rFonts w:hint="eastAsia" w:ascii="仿宋_GB2312" w:eastAsia="仿宋_GB2312" w:cs="DengXian-Regular"/>
          <w:sz w:val="32"/>
          <w:szCs w:val="32"/>
        </w:rPr>
        <w:t>比年初预算增加</w:t>
      </w:r>
      <w:r>
        <w:rPr>
          <w:rFonts w:ascii="仿宋_GB2312" w:eastAsia="仿宋_GB2312" w:cs="DengXian-Regular"/>
          <w:sz w:val="32"/>
          <w:szCs w:val="32"/>
        </w:rPr>
        <w:t>7121.18</w:t>
      </w:r>
      <w:r>
        <w:rPr>
          <w:rFonts w:hint="eastAsia" w:ascii="仿宋_GB2312" w:eastAsia="仿宋_GB2312" w:cs="DengXian-Regular"/>
          <w:sz w:val="32"/>
          <w:szCs w:val="32"/>
        </w:rPr>
        <w:t>万元，决算数大于预算数主要原因主要是中小企业发展专项资金增加及项目工程款增加。</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w:t>
      </w:r>
      <w:r>
        <w:rPr>
          <w:rFonts w:ascii="仿宋_GB2312" w:eastAsia="仿宋_GB2312" w:cs="DengXian-Regular"/>
          <w:sz w:val="32"/>
          <w:szCs w:val="32"/>
        </w:rPr>
        <w:t>9678.05</w:t>
      </w:r>
      <w:r>
        <w:rPr>
          <w:rFonts w:hint="eastAsia" w:ascii="仿宋_GB2312" w:eastAsia="仿宋_GB2312" w:cs="DengXian-Regular"/>
          <w:sz w:val="32"/>
          <w:szCs w:val="32"/>
        </w:rPr>
        <w:t>万元，完成年初预算</w:t>
      </w:r>
      <w:r>
        <w:rPr>
          <w:rFonts w:ascii="仿宋_GB2312" w:eastAsia="仿宋_GB2312" w:cs="DengXian-Regular"/>
          <w:sz w:val="32"/>
          <w:szCs w:val="32"/>
        </w:rPr>
        <w:t>2646.72%</w:t>
      </w:r>
      <w:r>
        <w:rPr>
          <w:rFonts w:hint="eastAsia" w:ascii="仿宋_GB2312" w:eastAsia="仿宋_GB2312" w:cs="DengXian-Regular"/>
          <w:sz w:val="32"/>
          <w:szCs w:val="32"/>
        </w:rPr>
        <w:t>，比年初预算增加</w:t>
      </w:r>
      <w:r>
        <w:rPr>
          <w:rFonts w:ascii="仿宋_GB2312" w:eastAsia="仿宋_GB2312" w:cs="DengXian-Regular"/>
          <w:sz w:val="32"/>
          <w:szCs w:val="32"/>
        </w:rPr>
        <w:t>9325.7</w:t>
      </w:r>
      <w:r>
        <w:rPr>
          <w:rFonts w:hint="eastAsia" w:ascii="仿宋_GB2312" w:eastAsia="仿宋_GB2312" w:cs="DengXian-Regular"/>
          <w:sz w:val="32"/>
          <w:szCs w:val="32"/>
        </w:rPr>
        <w:t>万元，主要是今年新增开发区道路建设项目资金；支出</w:t>
      </w:r>
      <w:r>
        <w:rPr>
          <w:rFonts w:ascii="仿宋_GB2312" w:eastAsia="仿宋_GB2312" w:cs="DengXian-Regular"/>
          <w:sz w:val="32"/>
          <w:szCs w:val="32"/>
        </w:rPr>
        <w:t>7251.53</w:t>
      </w:r>
      <w:r>
        <w:rPr>
          <w:rFonts w:hint="eastAsia" w:ascii="仿宋_GB2312" w:eastAsia="仿宋_GB2312" w:cs="DengXian-Regular"/>
          <w:sz w:val="32"/>
          <w:szCs w:val="32"/>
        </w:rPr>
        <w:t>万元，完成年初预算</w:t>
      </w:r>
      <w:r>
        <w:rPr>
          <w:rFonts w:ascii="仿宋_GB2312" w:eastAsia="仿宋_GB2312" w:cs="DengXian-Regular"/>
          <w:sz w:val="32"/>
          <w:szCs w:val="32"/>
        </w:rPr>
        <w:t>2058.05%</w:t>
      </w:r>
      <w:r>
        <w:rPr>
          <w:rFonts w:hint="eastAsia" w:ascii="仿宋_GB2312" w:eastAsia="仿宋_GB2312" w:cs="DengXian-Regular"/>
          <w:sz w:val="32"/>
          <w:szCs w:val="32"/>
        </w:rPr>
        <w:t>，比年初预算增加</w:t>
      </w:r>
      <w:r>
        <w:rPr>
          <w:rFonts w:ascii="仿宋_GB2312" w:eastAsia="仿宋_GB2312" w:cs="DengXian-Regular"/>
          <w:sz w:val="32"/>
          <w:szCs w:val="32"/>
        </w:rPr>
        <w:t>6899.18</w:t>
      </w:r>
      <w:r>
        <w:rPr>
          <w:rFonts w:hint="eastAsia" w:ascii="仿宋_GB2312" w:eastAsia="仿宋_GB2312" w:cs="DengXian-Regular"/>
          <w:sz w:val="32"/>
          <w:szCs w:val="32"/>
        </w:rPr>
        <w:t>万元，主要是中小企业发展专项资金增加及项目工程款增加。政府性基金预算财政拨款本年收入</w:t>
      </w:r>
      <w:r>
        <w:rPr>
          <w:rFonts w:ascii="仿宋_GB2312" w:eastAsia="仿宋_GB2312" w:cs="DengXian-Regular"/>
          <w:sz w:val="32"/>
          <w:szCs w:val="32"/>
        </w:rPr>
        <w:t>0</w:t>
      </w:r>
      <w:r>
        <w:rPr>
          <w:rFonts w:hint="eastAsia" w:ascii="仿宋_GB2312" w:eastAsia="仿宋_GB2312" w:cs="DengXian-Regular"/>
          <w:sz w:val="32"/>
          <w:szCs w:val="32"/>
        </w:rPr>
        <w:t>万元，本年无收入；支出</w:t>
      </w:r>
      <w:r>
        <w:rPr>
          <w:rFonts w:ascii="仿宋_GB2312" w:eastAsia="仿宋_GB2312" w:cs="DengXian-Regular"/>
          <w:sz w:val="32"/>
          <w:szCs w:val="32"/>
        </w:rPr>
        <w:t>222</w:t>
      </w:r>
      <w:r>
        <w:rPr>
          <w:rFonts w:hint="eastAsia" w:ascii="仿宋_GB2312" w:eastAsia="仿宋_GB2312" w:cs="DengXian-Regular"/>
          <w:sz w:val="32"/>
          <w:szCs w:val="32"/>
        </w:rPr>
        <w:t>万元，比年初预算增加</w:t>
      </w:r>
      <w:r>
        <w:rPr>
          <w:rFonts w:ascii="仿宋_GB2312" w:eastAsia="仿宋_GB2312" w:cs="DengXian-Regular"/>
          <w:sz w:val="32"/>
          <w:szCs w:val="32"/>
        </w:rPr>
        <w:t>222</w:t>
      </w:r>
      <w:r>
        <w:rPr>
          <w:rFonts w:hint="eastAsia" w:ascii="仿宋_GB2312" w:eastAsia="仿宋_GB2312" w:cs="DengXian-Regular"/>
          <w:sz w:val="32"/>
          <w:szCs w:val="32"/>
        </w:rPr>
        <w:t>万元，主要是上年末财政拨款资金结转支出。</w:t>
      </w:r>
    </w:p>
    <w:p>
      <w:pPr>
        <w:adjustRightInd w:val="0"/>
        <w:snapToGrid w:val="0"/>
        <w:spacing w:after="0" w:line="240" w:lineRule="auto"/>
        <w:rPr>
          <w:rFonts w:ascii="仿宋_GB2312" w:eastAsia="仿宋_GB2312" w:cs="DengXian-Regular"/>
          <w:sz w:val="32"/>
          <w:szCs w:val="32"/>
          <w:highlight w:val="yellow"/>
        </w:rPr>
      </w:pPr>
      <w:r>
        <w:object>
          <v:shape id="_x0000_i1028" o:spt="75" type="#_x0000_t75" style="height:283.5pt;width:369pt;" o:ole="t" filled="f" o:preferrelative="t" stroked="f" coordsize="21600,21600">
            <v:path/>
            <v:fill on="f" focussize="0,0"/>
            <v:stroke on="f" joinstyle="miter"/>
            <v:imagedata r:id="rId16" o:title=""/>
            <o:lock v:ext="edit" aspectratio="f"/>
            <w10:wrap type="none"/>
            <w10:anchorlock/>
          </v:shape>
          <o:OLEObject Type="Embed" ProgID="Excel.Sheet.8" ShapeID="_x0000_i1028" DrawAspect="Content" ObjectID="_1468075728" r:id="rId15">
            <o:LockedField>false</o:LockedField>
          </o:OLEObject>
        </w:object>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 xml:space="preserve">2018 </w:t>
      </w:r>
      <w:r>
        <w:rPr>
          <w:rFonts w:hint="eastAsia" w:ascii="仿宋_GB2312" w:eastAsia="仿宋_GB2312" w:cs="DengXian-Regular"/>
          <w:sz w:val="32"/>
          <w:szCs w:val="32"/>
        </w:rPr>
        <w:t>年度财政拨款支出</w:t>
      </w:r>
      <w:r>
        <w:rPr>
          <w:rFonts w:ascii="仿宋_GB2312" w:eastAsia="仿宋_GB2312" w:cs="DengXian-Regular"/>
          <w:sz w:val="32"/>
          <w:szCs w:val="32"/>
        </w:rPr>
        <w:t>7473.53</w:t>
      </w:r>
      <w:r>
        <w:rPr>
          <w:rFonts w:hint="eastAsia" w:ascii="仿宋_GB2312" w:eastAsia="仿宋_GB2312" w:cs="DengXian-Regular"/>
          <w:sz w:val="32"/>
          <w:szCs w:val="32"/>
        </w:rPr>
        <w:t>万元，主要用于以下方面一般公共服务（类）支出</w:t>
      </w:r>
      <w:r>
        <w:rPr>
          <w:rFonts w:ascii="仿宋_GB2312" w:eastAsia="仿宋_GB2312" w:cs="DengXian-Regular"/>
          <w:sz w:val="32"/>
          <w:szCs w:val="32"/>
        </w:rPr>
        <w:t>3183.22</w:t>
      </w:r>
      <w:r>
        <w:rPr>
          <w:rFonts w:hint="eastAsia" w:ascii="仿宋_GB2312" w:eastAsia="仿宋_GB2312" w:cs="DengXian-Regular"/>
          <w:sz w:val="32"/>
          <w:szCs w:val="32"/>
        </w:rPr>
        <w:t>万元，占</w:t>
      </w:r>
      <w:r>
        <w:rPr>
          <w:rFonts w:ascii="仿宋_GB2312" w:eastAsia="仿宋_GB2312" w:cs="DengXian-Regular"/>
          <w:sz w:val="32"/>
          <w:szCs w:val="32"/>
        </w:rPr>
        <w:t>42.59%</w:t>
      </w:r>
      <w:r>
        <w:rPr>
          <w:rFonts w:hint="eastAsia" w:ascii="仿宋_GB2312" w:eastAsia="仿宋_GB2312" w:cs="DengXian-Regular"/>
          <w:sz w:val="32"/>
          <w:szCs w:val="32"/>
        </w:rPr>
        <w:t>；资源勘探信息等（类）支出</w:t>
      </w:r>
      <w:r>
        <w:rPr>
          <w:rFonts w:ascii="仿宋_GB2312" w:eastAsia="仿宋_GB2312" w:cs="DengXian-Regular"/>
          <w:sz w:val="32"/>
          <w:szCs w:val="32"/>
        </w:rPr>
        <w:t>4068.31</w:t>
      </w:r>
      <w:r>
        <w:rPr>
          <w:rFonts w:hint="eastAsia" w:ascii="仿宋_GB2312" w:eastAsia="仿宋_GB2312" w:cs="DengXian-Regular"/>
          <w:sz w:val="32"/>
          <w:szCs w:val="32"/>
        </w:rPr>
        <w:t>万元，占</w:t>
      </w:r>
      <w:r>
        <w:rPr>
          <w:rFonts w:ascii="仿宋_GB2312" w:eastAsia="仿宋_GB2312" w:cs="DengXian-Regular"/>
          <w:sz w:val="32"/>
          <w:szCs w:val="32"/>
        </w:rPr>
        <w:t>54.44%</w:t>
      </w:r>
      <w:r>
        <w:rPr>
          <w:rFonts w:hint="eastAsia" w:ascii="仿宋_GB2312" w:eastAsia="仿宋_GB2312" w:cs="DengXian-Regular"/>
          <w:sz w:val="32"/>
          <w:szCs w:val="32"/>
        </w:rPr>
        <w:t>；城乡社区（类）支出</w:t>
      </w:r>
      <w:r>
        <w:rPr>
          <w:rFonts w:ascii="仿宋_GB2312" w:eastAsia="仿宋_GB2312" w:cs="DengXian-Regular"/>
          <w:sz w:val="32"/>
          <w:szCs w:val="32"/>
        </w:rPr>
        <w:t>222</w:t>
      </w:r>
      <w:r>
        <w:rPr>
          <w:rFonts w:hint="eastAsia" w:ascii="仿宋_GB2312" w:eastAsia="仿宋_GB2312" w:cs="DengXian-Regular"/>
          <w:sz w:val="32"/>
          <w:szCs w:val="32"/>
        </w:rPr>
        <w:t>万元，占</w:t>
      </w:r>
      <w:r>
        <w:rPr>
          <w:rFonts w:ascii="仿宋_GB2312" w:eastAsia="仿宋_GB2312" w:cs="DengXian-Regular"/>
          <w:sz w:val="32"/>
          <w:szCs w:val="32"/>
        </w:rPr>
        <w:t>2.9%</w:t>
      </w:r>
      <w:r>
        <w:rPr>
          <w:rFonts w:hint="eastAsia" w:ascii="仿宋_GB2312" w:eastAsia="仿宋_GB2312" w:cs="DengXian-Regular"/>
          <w:sz w:val="32"/>
          <w:szCs w:val="32"/>
        </w:rPr>
        <w:t>；。</w:t>
      </w:r>
    </w:p>
    <w:p>
      <w:pPr>
        <w:adjustRightInd w:val="0"/>
        <w:snapToGrid w:val="0"/>
        <w:spacing w:after="0" w:line="240" w:lineRule="auto"/>
        <w:ind w:left="420" w:leftChars="200"/>
        <w:rPr>
          <w:rFonts w:ascii="楷体_GB2312" w:eastAsia="楷体_GB2312" w:cs="DengXian-Bold"/>
          <w:b/>
          <w:bCs/>
          <w:sz w:val="32"/>
          <w:szCs w:val="32"/>
        </w:rPr>
      </w:pPr>
      <w:r>
        <w:object>
          <v:shape id="_x0000_i1029" o:spt="75" type="#_x0000_t75" style="height:263.25pt;width:369pt;" o:ole="t" filled="f" o:preferrelative="t" stroked="f" coordsize="21600,21600">
            <v:path/>
            <v:fill on="f" focussize="0,0"/>
            <v:stroke on="f" joinstyle="miter"/>
            <v:imagedata r:id="rId18" o:title=""/>
            <o:lock v:ext="edit" aspectratio="f"/>
            <w10:wrap type="none"/>
            <w10:anchorlock/>
          </v:shape>
          <o:OLEObject Type="Embed" ProgID="Excel.Sheet.8" ShapeID="_x0000_i1029" DrawAspect="Content" ObjectID="_1468075729" r:id="rId17">
            <o:LockedField>false</o:LockedField>
          </o:OLEObject>
        </w:object>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 xml:space="preserve">2018 </w:t>
      </w:r>
      <w:r>
        <w:rPr>
          <w:rFonts w:hint="eastAsia" w:ascii="仿宋_GB2312" w:eastAsia="仿宋_GB2312" w:cs="DengXian-Regular"/>
          <w:sz w:val="32"/>
          <w:szCs w:val="32"/>
        </w:rPr>
        <w:t>年度一般公共预算财政拨款基本支出</w:t>
      </w:r>
      <w:r>
        <w:rPr>
          <w:rFonts w:ascii="仿宋_GB2312" w:eastAsia="仿宋_GB2312" w:cs="DengXian-Regular"/>
          <w:sz w:val="32"/>
          <w:szCs w:val="32"/>
        </w:rPr>
        <w:t>161.12</w:t>
      </w:r>
      <w:r>
        <w:rPr>
          <w:rFonts w:hint="eastAsia" w:ascii="仿宋_GB2312" w:eastAsia="仿宋_GB2312" w:cs="DengXian-Regular"/>
          <w:sz w:val="32"/>
          <w:szCs w:val="32"/>
        </w:rPr>
        <w:t>万元，其中：人员经费</w:t>
      </w:r>
      <w:r>
        <w:rPr>
          <w:rFonts w:ascii="仿宋_GB2312" w:eastAsia="仿宋_GB2312" w:cs="DengXian-Regular"/>
          <w:sz w:val="32"/>
          <w:szCs w:val="32"/>
        </w:rPr>
        <w:t>116.05</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cs="DengXian-Regular"/>
          <w:sz w:val="32"/>
          <w:szCs w:val="32"/>
        </w:rPr>
        <w:t xml:space="preserve"> 45.07</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年度“三公”经费支出共计</w:t>
      </w:r>
      <w:r>
        <w:rPr>
          <w:rFonts w:ascii="仿宋_GB2312" w:eastAsia="仿宋_GB2312" w:cs="DengXian-Regular"/>
          <w:sz w:val="32"/>
          <w:szCs w:val="32"/>
        </w:rPr>
        <w:t>1.32</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较年初预算减少</w:t>
      </w:r>
      <w:r>
        <w:rPr>
          <w:rFonts w:ascii="仿宋_GB2312" w:eastAsia="仿宋_GB2312" w:cs="DengXian-Regular"/>
          <w:b/>
          <w:bCs/>
          <w:sz w:val="32"/>
          <w:szCs w:val="32"/>
        </w:rPr>
        <w:t>1.68</w:t>
      </w:r>
      <w:r>
        <w:rPr>
          <w:rFonts w:hint="eastAsia" w:ascii="仿宋_GB2312" w:eastAsia="仿宋_GB2312" w:cs="DengXian-Regular"/>
          <w:b/>
          <w:bCs/>
          <w:sz w:val="32"/>
          <w:szCs w:val="32"/>
        </w:rPr>
        <w:t>万元，降低</w:t>
      </w:r>
      <w:r>
        <w:rPr>
          <w:rFonts w:ascii="仿宋_GB2312" w:eastAsia="仿宋_GB2312" w:cs="DengXian-Regular"/>
          <w:b/>
          <w:bCs/>
          <w:sz w:val="32"/>
          <w:szCs w:val="32"/>
        </w:rPr>
        <w:t>56%</w:t>
      </w:r>
      <w:r>
        <w:rPr>
          <w:rFonts w:hint="eastAsia" w:ascii="仿宋_GB2312" w:eastAsia="仿宋_GB2312" w:cs="DengXian-Regular"/>
          <w:b/>
          <w:bCs/>
          <w:sz w:val="32"/>
          <w:szCs w:val="32"/>
        </w:rPr>
        <w:t>，</w:t>
      </w:r>
      <w:r>
        <w:rPr>
          <w:rFonts w:hint="eastAsia" w:ascii="仿宋_GB2312" w:eastAsia="仿宋_GB2312" w:cs="DengXian-Regular"/>
          <w:sz w:val="32"/>
          <w:szCs w:val="32"/>
        </w:rPr>
        <w:t>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人。因公出国（境）费支出与年初预算持平，无增减变化。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ascii="楷体_GB2312" w:eastAsia="楷体_GB2312" w:cs="DengXian-Bold"/>
          <w:b/>
          <w:bCs/>
          <w:sz w:val="32"/>
          <w:szCs w:val="32"/>
        </w:rPr>
        <w:t>1.32</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年度公务用车购置及运行维护费较年初预算减少</w:t>
      </w:r>
      <w:r>
        <w:rPr>
          <w:rFonts w:ascii="仿宋_GB2312" w:eastAsia="仿宋_GB2312" w:cs="DengXian-Regular"/>
          <w:sz w:val="32"/>
          <w:szCs w:val="32"/>
        </w:rPr>
        <w:t>1.68</w:t>
      </w:r>
      <w:r>
        <w:rPr>
          <w:rFonts w:hint="eastAsia" w:ascii="仿宋_GB2312" w:eastAsia="仿宋_GB2312" w:cs="DengXian-Regular"/>
          <w:sz w:val="32"/>
          <w:szCs w:val="32"/>
        </w:rPr>
        <w:t>万元，降低</w:t>
      </w:r>
      <w:r>
        <w:rPr>
          <w:rFonts w:ascii="仿宋_GB2312" w:eastAsia="仿宋_GB2312" w:cs="DengXian-Regular"/>
          <w:sz w:val="32"/>
          <w:szCs w:val="32"/>
        </w:rPr>
        <w:t>56%,</w:t>
      </w:r>
      <w:r>
        <w:rPr>
          <w:rFonts w:hint="eastAsia" w:ascii="仿宋_GB2312" w:eastAsia="仿宋_GB2312" w:cs="DengXian-Regular"/>
          <w:sz w:val="32"/>
          <w:szCs w:val="32"/>
        </w:rPr>
        <w:t>主要是节约开支，公务用车控制规范。</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年度公务用车购置量</w:t>
      </w:r>
      <w:r>
        <w:rPr>
          <w:rFonts w:ascii="仿宋_GB2312" w:eastAsia="仿宋_GB2312" w:cs="DengXian-Regular"/>
          <w:sz w:val="32"/>
          <w:szCs w:val="32"/>
        </w:rPr>
        <w:t>0</w:t>
      </w:r>
      <w:r>
        <w:rPr>
          <w:rFonts w:hint="eastAsia" w:ascii="仿宋_GB2312" w:eastAsia="仿宋_GB2312" w:cs="DengXian-Regular"/>
          <w:sz w:val="32"/>
          <w:szCs w:val="32"/>
        </w:rPr>
        <w:t>辆，发生“公务用车购置”经费支出</w:t>
      </w:r>
      <w:r>
        <w:rPr>
          <w:rFonts w:ascii="仿宋_GB2312" w:eastAsia="仿宋_GB2312" w:cs="DengXian-Regular"/>
          <w:sz w:val="32"/>
          <w:szCs w:val="32"/>
        </w:rPr>
        <w:t>0</w:t>
      </w:r>
      <w:r>
        <w:rPr>
          <w:rFonts w:hint="eastAsia" w:ascii="仿宋_GB2312" w:eastAsia="仿宋_GB2312" w:cs="DengXian-Regular"/>
          <w:sz w:val="32"/>
          <w:szCs w:val="32"/>
        </w:rPr>
        <w:t>万元。公务用车购置费支出与年初预算持平，无增减变化。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年度单位公务用车保有量</w:t>
      </w:r>
      <w:r>
        <w:rPr>
          <w:rFonts w:ascii="仿宋_GB2312" w:eastAsia="仿宋_GB2312" w:cs="DengXian-Regular"/>
          <w:sz w:val="32"/>
          <w:szCs w:val="32"/>
        </w:rPr>
        <w:t>1</w:t>
      </w:r>
      <w:r>
        <w:rPr>
          <w:rFonts w:hint="eastAsia" w:ascii="仿宋_GB2312" w:eastAsia="仿宋_GB2312" w:cs="DengXian-Regular"/>
          <w:sz w:val="32"/>
          <w:szCs w:val="32"/>
        </w:rPr>
        <w:t>辆。公车运行维护费1.32万元，较年初预算减少</w:t>
      </w:r>
      <w:r>
        <w:rPr>
          <w:rFonts w:ascii="仿宋_GB2312" w:eastAsia="仿宋_GB2312" w:cs="DengXian-Regular"/>
          <w:sz w:val="32"/>
          <w:szCs w:val="32"/>
        </w:rPr>
        <w:t>1.68</w:t>
      </w:r>
      <w:r>
        <w:rPr>
          <w:rFonts w:hint="eastAsia" w:ascii="仿宋_GB2312" w:eastAsia="仿宋_GB2312" w:cs="DengXian-Regular"/>
          <w:sz w:val="32"/>
          <w:szCs w:val="32"/>
        </w:rPr>
        <w:t>万元，降低</w:t>
      </w:r>
      <w:r>
        <w:rPr>
          <w:rFonts w:ascii="仿宋_GB2312" w:eastAsia="仿宋_GB2312" w:cs="DengXian-Regular"/>
          <w:sz w:val="32"/>
          <w:szCs w:val="32"/>
        </w:rPr>
        <w:t>56%,</w:t>
      </w:r>
      <w:r>
        <w:rPr>
          <w:rFonts w:hint="eastAsia" w:ascii="仿宋_GB2312" w:eastAsia="仿宋_GB2312" w:cs="DengXian-Regular"/>
          <w:sz w:val="32"/>
          <w:szCs w:val="32"/>
        </w:rPr>
        <w:t>主要是节约开支，公务用车控制规范。</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年度公务接待共</w:t>
      </w:r>
      <w:r>
        <w:rPr>
          <w:rFonts w:ascii="仿宋_GB2312" w:eastAsia="仿宋_GB2312" w:cs="DengXian-Regular"/>
          <w:sz w:val="32"/>
          <w:szCs w:val="32"/>
        </w:rPr>
        <w:t>0</w:t>
      </w:r>
      <w:r>
        <w:rPr>
          <w:rFonts w:hint="eastAsia" w:ascii="仿宋_GB2312" w:eastAsia="仿宋_GB2312" w:cs="DengXian-Regular"/>
          <w:sz w:val="32"/>
          <w:szCs w:val="32"/>
        </w:rPr>
        <w:t>批次、</w:t>
      </w:r>
      <w:r>
        <w:rPr>
          <w:rFonts w:ascii="仿宋_GB2312" w:eastAsia="仿宋_GB2312" w:cs="DengXian-Regular"/>
          <w:sz w:val="32"/>
          <w:szCs w:val="32"/>
        </w:rPr>
        <w:t>0</w:t>
      </w:r>
      <w:r>
        <w:rPr>
          <w:rFonts w:hint="eastAsia" w:ascii="仿宋_GB2312" w:eastAsia="仿宋_GB2312" w:cs="DengXian-Regular"/>
          <w:sz w:val="32"/>
          <w:szCs w:val="32"/>
        </w:rPr>
        <w:t>人次。公务接待费支出与年初预算持平，无增减变化。</w:t>
      </w:r>
    </w:p>
    <w:p>
      <w:pPr>
        <w:pStyle w:val="3"/>
        <w:spacing w:before="0" w:after="0" w:line="580" w:lineRule="exact"/>
        <w:ind w:firstLine="643" w:firstLineChars="200"/>
        <w:rPr>
          <w:rFonts w:ascii="黑体" w:eastAsia="黑体"/>
        </w:rPr>
      </w:pPr>
      <w:r>
        <w:rPr>
          <w:rFonts w:hint="eastAsia" w:ascii="黑体" w:eastAsia="黑体"/>
          <w:szCs w:val="40"/>
        </w:rPr>
        <w:t>六、</w:t>
      </w:r>
      <w:r>
        <w:rPr>
          <w:rFonts w:hint="eastAsia" w:ascii="黑体" w:eastAsia="黑体"/>
        </w:rPr>
        <w:t>绩效预算情况说明</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w:t>
      </w:r>
      <w:r>
        <w:rPr>
          <w:rFonts w:ascii="仿宋_GB2312" w:eastAsia="仿宋_GB2312" w:cs="DengXian-Regular"/>
          <w:sz w:val="32"/>
          <w:szCs w:val="32"/>
        </w:rPr>
        <w:t>2018</w:t>
      </w:r>
      <w:r>
        <w:rPr>
          <w:rFonts w:hint="eastAsia" w:ascii="仿宋_GB2312" w:eastAsia="仿宋_GB2312" w:cs="DengXian-Regular"/>
          <w:sz w:val="32"/>
          <w:szCs w:val="32"/>
        </w:rPr>
        <w:t>年度财政专项资金部门绩效自评价工作的通知》（无</w:t>
      </w:r>
      <w:r>
        <w:rPr>
          <w:rFonts w:hint="eastAsia" w:ascii="宋体" w:hAnsi="宋体" w:cs="宋体"/>
          <w:sz w:val="32"/>
          <w:szCs w:val="32"/>
        </w:rPr>
        <w:t>财</w:t>
      </w:r>
      <w:r>
        <w:rPr>
          <w:rFonts w:hint="eastAsia" w:ascii="仿宋_GB2312" w:eastAsia="仿宋_GB2312" w:cs="DengXian-Regular"/>
          <w:sz w:val="32"/>
          <w:szCs w:val="32"/>
        </w:rPr>
        <w:t>[2019]13号），本单位认真开展了预算绩效管理改革开展情况自查，对部门全面规范绩效预算编制、严格预算执行管理、推进绩效评价工作、推进预决算信息公开等方面进行了自评，考核结果为良好。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w:t>
      </w:r>
      <w:r>
        <w:rPr>
          <w:rFonts w:ascii="仿宋_GB2312" w:eastAsia="仿宋_GB2312" w:cs="DengXian-Regular"/>
          <w:sz w:val="32"/>
          <w:szCs w:val="32"/>
        </w:rPr>
        <w:t>2018</w:t>
      </w:r>
      <w:r>
        <w:rPr>
          <w:rFonts w:hint="eastAsia" w:ascii="仿宋_GB2312" w:eastAsia="仿宋_GB2312" w:cs="DengXian-Regular"/>
          <w:sz w:val="32"/>
          <w:szCs w:val="32"/>
        </w:rPr>
        <w:t>年度一般公共预算项目支出全面开展绩效自评，涉及中石化工天然气管道无极国际建材城影响段迁建工程、恒昌路、友谊大街绿化工程、开发区新建道路工程、恒昌路、友谊大街等道路工程、皮革一路道路工程、东无</w:t>
      </w:r>
      <w:r>
        <w:rPr>
          <w:rFonts w:ascii="仿宋_GB2312" w:eastAsia="仿宋_GB2312" w:cs="DengXian-Regular"/>
          <w:sz w:val="32"/>
          <w:szCs w:val="32"/>
        </w:rPr>
        <w:t>T</w:t>
      </w:r>
      <w:r>
        <w:rPr>
          <w:rFonts w:hint="eastAsia" w:ascii="仿宋_GB2312" w:eastAsia="仿宋_GB2312" w:cs="DengXian-Regular"/>
          <w:sz w:val="32"/>
          <w:szCs w:val="32"/>
        </w:rPr>
        <w:t>线</w:t>
      </w:r>
      <w:r>
        <w:rPr>
          <w:rFonts w:ascii="仿宋_GB2312" w:eastAsia="仿宋_GB2312" w:cs="DengXian-Regular"/>
          <w:sz w:val="32"/>
          <w:szCs w:val="32"/>
        </w:rPr>
        <w:t>110KV</w:t>
      </w:r>
      <w:r>
        <w:rPr>
          <w:rFonts w:hint="eastAsia" w:ascii="仿宋_GB2312" w:eastAsia="仿宋_GB2312" w:cs="DengXian-Regular"/>
          <w:sz w:val="32"/>
          <w:szCs w:val="32"/>
        </w:rPr>
        <w:t>高压线路迁建工程、皮革园区及后整园区占地补偿等</w:t>
      </w:r>
      <w:r>
        <w:rPr>
          <w:rFonts w:ascii="仿宋_GB2312" w:eastAsia="仿宋_GB2312" w:cs="DengXian-Regular"/>
          <w:sz w:val="32"/>
          <w:szCs w:val="32"/>
        </w:rPr>
        <w:t>7</w:t>
      </w:r>
      <w:r>
        <w:rPr>
          <w:rFonts w:hint="eastAsia" w:ascii="仿宋_GB2312" w:eastAsia="仿宋_GB2312" w:cs="DengXian-Regular"/>
          <w:sz w:val="32"/>
          <w:szCs w:val="32"/>
        </w:rPr>
        <w:t>个项目，涉及资金</w:t>
      </w:r>
      <w:r>
        <w:rPr>
          <w:rFonts w:ascii="仿宋_GB2312" w:eastAsia="仿宋_GB2312" w:cs="DengXian-Regular"/>
          <w:sz w:val="32"/>
          <w:szCs w:val="32"/>
        </w:rPr>
        <w:t>2416.58</w:t>
      </w:r>
      <w:r>
        <w:rPr>
          <w:rFonts w:hint="eastAsia" w:ascii="仿宋_GB2312" w:eastAsia="仿宋_GB2312" w:cs="DengXian-Regular"/>
          <w:sz w:val="32"/>
          <w:szCs w:val="32"/>
        </w:rPr>
        <w:t>万元。从评价情况看，评价结果为优秀的项目有</w:t>
      </w:r>
      <w:r>
        <w:rPr>
          <w:rFonts w:ascii="仿宋_GB2312" w:eastAsia="仿宋_GB2312" w:cs="DengXian-Regular"/>
          <w:sz w:val="32"/>
          <w:szCs w:val="32"/>
        </w:rPr>
        <w:t>1</w:t>
      </w:r>
      <w:r>
        <w:rPr>
          <w:rFonts w:hint="eastAsia" w:ascii="仿宋_GB2312" w:eastAsia="仿宋_GB2312" w:cs="DengXian-Regular"/>
          <w:sz w:val="32"/>
          <w:szCs w:val="32"/>
        </w:rPr>
        <w:t>个，良好的项目有</w:t>
      </w:r>
      <w:r>
        <w:rPr>
          <w:rFonts w:ascii="仿宋_GB2312" w:eastAsia="仿宋_GB2312" w:cs="DengXian-Regular"/>
          <w:sz w:val="32"/>
          <w:szCs w:val="32"/>
        </w:rPr>
        <w:t>5</w:t>
      </w:r>
      <w:r>
        <w:rPr>
          <w:rFonts w:hint="eastAsia" w:ascii="仿宋_GB2312" w:eastAsia="仿宋_GB2312" w:cs="DengXian-Regular"/>
          <w:sz w:val="32"/>
          <w:szCs w:val="32"/>
        </w:rPr>
        <w:t>个，一般的项目有</w:t>
      </w:r>
      <w:r>
        <w:rPr>
          <w:rFonts w:ascii="仿宋_GB2312" w:eastAsia="仿宋_GB2312" w:cs="DengXian-Regular"/>
          <w:sz w:val="32"/>
          <w:szCs w:val="32"/>
        </w:rPr>
        <w:t>1</w:t>
      </w:r>
      <w:r>
        <w:rPr>
          <w:rFonts w:hint="eastAsia" w:ascii="仿宋_GB2312" w:eastAsia="仿宋_GB2312" w:cs="DengXian-Regular"/>
          <w:sz w:val="32"/>
          <w:szCs w:val="32"/>
        </w:rPr>
        <w:t>个。</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本单位中石化工天然气管道无极国际建材城影响段迁建工程项目绩效自评：根据年初设定的绩效目标，中石化工天然气管道无极国际建材城影响段迁建工程项目绩效自评结果为优秀。项目全年预算数为</w:t>
      </w:r>
      <w:r>
        <w:rPr>
          <w:rFonts w:ascii="仿宋_GB2312" w:eastAsia="仿宋_GB2312" w:cs="DengXian-Regular"/>
          <w:sz w:val="32"/>
          <w:szCs w:val="32"/>
        </w:rPr>
        <w:t>279.59</w:t>
      </w:r>
      <w:r>
        <w:rPr>
          <w:rFonts w:hint="eastAsia" w:ascii="仿宋_GB2312" w:eastAsia="仿宋_GB2312" w:cs="DengXian-Regular"/>
          <w:sz w:val="32"/>
          <w:szCs w:val="32"/>
        </w:rPr>
        <w:t>万元，执行数为</w:t>
      </w:r>
      <w:r>
        <w:rPr>
          <w:rFonts w:ascii="仿宋_GB2312" w:eastAsia="仿宋_GB2312" w:cs="DengXian-Regular"/>
          <w:sz w:val="32"/>
          <w:szCs w:val="32"/>
        </w:rPr>
        <w:t>279.59</w:t>
      </w:r>
      <w:r>
        <w:rPr>
          <w:rFonts w:hint="eastAsia" w:ascii="仿宋_GB2312" w:eastAsia="仿宋_GB2312" w:cs="DengXian-Regular"/>
          <w:sz w:val="32"/>
          <w:szCs w:val="32"/>
        </w:rPr>
        <w:t>万元，完成预算的</w:t>
      </w:r>
      <w:r>
        <w:rPr>
          <w:rFonts w:ascii="仿宋_GB2312" w:eastAsia="仿宋_GB2312" w:cs="DengXian-Regular"/>
          <w:sz w:val="32"/>
          <w:szCs w:val="32"/>
        </w:rPr>
        <w:t>100%</w:t>
      </w:r>
      <w:r>
        <w:rPr>
          <w:rFonts w:hint="eastAsia" w:ascii="仿宋_GB2312" w:eastAsia="仿宋_GB2312" w:cs="DengXian-Regular"/>
          <w:sz w:val="32"/>
          <w:szCs w:val="32"/>
        </w:rPr>
        <w:t>。主要产出和效果是通过迁建无极国际建材城天然气管道，为西区项目规划落地提供了基础保障。</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本单位恒昌路、友谊大街绿化工程项目绩效自评：根据年初设定的绩效目标，恒昌路、友谊大街绿化工程项目绩效自评结果为优秀。项目全年预算数为</w:t>
      </w:r>
      <w:r>
        <w:rPr>
          <w:rFonts w:ascii="仿宋_GB2312" w:eastAsia="仿宋_GB2312" w:cs="DengXian-Regular"/>
          <w:sz w:val="32"/>
          <w:szCs w:val="32"/>
        </w:rPr>
        <w:t>150</w:t>
      </w:r>
      <w:r>
        <w:rPr>
          <w:rFonts w:hint="eastAsia" w:ascii="仿宋_GB2312" w:eastAsia="仿宋_GB2312" w:cs="DengXian-Regular"/>
          <w:sz w:val="32"/>
          <w:szCs w:val="32"/>
        </w:rPr>
        <w:t>万元，执行数为</w:t>
      </w:r>
      <w:r>
        <w:rPr>
          <w:rFonts w:ascii="仿宋_GB2312" w:eastAsia="仿宋_GB2312" w:cs="DengXian-Regular"/>
          <w:sz w:val="32"/>
          <w:szCs w:val="32"/>
        </w:rPr>
        <w:t>136.75</w:t>
      </w:r>
      <w:r>
        <w:rPr>
          <w:rFonts w:hint="eastAsia" w:ascii="仿宋_GB2312" w:eastAsia="仿宋_GB2312" w:cs="DengXian-Regular"/>
          <w:sz w:val="32"/>
          <w:szCs w:val="32"/>
        </w:rPr>
        <w:t>万元，完成预算的</w:t>
      </w:r>
      <w:r>
        <w:rPr>
          <w:rFonts w:ascii="仿宋_GB2312" w:eastAsia="仿宋_GB2312" w:cs="DengXian-Regular"/>
          <w:sz w:val="32"/>
          <w:szCs w:val="32"/>
        </w:rPr>
        <w:t>91.17%</w:t>
      </w:r>
      <w:r>
        <w:rPr>
          <w:rFonts w:hint="eastAsia" w:ascii="仿宋_GB2312" w:eastAsia="仿宋_GB2312" w:cs="DengXian-Regular"/>
          <w:sz w:val="32"/>
          <w:szCs w:val="32"/>
        </w:rPr>
        <w:t>。主要产出和效果是提升了皮革园区的整体形象，环境治理工作得到明显改善。未发现其它问题。</w:t>
      </w:r>
    </w:p>
    <w:p>
      <w:pPr>
        <w:pStyle w:val="3"/>
        <w:spacing w:before="0" w:after="0" w:line="580" w:lineRule="exact"/>
        <w:ind w:firstLine="640" w:firstLineChars="200"/>
        <w:rPr>
          <w:rFonts w:ascii="黑体" w:eastAsia="黑体"/>
          <w:b w:val="0"/>
          <w:bCs w:val="0"/>
        </w:rPr>
      </w:pPr>
      <w:r>
        <w:rPr>
          <w:rFonts w:hint="eastAsia" w:ascii="黑体" w:eastAsia="黑体"/>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年度机关运行经费支出</w:t>
      </w:r>
      <w:r>
        <w:rPr>
          <w:rFonts w:ascii="仿宋_GB2312" w:eastAsia="仿宋_GB2312" w:cs="DengXian-Regular"/>
          <w:sz w:val="32"/>
          <w:szCs w:val="32"/>
        </w:rPr>
        <w:t>45.07</w:t>
      </w:r>
      <w:r>
        <w:rPr>
          <w:rFonts w:hint="eastAsia" w:ascii="仿宋_GB2312" w:eastAsia="仿宋_GB2312" w:cs="DengXian-Regular"/>
          <w:sz w:val="32"/>
          <w:szCs w:val="32"/>
        </w:rPr>
        <w:t>万元，比年初预算数增加</w:t>
      </w:r>
      <w:r>
        <w:rPr>
          <w:rFonts w:ascii="仿宋_GB2312" w:eastAsia="仿宋_GB2312" w:cs="DengXian-Regular"/>
          <w:sz w:val="32"/>
          <w:szCs w:val="32"/>
        </w:rPr>
        <w:t>30.57</w:t>
      </w:r>
      <w:r>
        <w:rPr>
          <w:rFonts w:hint="eastAsia" w:ascii="仿宋_GB2312" w:eastAsia="仿宋_GB2312" w:cs="DengXian-Regular"/>
          <w:sz w:val="32"/>
          <w:szCs w:val="32"/>
        </w:rPr>
        <w:t>万元，增长</w:t>
      </w:r>
      <w:r>
        <w:rPr>
          <w:rFonts w:ascii="仿宋_GB2312" w:eastAsia="仿宋_GB2312" w:cs="DengXian-Regular"/>
          <w:sz w:val="32"/>
          <w:szCs w:val="32"/>
        </w:rPr>
        <w:t>210.82%</w:t>
      </w:r>
      <w:r>
        <w:rPr>
          <w:rFonts w:hint="eastAsia" w:ascii="仿宋_GB2312" w:eastAsia="仿宋_GB2312" w:cs="DengXian-Regular"/>
          <w:sz w:val="32"/>
          <w:szCs w:val="32"/>
        </w:rPr>
        <w:t>。主要原因是本年取暖费和电费增加。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年度政府采购支出总额</w:t>
      </w:r>
      <w:r>
        <w:rPr>
          <w:rFonts w:ascii="仿宋_GB2312" w:eastAsia="仿宋_GB2312" w:cs="DengXian-Regular"/>
          <w:sz w:val="32"/>
          <w:szCs w:val="32"/>
        </w:rPr>
        <w:t>382.83</w:t>
      </w:r>
      <w:r>
        <w:rPr>
          <w:rFonts w:hint="eastAsia" w:ascii="仿宋_GB2312" w:eastAsia="仿宋_GB2312" w:cs="DengXian-Regular"/>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ascii="仿宋_GB2312" w:hAnsi="仿宋_GB2312" w:eastAsia="仿宋_GB2312" w:cs="仿宋_GB2312"/>
          <w:color w:val="000000"/>
          <w:kern w:val="0"/>
          <w:sz w:val="32"/>
          <w:szCs w:val="32"/>
        </w:rPr>
        <w:t xml:space="preserve">0 </w:t>
      </w:r>
      <w:r>
        <w:rPr>
          <w:rFonts w:hint="eastAsia" w:ascii="仿宋_GB2312" w:hAnsi="仿宋_GB2312" w:eastAsia="仿宋_GB2312" w:cs="仿宋_GB2312"/>
          <w:color w:val="000000"/>
          <w:kern w:val="0"/>
          <w:sz w:val="32"/>
          <w:szCs w:val="32"/>
        </w:rPr>
        <w:t>万元、政府采购工程支出</w:t>
      </w:r>
      <w:r>
        <w:rPr>
          <w:rFonts w:ascii="仿宋_GB2312" w:hAnsi="仿宋_GB2312" w:eastAsia="仿宋_GB2312" w:cs="仿宋_GB2312"/>
          <w:color w:val="000000"/>
          <w:kern w:val="0"/>
          <w:sz w:val="32"/>
          <w:szCs w:val="32"/>
        </w:rPr>
        <w:t>382.83</w:t>
      </w:r>
      <w:r>
        <w:rPr>
          <w:rFonts w:hint="eastAsia" w:ascii="仿宋_GB2312" w:hAnsi="仿宋_GB2312" w:eastAsia="仿宋_GB2312" w:cs="仿宋_GB2312"/>
          <w:color w:val="000000"/>
          <w:kern w:val="0"/>
          <w:sz w:val="32"/>
          <w:szCs w:val="32"/>
        </w:rPr>
        <w:t>万元、政府采购服务支出</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万元。授予中小企业合同金</w:t>
      </w:r>
      <w:r>
        <w:rPr>
          <w:rFonts w:ascii="仿宋_GB2312" w:hAnsi="仿宋_GB2312" w:eastAsia="仿宋_GB2312" w:cs="仿宋_GB2312"/>
          <w:color w:val="000000"/>
          <w:kern w:val="0"/>
          <w:sz w:val="32"/>
          <w:szCs w:val="32"/>
        </w:rPr>
        <w:t>382.83</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100%</w:t>
      </w:r>
      <w:r>
        <w:rPr>
          <w:rFonts w:hint="eastAsia"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w:t>
      </w:r>
      <w:r>
        <w:rPr>
          <w:rFonts w:ascii="仿宋_GB2312" w:eastAsia="仿宋_GB2312" w:cs="DengXian-Regular"/>
          <w:sz w:val="32"/>
          <w:szCs w:val="32"/>
        </w:rPr>
        <w:t>2018</w:t>
      </w:r>
      <w:r>
        <w:rPr>
          <w:rFonts w:hint="eastAsia" w:ascii="仿宋_GB2312" w:eastAsia="仿宋_GB2312" w:cs="DengXian-Regular"/>
          <w:sz w:val="32"/>
          <w:szCs w:val="32"/>
        </w:rPr>
        <w:t>年</w:t>
      </w:r>
      <w:r>
        <w:rPr>
          <w:rFonts w:ascii="仿宋_GB2312" w:eastAsia="仿宋_GB2312" w:cs="DengXian-Regular"/>
          <w:sz w:val="32"/>
          <w:szCs w:val="32"/>
        </w:rPr>
        <w:t>12</w:t>
      </w:r>
      <w:r>
        <w:rPr>
          <w:rFonts w:hint="eastAsia" w:ascii="仿宋_GB2312" w:eastAsia="仿宋_GB2312" w:cs="DengXian-Regular"/>
          <w:sz w:val="32"/>
          <w:szCs w:val="32"/>
        </w:rPr>
        <w:t>月</w:t>
      </w:r>
      <w:r>
        <w:rPr>
          <w:rFonts w:ascii="仿宋_GB2312" w:eastAsia="仿宋_GB2312" w:cs="DengXian-Regular"/>
          <w:sz w:val="32"/>
          <w:szCs w:val="32"/>
        </w:rPr>
        <w:t>31</w:t>
      </w:r>
      <w:r>
        <w:rPr>
          <w:rFonts w:hint="eastAsia" w:ascii="仿宋_GB2312" w:eastAsia="仿宋_GB2312" w:cs="DengXian-Regular"/>
          <w:sz w:val="32"/>
          <w:szCs w:val="32"/>
        </w:rPr>
        <w:t>日，本部门共有车辆</w:t>
      </w:r>
      <w:r>
        <w:rPr>
          <w:rFonts w:ascii="仿宋_GB2312" w:eastAsia="仿宋_GB2312" w:cs="DengXian-Regular"/>
          <w:sz w:val="32"/>
          <w:szCs w:val="32"/>
        </w:rPr>
        <w:t>1</w:t>
      </w:r>
      <w:r>
        <w:rPr>
          <w:rFonts w:hint="eastAsia" w:ascii="仿宋_GB2312" w:eastAsia="仿宋_GB2312" w:cs="DengXian-Regular"/>
          <w:sz w:val="32"/>
          <w:szCs w:val="32"/>
        </w:rPr>
        <w:t>辆，与上年持平。其中，副部（省）级及以上领导用车</w:t>
      </w:r>
      <w:r>
        <w:rPr>
          <w:rFonts w:ascii="仿宋_GB2312" w:eastAsia="仿宋_GB2312" w:cs="DengXian-Regular"/>
          <w:sz w:val="32"/>
          <w:szCs w:val="32"/>
        </w:rPr>
        <w:t>0</w:t>
      </w:r>
      <w:r>
        <w:rPr>
          <w:rFonts w:hint="eastAsia" w:ascii="仿宋_GB2312" w:eastAsia="仿宋_GB2312" w:cs="DengXian-Regular"/>
          <w:sz w:val="32"/>
          <w:szCs w:val="32"/>
        </w:rPr>
        <w:t>辆，主要领导干部用车</w:t>
      </w:r>
      <w:r>
        <w:rPr>
          <w:rFonts w:ascii="仿宋_GB2312" w:eastAsia="仿宋_GB2312" w:cs="DengXian-Regular"/>
          <w:sz w:val="32"/>
          <w:szCs w:val="32"/>
        </w:rPr>
        <w:t>0</w:t>
      </w:r>
      <w:r>
        <w:rPr>
          <w:rFonts w:hint="eastAsia" w:ascii="仿宋_GB2312" w:eastAsia="仿宋_GB2312" w:cs="DengXian-Regular"/>
          <w:sz w:val="32"/>
          <w:szCs w:val="32"/>
        </w:rPr>
        <w:t>辆，应急保障用车</w:t>
      </w:r>
      <w:r>
        <w:rPr>
          <w:rFonts w:ascii="仿宋_GB2312" w:eastAsia="仿宋_GB2312" w:cs="DengXian-Regular"/>
          <w:sz w:val="32"/>
          <w:szCs w:val="32"/>
        </w:rPr>
        <w:t>1</w:t>
      </w:r>
      <w:r>
        <w:rPr>
          <w:rFonts w:hint="eastAsia" w:ascii="仿宋_GB2312" w:eastAsia="仿宋_GB2312" w:cs="DengXian-Regular"/>
          <w:sz w:val="32"/>
          <w:szCs w:val="32"/>
        </w:rPr>
        <w:t>辆；单位价值</w:t>
      </w:r>
      <w:r>
        <w:rPr>
          <w:rFonts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ascii="仿宋_GB2312" w:eastAsia="仿宋_GB2312" w:cs="DengXian-Regular"/>
          <w:sz w:val="32"/>
          <w:szCs w:val="32"/>
        </w:rPr>
        <w:t>0</w:t>
      </w:r>
      <w:r>
        <w:rPr>
          <w:rFonts w:hint="eastAsia" w:ascii="仿宋_GB2312" w:eastAsia="仿宋_GB2312" w:cs="DengXian-Regular"/>
          <w:sz w:val="32"/>
          <w:szCs w:val="32"/>
        </w:rPr>
        <w:t>台（套），与上年持平，无增减变化，主要是本部门无符合条件通用设备，单位价值</w:t>
      </w:r>
      <w:r>
        <w:rPr>
          <w:rFonts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ascii="仿宋_GB2312" w:eastAsia="仿宋_GB2312" w:cs="DengXian-Regular"/>
          <w:sz w:val="32"/>
          <w:szCs w:val="32"/>
        </w:rPr>
        <w:t>0</w:t>
      </w:r>
      <w:r>
        <w:rPr>
          <w:rFonts w:hint="eastAsia" w:ascii="仿宋_GB2312" w:eastAsia="仿宋_GB2312" w:cs="DengXian-Regular"/>
          <w:sz w:val="32"/>
          <w:szCs w:val="32"/>
        </w:rPr>
        <w:t>台（套），与上年持平，无增减变化</w:t>
      </w:r>
      <w:r>
        <w:rPr>
          <w:rFonts w:ascii="仿宋_GB2312" w:eastAsia="仿宋_GB2312" w:cs="DengXian-Regular"/>
          <w:sz w:val="32"/>
          <w:szCs w:val="32"/>
        </w:rPr>
        <w:t>,</w:t>
      </w:r>
      <w:r>
        <w:rPr>
          <w:rFonts w:hint="eastAsia" w:ascii="仿宋_GB2312" w:eastAsia="仿宋_GB2312" w:cs="DengXian-Regular"/>
          <w:sz w:val="32"/>
          <w:szCs w:val="32"/>
        </w:rPr>
        <w:t>主要是本部门无符合条件通用设备。</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1</w:t>
      </w:r>
      <w:r>
        <w:rPr>
          <w:rFonts w:hint="eastAsia" w:ascii="仿宋_GB2312" w:eastAsia="仿宋_GB2312" w:cs="DengXian-Regular"/>
          <w:sz w:val="32"/>
          <w:szCs w:val="32"/>
        </w:rPr>
        <w:t>、本部门</w:t>
      </w:r>
      <w:r>
        <w:rPr>
          <w:rFonts w:ascii="仿宋_GB2312" w:eastAsia="仿宋_GB2312" w:cs="DengXian-Regular"/>
          <w:sz w:val="32"/>
          <w:szCs w:val="32"/>
        </w:rPr>
        <w:t xml:space="preserve"> 2018 </w:t>
      </w:r>
      <w:r>
        <w:rPr>
          <w:rFonts w:hint="eastAsia" w:ascii="仿宋_GB2312" w:eastAsia="仿宋_GB2312" w:cs="DengXian-Regular"/>
          <w:sz w:val="32"/>
          <w:szCs w:val="32"/>
        </w:rPr>
        <w:t>年度国有资本经营财政拨款无收支及结转结余情况，故国有资本经营预算财政拨款支出决算表以空表列示。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2</w:t>
      </w:r>
      <w:r>
        <w:rPr>
          <w:rFonts w:hint="eastAsia" w:ascii="仿宋_GB2312" w:eastAsia="仿宋_GB2312" w:cs="DengXian-Regular"/>
          <w:sz w:val="32"/>
          <w:szCs w:val="32"/>
        </w:rPr>
        <w:t>、由于决算公开表格中金额数值应当保留两位小数，公开数据为四舍五入计算结果，个别数据合计项与分项之和存在小数点后差额，特此说明。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ascii="宋体" w:cs="MS-UIGothic,Bold"/>
          <w:b/>
          <w:bCs/>
          <w:kern w:val="0"/>
          <w:sz w:val="44"/>
          <w:szCs w:val="44"/>
        </w:rPr>
        <w:sectPr>
          <w:pgSz w:w="11906" w:h="16838"/>
          <w:pgMar w:top="2098" w:right="1474" w:bottom="1984" w:left="1588" w:header="851" w:footer="992" w:gutter="0"/>
          <w:cols w:space="0" w:num="1"/>
          <w:docGrid w:type="lines" w:linePitch="312" w:charSpace="0"/>
        </w:sectPr>
      </w:pPr>
    </w:p>
    <w:p>
      <w:pPr>
        <w:rPr>
          <w:rFonts w:ascii="宋体" w:cs="ArialUnicodeMS"/>
          <w:color w:val="000000"/>
          <w:kern w:val="0"/>
        </w:rPr>
        <w:sectPr>
          <w:pgSz w:w="11906" w:h="16838"/>
          <w:pgMar w:top="2098" w:right="1474" w:bottom="1984" w:left="1588" w:header="851" w:footer="992" w:gutter="0"/>
          <w:cols w:space="0" w:num="1"/>
          <w:docGrid w:type="lines" w:linePitch="312" w:charSpace="0"/>
        </w:sectPr>
      </w:pPr>
      <w: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6"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1" descr="2"/>
                    <pic:cNvPicPr>
                      <a:picLocks noChangeAspect="1"/>
                    </pic:cNvPicPr>
                  </pic:nvPicPr>
                  <pic:blipFill>
                    <a:blip r:embed="rId8"/>
                    <a:stretch>
                      <a:fillRect/>
                    </a:stretch>
                  </pic:blipFill>
                  <pic:spPr>
                    <a:xfrm>
                      <a:off x="0" y="0"/>
                      <a:ext cx="7550150" cy="10680065"/>
                    </a:xfrm>
                    <a:prstGeom prst="rect">
                      <a:avLst/>
                    </a:prstGeom>
                    <a:noFill/>
                    <a:ln>
                      <a:noFill/>
                    </a:ln>
                  </pic:spPr>
                </pic:pic>
              </a:graphicData>
            </a:graphic>
          </wp:anchor>
        </w:drawing>
      </w:r>
      <w:r>
        <mc:AlternateContent>
          <mc:Choice Requires="wps">
            <w:drawing>
              <wp:anchor distT="0" distB="0" distL="114300" distR="114300" simplePos="0" relativeHeight="251662336"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2336;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WAAAAZHJzL1BLAQIUABQAAAAIAIdO&#10;4kDZZp6M3gAAAA0BAAAPAAAAAAAAAAEAIAAAADgAAABkcnMvZG93bnJldi54bWxQSwECFAAUAAAA&#10;CACHTuJAEVGE7UQCAAB3BAAADgAAAAAAAAABACAAAABDAQAAZHJzL2Uyb0RvYy54bWxQSwUGAAAA&#10;AAYABgBZAQAA+QUAAAAA&#10;">
                <v:fill on="f" focussize="0,0"/>
                <v:stroke on="f" weight="0.5pt"/>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shape>
            </w:pict>
          </mc:Fallback>
        </mc:AlternateConten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hAnsi="Cambria" w:eastAsia="仿宋_GB2312" w:cs="ArialUnicodeMS"/>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hAnsi="宋体" w:eastAsia="仿宋_GB2312"/>
          <w:b/>
          <w:bCs/>
          <w:color w:val="000000"/>
          <w:kern w:val="0"/>
          <w:sz w:val="32"/>
          <w:szCs w:val="32"/>
        </w:rPr>
        <w:t>（十七）经费形式</w:t>
      </w:r>
      <w:r>
        <w:rPr>
          <w:rFonts w:ascii="仿宋_GB2312" w:hAnsi="宋体" w:eastAsia="仿宋_GB2312"/>
          <w:b/>
          <w:bCs/>
          <w:color w:val="000000"/>
          <w:kern w:val="0"/>
          <w:sz w:val="32"/>
          <w:szCs w:val="32"/>
        </w:rPr>
        <w:t>:</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widowControl/>
        <w:spacing w:after="0" w:line="560" w:lineRule="exact"/>
        <w:ind w:firstLine="420" w:firstLineChars="200"/>
        <w:rPr>
          <w:rFonts w:ascii="仿宋_GB2312" w:hAnsi="Cambria" w:eastAsia="仿宋_GB2312" w:cs="ArialUnicodeMS"/>
          <w:kern w:val="0"/>
          <w:sz w:val="32"/>
          <w:szCs w:val="32"/>
        </w:rPr>
      </w:pPr>
      <w:r>
        <w:drawing>
          <wp:anchor distT="0" distB="0" distL="114300" distR="114300" simplePos="0" relativeHeight="25166848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7"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01" descr="3"/>
                    <pic:cNvPicPr>
                      <a:picLocks noChangeAspect="1"/>
                    </pic:cNvPicPr>
                  </pic:nvPicPr>
                  <pic:blipFill>
                    <a:blip r:embed="rId19"/>
                    <a:stretch>
                      <a:fillRect/>
                    </a:stretch>
                  </pic:blipFill>
                  <pic:spPr>
                    <a:xfrm>
                      <a:off x="0" y="0"/>
                      <a:ext cx="7590155" cy="10735945"/>
                    </a:xfrm>
                    <a:prstGeom prst="rect">
                      <a:avLst/>
                    </a:prstGeom>
                    <a:noFill/>
                    <a:ln>
                      <a:noFill/>
                    </a:ln>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方正黑体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ArialUnicodeMS">
    <w:altName w:val="DejaVu Sans"/>
    <w:panose1 w:val="00000000000000000000"/>
    <w:charset w:val="81"/>
    <w:family w:val="auto"/>
    <w:pitch w:val="default"/>
    <w:sig w:usb0="00000000" w:usb1="00000000" w:usb2="00000010" w:usb3="00000000" w:csb0="00080001" w:csb1="00000000"/>
  </w:font>
  <w:font w:name="MS-UIGothic,Bold">
    <w:altName w:val="方正黑体_GBK"/>
    <w:panose1 w:val="00000000000000000000"/>
    <w:charset w:val="81"/>
    <w:family w:val="auto"/>
    <w:pitch w:val="default"/>
    <w:sig w:usb0="00000000" w:usb1="00000000" w:usb2="00000010" w:usb3="00000000" w:csb0="00080000" w:csb1="00000000"/>
  </w:font>
  <w:font w:name="Arial">
    <w:altName w:val="DejaVu Sans"/>
    <w:panose1 w:val="020B0604020202020204"/>
    <w:charset w:val="00"/>
    <w:family w:val="swiss"/>
    <w:pitch w:val="default"/>
    <w:sig w:usb0="00000000" w:usb1="00000000" w:usb2="00000009" w:usb3="00000000" w:csb0="000001FF"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noLineBreaksAfter w:lang="zh-CN" w:val="$([{£¥·‘“〈《「『【〔〖〝﹙﹛﹝＄（．［｛￡￥"/>
  <w:noLineBreaksBefore w:lang="zh-CN" w:val="!%),.:;&gt;?]}¢¨°·ˇˉ―‖’”…‰′″›℃∶、。〃〉》」』】〕〗〞︶︺︾﹀﹄﹚﹜﹞！＂％＇），．：；？］｀｜｝～￠"/>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0555C"/>
    <w:rsid w:val="000236F9"/>
    <w:rsid w:val="00024E7F"/>
    <w:rsid w:val="000475A0"/>
    <w:rsid w:val="0005161E"/>
    <w:rsid w:val="00057229"/>
    <w:rsid w:val="00071E71"/>
    <w:rsid w:val="000838C3"/>
    <w:rsid w:val="000B2446"/>
    <w:rsid w:val="000D3359"/>
    <w:rsid w:val="000D7C65"/>
    <w:rsid w:val="000E2F81"/>
    <w:rsid w:val="000F11CB"/>
    <w:rsid w:val="0011521A"/>
    <w:rsid w:val="00117946"/>
    <w:rsid w:val="00117E2C"/>
    <w:rsid w:val="00130C0F"/>
    <w:rsid w:val="00146C47"/>
    <w:rsid w:val="00152FB8"/>
    <w:rsid w:val="00171C61"/>
    <w:rsid w:val="00176658"/>
    <w:rsid w:val="0018239E"/>
    <w:rsid w:val="00186B1D"/>
    <w:rsid w:val="001A6FFE"/>
    <w:rsid w:val="001B3410"/>
    <w:rsid w:val="001B6477"/>
    <w:rsid w:val="001C030D"/>
    <w:rsid w:val="001C4A84"/>
    <w:rsid w:val="001E0AE3"/>
    <w:rsid w:val="001E5902"/>
    <w:rsid w:val="001F0368"/>
    <w:rsid w:val="00221B5E"/>
    <w:rsid w:val="00224E91"/>
    <w:rsid w:val="00233705"/>
    <w:rsid w:val="00234D4F"/>
    <w:rsid w:val="002415F2"/>
    <w:rsid w:val="002740D9"/>
    <w:rsid w:val="00275CA2"/>
    <w:rsid w:val="002A65A5"/>
    <w:rsid w:val="002C04C4"/>
    <w:rsid w:val="002D08B0"/>
    <w:rsid w:val="002D0D81"/>
    <w:rsid w:val="002D1AE3"/>
    <w:rsid w:val="002D37DC"/>
    <w:rsid w:val="002F2ECE"/>
    <w:rsid w:val="002F7008"/>
    <w:rsid w:val="00341C8F"/>
    <w:rsid w:val="0035463A"/>
    <w:rsid w:val="003819FE"/>
    <w:rsid w:val="00391D9D"/>
    <w:rsid w:val="00391E1D"/>
    <w:rsid w:val="003B6C51"/>
    <w:rsid w:val="003C1413"/>
    <w:rsid w:val="003C549F"/>
    <w:rsid w:val="003D5A16"/>
    <w:rsid w:val="003E7DB3"/>
    <w:rsid w:val="003F7EC9"/>
    <w:rsid w:val="00416C24"/>
    <w:rsid w:val="0042664B"/>
    <w:rsid w:val="00431175"/>
    <w:rsid w:val="004447BB"/>
    <w:rsid w:val="004516CF"/>
    <w:rsid w:val="00457222"/>
    <w:rsid w:val="0048702B"/>
    <w:rsid w:val="004B6E37"/>
    <w:rsid w:val="004C32BA"/>
    <w:rsid w:val="00502871"/>
    <w:rsid w:val="00546552"/>
    <w:rsid w:val="00563C40"/>
    <w:rsid w:val="005704CD"/>
    <w:rsid w:val="00575922"/>
    <w:rsid w:val="005A6C90"/>
    <w:rsid w:val="005D55D2"/>
    <w:rsid w:val="005D6BB5"/>
    <w:rsid w:val="005D7A0F"/>
    <w:rsid w:val="005E0383"/>
    <w:rsid w:val="005E2EE6"/>
    <w:rsid w:val="005E3FB0"/>
    <w:rsid w:val="005F4B66"/>
    <w:rsid w:val="005F5208"/>
    <w:rsid w:val="00617CF9"/>
    <w:rsid w:val="00641318"/>
    <w:rsid w:val="0064405D"/>
    <w:rsid w:val="00685302"/>
    <w:rsid w:val="00695557"/>
    <w:rsid w:val="006A04F5"/>
    <w:rsid w:val="006A4008"/>
    <w:rsid w:val="006D4EA7"/>
    <w:rsid w:val="0070012A"/>
    <w:rsid w:val="00702700"/>
    <w:rsid w:val="0070664B"/>
    <w:rsid w:val="007071B8"/>
    <w:rsid w:val="007414DE"/>
    <w:rsid w:val="0074209C"/>
    <w:rsid w:val="0074708F"/>
    <w:rsid w:val="0074712B"/>
    <w:rsid w:val="00747A59"/>
    <w:rsid w:val="00767AC5"/>
    <w:rsid w:val="007905A9"/>
    <w:rsid w:val="00794258"/>
    <w:rsid w:val="007D7AFA"/>
    <w:rsid w:val="007E5500"/>
    <w:rsid w:val="007F055B"/>
    <w:rsid w:val="00803CB4"/>
    <w:rsid w:val="0080644C"/>
    <w:rsid w:val="00807DCF"/>
    <w:rsid w:val="00811C2F"/>
    <w:rsid w:val="00833D46"/>
    <w:rsid w:val="00840A97"/>
    <w:rsid w:val="00877728"/>
    <w:rsid w:val="008B7F4F"/>
    <w:rsid w:val="008C0149"/>
    <w:rsid w:val="008C689C"/>
    <w:rsid w:val="008C6F62"/>
    <w:rsid w:val="008C7B51"/>
    <w:rsid w:val="008D5DED"/>
    <w:rsid w:val="008E25CA"/>
    <w:rsid w:val="008E530E"/>
    <w:rsid w:val="008F34FC"/>
    <w:rsid w:val="00907613"/>
    <w:rsid w:val="00935058"/>
    <w:rsid w:val="00944CD7"/>
    <w:rsid w:val="00956C2C"/>
    <w:rsid w:val="00957AEB"/>
    <w:rsid w:val="009831B2"/>
    <w:rsid w:val="009A1ABE"/>
    <w:rsid w:val="009A360A"/>
    <w:rsid w:val="009C373A"/>
    <w:rsid w:val="009E21A4"/>
    <w:rsid w:val="009F22C6"/>
    <w:rsid w:val="00A05E05"/>
    <w:rsid w:val="00A07E50"/>
    <w:rsid w:val="00A15397"/>
    <w:rsid w:val="00A2793F"/>
    <w:rsid w:val="00A35CE0"/>
    <w:rsid w:val="00A4462E"/>
    <w:rsid w:val="00A44AA4"/>
    <w:rsid w:val="00A45F33"/>
    <w:rsid w:val="00A61623"/>
    <w:rsid w:val="00A84687"/>
    <w:rsid w:val="00AA0E6F"/>
    <w:rsid w:val="00AA1F09"/>
    <w:rsid w:val="00AB0A0E"/>
    <w:rsid w:val="00AD3B6E"/>
    <w:rsid w:val="00B1751F"/>
    <w:rsid w:val="00B3436A"/>
    <w:rsid w:val="00B56722"/>
    <w:rsid w:val="00B678B5"/>
    <w:rsid w:val="00B74D39"/>
    <w:rsid w:val="00B91DA4"/>
    <w:rsid w:val="00BA05DA"/>
    <w:rsid w:val="00BB7F02"/>
    <w:rsid w:val="00BD7AFB"/>
    <w:rsid w:val="00BE36BA"/>
    <w:rsid w:val="00C000B4"/>
    <w:rsid w:val="00C12630"/>
    <w:rsid w:val="00C34562"/>
    <w:rsid w:val="00C3774E"/>
    <w:rsid w:val="00C57456"/>
    <w:rsid w:val="00C65387"/>
    <w:rsid w:val="00C74E0A"/>
    <w:rsid w:val="00C84EAE"/>
    <w:rsid w:val="00C87FAB"/>
    <w:rsid w:val="00C91FF7"/>
    <w:rsid w:val="00C94E53"/>
    <w:rsid w:val="00CC7F30"/>
    <w:rsid w:val="00CD3E6C"/>
    <w:rsid w:val="00CE2D48"/>
    <w:rsid w:val="00D0048E"/>
    <w:rsid w:val="00D23E7A"/>
    <w:rsid w:val="00D40DA8"/>
    <w:rsid w:val="00D42F1A"/>
    <w:rsid w:val="00D451C7"/>
    <w:rsid w:val="00D61063"/>
    <w:rsid w:val="00DB35AF"/>
    <w:rsid w:val="00DD72D7"/>
    <w:rsid w:val="00DE54A1"/>
    <w:rsid w:val="00DF5B88"/>
    <w:rsid w:val="00E0241E"/>
    <w:rsid w:val="00E0589E"/>
    <w:rsid w:val="00E241FA"/>
    <w:rsid w:val="00E2593A"/>
    <w:rsid w:val="00E2595E"/>
    <w:rsid w:val="00E262A2"/>
    <w:rsid w:val="00E2787B"/>
    <w:rsid w:val="00E35374"/>
    <w:rsid w:val="00E50C19"/>
    <w:rsid w:val="00E64655"/>
    <w:rsid w:val="00E73081"/>
    <w:rsid w:val="00E7691B"/>
    <w:rsid w:val="00E856C9"/>
    <w:rsid w:val="00E8744D"/>
    <w:rsid w:val="00EB3C11"/>
    <w:rsid w:val="00EB6A8B"/>
    <w:rsid w:val="00EF38C6"/>
    <w:rsid w:val="00EF4114"/>
    <w:rsid w:val="00EF5CFF"/>
    <w:rsid w:val="00F57910"/>
    <w:rsid w:val="00F679C7"/>
    <w:rsid w:val="00F7711A"/>
    <w:rsid w:val="00F82CAB"/>
    <w:rsid w:val="00F84676"/>
    <w:rsid w:val="00FA0D58"/>
    <w:rsid w:val="00FA407C"/>
    <w:rsid w:val="00FA56F4"/>
    <w:rsid w:val="00FB369D"/>
    <w:rsid w:val="00FB4EDA"/>
    <w:rsid w:val="00FC1793"/>
    <w:rsid w:val="00FD3BD5"/>
    <w:rsid w:val="00FE3DC8"/>
    <w:rsid w:val="04073F84"/>
    <w:rsid w:val="0B60750A"/>
    <w:rsid w:val="10686488"/>
    <w:rsid w:val="10DF728A"/>
    <w:rsid w:val="1264200E"/>
    <w:rsid w:val="141C5B77"/>
    <w:rsid w:val="18D8339D"/>
    <w:rsid w:val="1A21388F"/>
    <w:rsid w:val="1A570D2F"/>
    <w:rsid w:val="28FB0B8D"/>
    <w:rsid w:val="2A9870FC"/>
    <w:rsid w:val="2D2B7942"/>
    <w:rsid w:val="2D46481D"/>
    <w:rsid w:val="2E733B28"/>
    <w:rsid w:val="31852B5A"/>
    <w:rsid w:val="32D01238"/>
    <w:rsid w:val="3DFC59A8"/>
    <w:rsid w:val="3ECF245E"/>
    <w:rsid w:val="3FB96314"/>
    <w:rsid w:val="45A63F23"/>
    <w:rsid w:val="53A44FAF"/>
    <w:rsid w:val="594329EC"/>
    <w:rsid w:val="5BEE1540"/>
    <w:rsid w:val="5DE61A5D"/>
    <w:rsid w:val="63C04243"/>
    <w:rsid w:val="649C01C7"/>
    <w:rsid w:val="699A3F60"/>
    <w:rsid w:val="72902E62"/>
    <w:rsid w:val="73C61104"/>
    <w:rsid w:val="776452EA"/>
    <w:rsid w:val="7DC663B9"/>
    <w:rsid w:val="7FD21032"/>
    <w:rsid w:val="FF951292"/>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mbria" w:hAnsi="Cambria" w:eastAsia="黑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99" w:semiHidden="0" w:name="Title"/>
    <w:lsdException w:uiPriority="99" w:name="Closing" w:locked="1"/>
    <w:lsdException w:uiPriority="99" w:name="Signature" w:locked="1"/>
    <w:lsdException w:qFormat="1" w:uiPriority="1"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99" w:semiHidden="0" w:name="Subtitle"/>
    <w:lsdException w:uiPriority="99" w:name="Salutation" w:locked="1"/>
    <w:lsdException w:qFormat="1" w:unhideWhenUsed="0" w:uiPriority="99" w:name="Date"/>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name="Balloon Text"/>
    <w:lsdException w:qFormat="1" w:unhideWhenUsed="0" w:uiPriority="99" w:semiHidden="0" w:name="Table Grid"/>
    <w:lsdException w:uiPriority="99" w:name="Table Theme" w:locked="1"/>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5"/>
    <w:qFormat/>
    <w:uiPriority w:val="99"/>
    <w:pPr>
      <w:keepNext/>
      <w:keepLines/>
      <w:spacing w:before="340" w:after="330" w:line="578" w:lineRule="auto"/>
      <w:outlineLvl w:val="0"/>
    </w:pPr>
    <w:rPr>
      <w:b/>
      <w:bCs/>
      <w:kern w:val="44"/>
      <w:sz w:val="44"/>
      <w:szCs w:val="44"/>
    </w:rPr>
  </w:style>
  <w:style w:type="paragraph" w:styleId="3">
    <w:name w:val="heading 2"/>
    <w:basedOn w:val="1"/>
    <w:next w:val="1"/>
    <w:link w:val="16"/>
    <w:qFormat/>
    <w:uiPriority w:val="99"/>
    <w:pPr>
      <w:keepNext/>
      <w:keepLines/>
      <w:spacing w:before="260" w:after="260" w:line="416" w:lineRule="auto"/>
      <w:outlineLvl w:val="1"/>
    </w:pPr>
    <w:rPr>
      <w:rFonts w:ascii="Calibri" w:hAnsi="Calibri"/>
      <w:b/>
      <w:bCs/>
      <w:kern w:val="0"/>
      <w:sz w:val="32"/>
      <w:szCs w:val="32"/>
    </w:rPr>
  </w:style>
  <w:style w:type="paragraph" w:styleId="4">
    <w:name w:val="heading 3"/>
    <w:basedOn w:val="1"/>
    <w:next w:val="1"/>
    <w:link w:val="17"/>
    <w:qFormat/>
    <w:uiPriority w:val="99"/>
    <w:pPr>
      <w:keepNext/>
      <w:keepLines/>
      <w:spacing w:before="260" w:after="260" w:line="416" w:lineRule="auto"/>
      <w:outlineLvl w:val="2"/>
    </w:pPr>
    <w:rPr>
      <w:b/>
      <w:bCs/>
      <w:kern w:val="0"/>
      <w:sz w:val="32"/>
      <w:szCs w:val="32"/>
    </w:rPr>
  </w:style>
  <w:style w:type="paragraph" w:styleId="5">
    <w:name w:val="heading 4"/>
    <w:basedOn w:val="1"/>
    <w:next w:val="1"/>
    <w:link w:val="18"/>
    <w:qFormat/>
    <w:uiPriority w:val="99"/>
    <w:pPr>
      <w:keepNext/>
      <w:keepLines/>
      <w:spacing w:before="280" w:after="290" w:line="376" w:lineRule="auto"/>
      <w:outlineLvl w:val="3"/>
    </w:pPr>
    <w:rPr>
      <w:rFonts w:ascii="Calibri" w:hAnsi="Calibri"/>
      <w:b/>
      <w:bCs/>
      <w:kern w:val="0"/>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19"/>
    <w:semiHidden/>
    <w:qFormat/>
    <w:uiPriority w:val="99"/>
    <w:pPr>
      <w:ind w:left="100" w:leftChars="2500"/>
    </w:pPr>
    <w:rPr>
      <w:kern w:val="0"/>
      <w:sz w:val="24"/>
    </w:rPr>
  </w:style>
  <w:style w:type="paragraph" w:styleId="7">
    <w:name w:val="Balloon Text"/>
    <w:basedOn w:val="1"/>
    <w:link w:val="20"/>
    <w:semiHidden/>
    <w:qFormat/>
    <w:uiPriority w:val="99"/>
    <w:rPr>
      <w:kern w:val="0"/>
      <w:sz w:val="18"/>
      <w:szCs w:val="18"/>
    </w:rPr>
  </w:style>
  <w:style w:type="paragraph" w:styleId="8">
    <w:name w:val="footer"/>
    <w:basedOn w:val="1"/>
    <w:link w:val="21"/>
    <w:qFormat/>
    <w:uiPriority w:val="99"/>
    <w:pPr>
      <w:tabs>
        <w:tab w:val="center" w:pos="4153"/>
        <w:tab w:val="right" w:pos="8306"/>
      </w:tabs>
      <w:snapToGrid w:val="0"/>
      <w:jc w:val="left"/>
    </w:pPr>
    <w:rPr>
      <w:rFonts w:ascii="Cambria" w:hAnsi="Cambria" w:eastAsia="黑体"/>
      <w:kern w:val="0"/>
      <w:sz w:val="18"/>
      <w:szCs w:val="18"/>
    </w:rPr>
  </w:style>
  <w:style w:type="paragraph" w:styleId="9">
    <w:name w:val="header"/>
    <w:basedOn w:val="1"/>
    <w:link w:val="22"/>
    <w:qFormat/>
    <w:uiPriority w:val="99"/>
    <w:pPr>
      <w:pBdr>
        <w:bottom w:val="single" w:color="auto" w:sz="6" w:space="1"/>
      </w:pBdr>
      <w:tabs>
        <w:tab w:val="center" w:pos="4153"/>
        <w:tab w:val="right" w:pos="8306"/>
      </w:tabs>
      <w:snapToGrid w:val="0"/>
      <w:jc w:val="center"/>
    </w:pPr>
    <w:rPr>
      <w:rFonts w:ascii="Cambria" w:hAnsi="Cambria" w:eastAsia="黑体"/>
      <w:kern w:val="0"/>
      <w:sz w:val="18"/>
      <w:szCs w:val="18"/>
    </w:rPr>
  </w:style>
  <w:style w:type="paragraph" w:styleId="10">
    <w:name w:val="Subtitle"/>
    <w:basedOn w:val="1"/>
    <w:next w:val="1"/>
    <w:link w:val="23"/>
    <w:qFormat/>
    <w:uiPriority w:val="99"/>
    <w:pPr>
      <w:widowControl/>
      <w:spacing w:after="200" w:line="276" w:lineRule="auto"/>
      <w:jc w:val="left"/>
    </w:pPr>
    <w:rPr>
      <w:rFonts w:ascii="Calibri" w:hAnsi="Calibri"/>
      <w:i/>
      <w:iCs/>
      <w:color w:val="F0A22E"/>
      <w:spacing w:val="15"/>
      <w:kern w:val="0"/>
      <w:sz w:val="24"/>
    </w:rPr>
  </w:style>
  <w:style w:type="paragraph" w:styleId="11">
    <w:name w:val="Title"/>
    <w:basedOn w:val="1"/>
    <w:next w:val="1"/>
    <w:link w:val="24"/>
    <w:qFormat/>
    <w:uiPriority w:val="99"/>
    <w:pPr>
      <w:widowControl/>
      <w:pBdr>
        <w:bottom w:val="single" w:color="F0A22E" w:sz="8" w:space="4"/>
      </w:pBdr>
      <w:spacing w:after="300"/>
      <w:contextualSpacing/>
      <w:jc w:val="left"/>
    </w:pPr>
    <w:rPr>
      <w:rFonts w:ascii="Calibri" w:hAnsi="Calibri"/>
      <w:color w:val="3A2C24"/>
      <w:spacing w:val="5"/>
      <w:kern w:val="28"/>
      <w:sz w:val="52"/>
      <w:szCs w:val="52"/>
    </w:rPr>
  </w:style>
  <w:style w:type="table" w:styleId="13">
    <w:name w:val="Table Grid"/>
    <w:basedOn w:val="12"/>
    <w:qFormat/>
    <w:uiPriority w:val="99"/>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标题 1 Char"/>
    <w:link w:val="2"/>
    <w:qFormat/>
    <w:locked/>
    <w:uiPriority w:val="99"/>
    <w:rPr>
      <w:rFonts w:ascii="Times New Roman" w:hAnsi="Times New Roman" w:eastAsia="宋体"/>
      <w:b/>
      <w:kern w:val="44"/>
      <w:sz w:val="44"/>
    </w:rPr>
  </w:style>
  <w:style w:type="character" w:customStyle="1" w:styleId="16">
    <w:name w:val="标题 2 Char"/>
    <w:link w:val="3"/>
    <w:qFormat/>
    <w:locked/>
    <w:uiPriority w:val="99"/>
    <w:rPr>
      <w:rFonts w:ascii="Calibri" w:hAnsi="Calibri" w:eastAsia="宋体"/>
      <w:b/>
      <w:sz w:val="32"/>
    </w:rPr>
  </w:style>
  <w:style w:type="character" w:customStyle="1" w:styleId="17">
    <w:name w:val="标题 3 Char"/>
    <w:link w:val="4"/>
    <w:qFormat/>
    <w:locked/>
    <w:uiPriority w:val="99"/>
    <w:rPr>
      <w:rFonts w:ascii="Times New Roman" w:hAnsi="Times New Roman" w:eastAsia="宋体"/>
      <w:b/>
      <w:sz w:val="32"/>
    </w:rPr>
  </w:style>
  <w:style w:type="character" w:customStyle="1" w:styleId="18">
    <w:name w:val="标题 4 Char"/>
    <w:link w:val="5"/>
    <w:qFormat/>
    <w:locked/>
    <w:uiPriority w:val="99"/>
    <w:rPr>
      <w:rFonts w:ascii="Calibri" w:hAnsi="Calibri" w:eastAsia="宋体"/>
      <w:b/>
      <w:sz w:val="28"/>
    </w:rPr>
  </w:style>
  <w:style w:type="character" w:customStyle="1" w:styleId="19">
    <w:name w:val="日期 Char"/>
    <w:link w:val="6"/>
    <w:semiHidden/>
    <w:qFormat/>
    <w:locked/>
    <w:uiPriority w:val="99"/>
    <w:rPr>
      <w:rFonts w:ascii="Times New Roman" w:hAnsi="Times New Roman" w:eastAsia="宋体"/>
      <w:sz w:val="24"/>
    </w:rPr>
  </w:style>
  <w:style w:type="character" w:customStyle="1" w:styleId="20">
    <w:name w:val="批注框文本 Char"/>
    <w:link w:val="7"/>
    <w:semiHidden/>
    <w:qFormat/>
    <w:locked/>
    <w:uiPriority w:val="99"/>
    <w:rPr>
      <w:rFonts w:ascii="Times New Roman" w:hAnsi="Times New Roman" w:eastAsia="宋体"/>
      <w:sz w:val="18"/>
    </w:rPr>
  </w:style>
  <w:style w:type="character" w:customStyle="1" w:styleId="21">
    <w:name w:val="页脚 Char"/>
    <w:link w:val="8"/>
    <w:qFormat/>
    <w:locked/>
    <w:uiPriority w:val="99"/>
    <w:rPr>
      <w:sz w:val="18"/>
    </w:rPr>
  </w:style>
  <w:style w:type="character" w:customStyle="1" w:styleId="22">
    <w:name w:val="页眉 Char"/>
    <w:link w:val="9"/>
    <w:qFormat/>
    <w:locked/>
    <w:uiPriority w:val="99"/>
    <w:rPr>
      <w:sz w:val="18"/>
    </w:rPr>
  </w:style>
  <w:style w:type="character" w:customStyle="1" w:styleId="23">
    <w:name w:val="副标题 Char"/>
    <w:link w:val="10"/>
    <w:qFormat/>
    <w:locked/>
    <w:uiPriority w:val="99"/>
    <w:rPr>
      <w:rFonts w:ascii="Calibri" w:hAnsi="Calibri" w:eastAsia="宋体"/>
      <w:i/>
      <w:color w:val="F0A22E"/>
      <w:spacing w:val="15"/>
      <w:kern w:val="0"/>
      <w:sz w:val="24"/>
    </w:rPr>
  </w:style>
  <w:style w:type="character" w:customStyle="1" w:styleId="24">
    <w:name w:val="标题 Char"/>
    <w:link w:val="11"/>
    <w:qFormat/>
    <w:locked/>
    <w:uiPriority w:val="99"/>
    <w:rPr>
      <w:rFonts w:ascii="Calibri" w:hAnsi="Calibri" w:eastAsia="宋体"/>
      <w:color w:val="3A2C24"/>
      <w:spacing w:val="5"/>
      <w:kern w:val="28"/>
      <w:sz w:val="52"/>
    </w:rPr>
  </w:style>
  <w:style w:type="paragraph" w:styleId="25">
    <w:name w:val="No Spacing"/>
    <w:link w:val="26"/>
    <w:qFormat/>
    <w:uiPriority w:val="99"/>
    <w:pPr>
      <w:spacing w:after="160" w:line="480" w:lineRule="auto"/>
    </w:pPr>
    <w:rPr>
      <w:rFonts w:ascii="Cambria" w:hAnsi="Cambria" w:eastAsia="黑体" w:cs="Times New Roman"/>
      <w:sz w:val="22"/>
      <w:szCs w:val="22"/>
      <w:lang w:val="en-US" w:eastAsia="zh-CN" w:bidi="ar-SA"/>
    </w:rPr>
  </w:style>
  <w:style w:type="character" w:customStyle="1" w:styleId="26">
    <w:name w:val="无间隔 Char"/>
    <w:link w:val="25"/>
    <w:qFormat/>
    <w:locked/>
    <w:uiPriority w:val="99"/>
    <w:rPr>
      <w:sz w:val="22"/>
      <w:lang w:val="en-US" w:eastAsia="zh-CN"/>
    </w:rPr>
  </w:style>
  <w:style w:type="character" w:customStyle="1" w:styleId="27">
    <w:name w:val="Style1"/>
    <w:qFormat/>
    <w:uiPriority w:val="99"/>
    <w:rPr>
      <w:rFonts w:ascii="Cambria" w:hAnsi="黑体" w:eastAsia="黑体"/>
      <w:sz w:val="22"/>
      <w:lang w:eastAsia="zh-CN"/>
    </w:rPr>
  </w:style>
  <w:style w:type="character" w:customStyle="1" w:styleId="28">
    <w:name w:val="Style2"/>
    <w:qFormat/>
    <w:uiPriority w:val="99"/>
    <w:rPr>
      <w:rFonts w:ascii="Cambria" w:hAnsi="黑体" w:eastAsia="黑体"/>
      <w:sz w:val="22"/>
      <w:lang w:eastAsia="zh-CN"/>
    </w:rPr>
  </w:style>
  <w:style w:type="character" w:customStyle="1" w:styleId="29">
    <w:name w:val="Style3"/>
    <w:qFormat/>
    <w:uiPriority w:val="99"/>
    <w:rPr>
      <w:rFonts w:ascii="Cambria" w:hAnsi="黑体" w:eastAsia="黑体"/>
      <w:sz w:val="22"/>
      <w:lang w:eastAsia="zh-CN"/>
    </w:rPr>
  </w:style>
  <w:style w:type="character" w:customStyle="1" w:styleId="30">
    <w:name w:val="Style4"/>
    <w:qFormat/>
    <w:uiPriority w:val="99"/>
    <w:rPr>
      <w:rFonts w:ascii="Cambria" w:hAnsi="黑体" w:eastAsia="黑体"/>
      <w:sz w:val="22"/>
      <w:lang w:eastAsia="zh-CN"/>
    </w:rPr>
  </w:style>
  <w:style w:type="character" w:customStyle="1" w:styleId="31">
    <w:name w:val="Style5"/>
    <w:qFormat/>
    <w:uiPriority w:val="99"/>
    <w:rPr>
      <w:rFonts w:ascii="Cambria" w:hAnsi="黑体" w:eastAsia="黑体"/>
      <w:sz w:val="22"/>
      <w:lang w:eastAsia="zh-CN"/>
    </w:rPr>
  </w:style>
  <w:style w:type="paragraph" w:styleId="32">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oleObject" Target="embeddings/Workbook1.xls"/><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8.jpeg"/><Relationship Id="rId18" Type="http://schemas.openxmlformats.org/officeDocument/2006/relationships/image" Target="media/image7.png"/><Relationship Id="rId17" Type="http://schemas.openxmlformats.org/officeDocument/2006/relationships/oleObject" Target="embeddings/Workbook5.xls"/><Relationship Id="rId16" Type="http://schemas.openxmlformats.org/officeDocument/2006/relationships/image" Target="media/image6.png"/><Relationship Id="rId15" Type="http://schemas.openxmlformats.org/officeDocument/2006/relationships/oleObject" Target="embeddings/Workbook4.xls"/><Relationship Id="rId14" Type="http://schemas.openxmlformats.org/officeDocument/2006/relationships/image" Target="media/image5.png"/><Relationship Id="rId13" Type="http://schemas.openxmlformats.org/officeDocument/2006/relationships/oleObject" Target="embeddings/Workbook3.xls"/><Relationship Id="rId12" Type="http://schemas.openxmlformats.org/officeDocument/2006/relationships/image" Target="media/image4.png"/><Relationship Id="rId11" Type="http://schemas.openxmlformats.org/officeDocument/2006/relationships/oleObject" Target="embeddings/Workbook2.xls"/><Relationship Id="rId10" Type="http://schemas.openxmlformats.org/officeDocument/2006/relationships/image" Target="media/image3.emf"/><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32</Pages>
  <Words>1682</Words>
  <Characters>9593</Characters>
  <Lines>79</Lines>
  <Paragraphs>22</Paragraphs>
  <TotalTime>584</TotalTime>
  <ScaleCrop>false</ScaleCrop>
  <LinksUpToDate>false</LinksUpToDate>
  <CharactersWithSpaces>11253</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2019-08-28T16:40:00Z</dcterms:created>
  <dc:creator>User</dc:creator>
  <cp:lastModifiedBy>caizhengju</cp:lastModifiedBy>
  <cp:lastPrinted>2019-08-02T09:01:00Z</cp:lastPrinted>
  <dcterms:modified xsi:type="dcterms:W3CDTF">2024-01-03T09:44:07Z</dcterms:modified>
  <dc:subject>石家庄市xxx部门</dc:subject>
  <dc:title>2017年度部门决算</dc:title>
  <cp:revision>47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FB59BB356EC8DDCFE7BB9465A1AD0D95</vt:lpwstr>
  </property>
</Properties>
</file>